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11" w:rsidRPr="00610904" w:rsidRDefault="007B5711" w:rsidP="00610904">
      <w:pPr>
        <w:tabs>
          <w:tab w:val="left" w:pos="567"/>
          <w:tab w:val="left" w:pos="1134"/>
        </w:tabs>
        <w:ind w:right="29"/>
        <w:jc w:val="left"/>
        <w:rPr>
          <w:noProof w:val="0"/>
          <w:snapToGrid w:val="0"/>
          <w:szCs w:val="20"/>
          <w:lang w:val="en-US"/>
        </w:rPr>
      </w:pPr>
    </w:p>
    <w:p w:rsidR="00D0798C" w:rsidRPr="00610904" w:rsidRDefault="00D0798C" w:rsidP="00610904">
      <w:pPr>
        <w:tabs>
          <w:tab w:val="left" w:pos="567"/>
          <w:tab w:val="left" w:pos="1134"/>
        </w:tabs>
        <w:ind w:right="29"/>
        <w:jc w:val="left"/>
        <w:rPr>
          <w:noProof w:val="0"/>
          <w:snapToGrid w:val="0"/>
          <w:szCs w:val="20"/>
          <w:lang w:val="en-US"/>
        </w:rPr>
      </w:pPr>
    </w:p>
    <w:p w:rsidR="007B5711" w:rsidRPr="00610904" w:rsidRDefault="007B5711" w:rsidP="00610904">
      <w:pPr>
        <w:tabs>
          <w:tab w:val="left" w:pos="567"/>
          <w:tab w:val="left" w:pos="1134"/>
        </w:tabs>
        <w:ind w:right="29"/>
        <w:jc w:val="left"/>
        <w:rPr>
          <w:noProof w:val="0"/>
          <w:snapToGrid w:val="0"/>
          <w:szCs w:val="20"/>
          <w:lang w:val="en-US"/>
        </w:rPr>
      </w:pPr>
    </w:p>
    <w:p w:rsidR="007B5711" w:rsidRPr="00610904" w:rsidRDefault="007B5711" w:rsidP="00610904">
      <w:pPr>
        <w:tabs>
          <w:tab w:val="left" w:pos="567"/>
          <w:tab w:val="left" w:pos="1134"/>
        </w:tabs>
        <w:ind w:right="29"/>
        <w:jc w:val="left"/>
        <w:rPr>
          <w:noProof w:val="0"/>
          <w:snapToGrid w:val="0"/>
          <w:szCs w:val="20"/>
          <w:lang w:val="en-US"/>
        </w:rPr>
      </w:pPr>
      <w:bookmarkStart w:id="0" w:name="_GoBack"/>
      <w:bookmarkEnd w:id="0"/>
    </w:p>
    <w:p w:rsidR="003040F7" w:rsidRPr="00610904" w:rsidRDefault="003040F7" w:rsidP="00610904">
      <w:pPr>
        <w:tabs>
          <w:tab w:val="left" w:pos="567"/>
          <w:tab w:val="left" w:pos="1134"/>
        </w:tabs>
        <w:ind w:right="29"/>
        <w:jc w:val="left"/>
        <w:rPr>
          <w:noProof w:val="0"/>
          <w:snapToGrid w:val="0"/>
          <w:szCs w:val="20"/>
          <w:lang w:val="en-US"/>
        </w:rPr>
      </w:pPr>
    </w:p>
    <w:p w:rsidR="003040F7" w:rsidRPr="00610904" w:rsidRDefault="003040F7" w:rsidP="00610904">
      <w:pPr>
        <w:tabs>
          <w:tab w:val="left" w:pos="567"/>
          <w:tab w:val="left" w:pos="1134"/>
        </w:tabs>
        <w:ind w:right="29"/>
        <w:jc w:val="left"/>
        <w:rPr>
          <w:noProof w:val="0"/>
          <w:snapToGrid w:val="0"/>
          <w:szCs w:val="20"/>
          <w:lang w:val="en-US"/>
        </w:rPr>
      </w:pPr>
    </w:p>
    <w:p w:rsidR="007C2959" w:rsidRPr="00610904" w:rsidRDefault="007C2959" w:rsidP="00610904">
      <w:pPr>
        <w:tabs>
          <w:tab w:val="left" w:pos="567"/>
          <w:tab w:val="left" w:pos="1134"/>
        </w:tabs>
        <w:ind w:right="29"/>
        <w:jc w:val="left"/>
        <w:rPr>
          <w:noProof w:val="0"/>
          <w:snapToGrid w:val="0"/>
          <w:szCs w:val="20"/>
          <w:lang w:val="en-US"/>
        </w:rPr>
      </w:pPr>
    </w:p>
    <w:p w:rsidR="007C2959" w:rsidRPr="00610904" w:rsidRDefault="007C2959" w:rsidP="00610904">
      <w:pPr>
        <w:tabs>
          <w:tab w:val="left" w:pos="567"/>
          <w:tab w:val="left" w:pos="1134"/>
        </w:tabs>
        <w:ind w:right="29"/>
        <w:jc w:val="left"/>
        <w:rPr>
          <w:noProof w:val="0"/>
          <w:snapToGrid w:val="0"/>
          <w:szCs w:val="20"/>
          <w:lang w:val="en-US"/>
        </w:rPr>
      </w:pPr>
    </w:p>
    <w:p w:rsidR="0038651D" w:rsidRPr="00610904" w:rsidRDefault="009F3D78" w:rsidP="00610904">
      <w:pPr>
        <w:pStyle w:val="Title"/>
        <w:ind w:left="-142" w:right="-138"/>
        <w:rPr>
          <w:rFonts w:eastAsia="MS Mincho"/>
          <w:noProof w:val="0"/>
          <w:lang w:val="en-US"/>
        </w:rPr>
      </w:pPr>
      <w:r w:rsidRPr="00610904">
        <w:rPr>
          <w:rFonts w:eastAsia="MS Mincho"/>
          <w:noProof w:val="0"/>
          <w:lang w:val="en-US"/>
        </w:rPr>
        <w:t>INTER-AMERICAN COURT OF HUMAN RIGHTS</w:t>
      </w:r>
    </w:p>
    <w:p w:rsidR="009F3D78" w:rsidRPr="00610904" w:rsidRDefault="009F3D78" w:rsidP="00610904">
      <w:pPr>
        <w:pStyle w:val="Title"/>
        <w:ind w:left="-142" w:right="-138"/>
        <w:rPr>
          <w:rFonts w:eastAsia="MS Mincho"/>
          <w:noProof w:val="0"/>
          <w:lang w:val="en-US"/>
        </w:rPr>
      </w:pPr>
    </w:p>
    <w:p w:rsidR="0038651D" w:rsidRPr="00610904" w:rsidRDefault="0038651D" w:rsidP="00610904">
      <w:pPr>
        <w:pStyle w:val="Title"/>
        <w:ind w:left="-142" w:right="-138"/>
        <w:rPr>
          <w:rFonts w:eastAsia="MS Mincho"/>
          <w:noProof w:val="0"/>
          <w:sz w:val="16"/>
          <w:lang w:val="en-US"/>
        </w:rPr>
      </w:pPr>
    </w:p>
    <w:p w:rsidR="0038651D" w:rsidRPr="0051351F" w:rsidRDefault="009F3D78" w:rsidP="00610904">
      <w:pPr>
        <w:pStyle w:val="Title"/>
        <w:ind w:left="-142" w:right="-138"/>
        <w:rPr>
          <w:bCs/>
          <w:caps/>
          <w:noProof w:val="0"/>
        </w:rPr>
      </w:pPr>
      <w:r w:rsidRPr="0051351F">
        <w:rPr>
          <w:rFonts w:eastAsia="MS Mincho"/>
          <w:noProof w:val="0"/>
        </w:rPr>
        <w:t>CASE OF</w:t>
      </w:r>
      <w:r w:rsidR="0038651D" w:rsidRPr="0051351F">
        <w:rPr>
          <w:rFonts w:eastAsia="MS Mincho"/>
          <w:noProof w:val="0"/>
        </w:rPr>
        <w:t xml:space="preserve"> GONZALES LLUY</w:t>
      </w:r>
      <w:r w:rsidRPr="0051351F">
        <w:rPr>
          <w:rFonts w:eastAsia="MS Mincho"/>
          <w:noProof w:val="0"/>
        </w:rPr>
        <w:t xml:space="preserve"> </w:t>
      </w:r>
      <w:r w:rsidRPr="0051351F">
        <w:rPr>
          <w:rFonts w:eastAsia="MS Mincho"/>
          <w:i/>
          <w:noProof w:val="0"/>
        </w:rPr>
        <w:t>ET AL.</w:t>
      </w:r>
      <w:r w:rsidR="0038651D" w:rsidRPr="0051351F">
        <w:rPr>
          <w:rFonts w:eastAsia="MS Mincho"/>
          <w:i/>
          <w:noProof w:val="0"/>
        </w:rPr>
        <w:t xml:space="preserve"> </w:t>
      </w:r>
      <w:r w:rsidR="004C6DAF">
        <w:rPr>
          <w:rFonts w:eastAsia="MS Mincho"/>
          <w:i/>
          <w:noProof w:val="0"/>
        </w:rPr>
        <w:t>v</w:t>
      </w:r>
      <w:r w:rsidR="0038651D" w:rsidRPr="0051351F">
        <w:rPr>
          <w:rFonts w:eastAsia="MS Mincho"/>
          <w:i/>
          <w:noProof w:val="0"/>
        </w:rPr>
        <w:t>.</w:t>
      </w:r>
      <w:r w:rsidR="0038651D" w:rsidRPr="0051351F">
        <w:rPr>
          <w:rFonts w:eastAsia="MS Mincho"/>
          <w:noProof w:val="0"/>
        </w:rPr>
        <w:t xml:space="preserve"> ECUADO</w:t>
      </w:r>
      <w:r w:rsidR="0038651D" w:rsidRPr="0051351F">
        <w:rPr>
          <w:rFonts w:cs="Verdana Bold"/>
          <w:bCs/>
          <w:caps/>
          <w:noProof w:val="0"/>
        </w:rPr>
        <w:t>R</w:t>
      </w:r>
      <w:r w:rsidR="00216495" w:rsidRPr="0051351F">
        <w:rPr>
          <w:rStyle w:val="FootnoteReference"/>
          <w:bCs/>
          <w:caps/>
          <w:noProof w:val="0"/>
        </w:rPr>
        <w:footnoteReference w:customMarkFollows="1" w:id="1"/>
        <w:t>*</w:t>
      </w:r>
    </w:p>
    <w:p w:rsidR="009F3D78" w:rsidRPr="0051351F" w:rsidRDefault="009F3D78" w:rsidP="00610904">
      <w:pPr>
        <w:pStyle w:val="Title"/>
        <w:ind w:left="-142" w:right="-138"/>
        <w:rPr>
          <w:rFonts w:eastAsia="MS Mincho"/>
          <w:noProof w:val="0"/>
          <w:sz w:val="16"/>
        </w:rPr>
      </w:pPr>
    </w:p>
    <w:p w:rsidR="0038651D" w:rsidRPr="0051351F" w:rsidRDefault="0038651D" w:rsidP="00610904">
      <w:pPr>
        <w:pStyle w:val="Title"/>
        <w:ind w:left="-142" w:right="-138"/>
        <w:rPr>
          <w:rFonts w:eastAsia="MS Mincho"/>
          <w:noProof w:val="0"/>
        </w:rPr>
      </w:pPr>
    </w:p>
    <w:p w:rsidR="0038651D" w:rsidRPr="00610904" w:rsidRDefault="009F3D78" w:rsidP="00610904">
      <w:pPr>
        <w:pStyle w:val="Title"/>
        <w:ind w:left="-142" w:right="-138"/>
        <w:rPr>
          <w:rFonts w:eastAsia="MS Mincho"/>
          <w:noProof w:val="0"/>
          <w:lang w:val="en-US"/>
        </w:rPr>
      </w:pPr>
      <w:r w:rsidRPr="00610904">
        <w:rPr>
          <w:rFonts w:eastAsia="MS Mincho"/>
          <w:noProof w:val="0"/>
          <w:lang w:val="en-US"/>
        </w:rPr>
        <w:t>JUDGMENT OF SEPTEMBER</w:t>
      </w:r>
      <w:r w:rsidR="0038651D" w:rsidRPr="00610904">
        <w:rPr>
          <w:rFonts w:eastAsia="MS Mincho"/>
          <w:noProof w:val="0"/>
          <w:lang w:val="en-US"/>
        </w:rPr>
        <w:t xml:space="preserve"> </w:t>
      </w:r>
      <w:r w:rsidR="00701FAC" w:rsidRPr="00610904">
        <w:rPr>
          <w:rFonts w:eastAsia="MS Mincho"/>
          <w:noProof w:val="0"/>
          <w:lang w:val="en-US"/>
        </w:rPr>
        <w:t>1</w:t>
      </w:r>
      <w:r w:rsidRPr="00610904">
        <w:rPr>
          <w:rFonts w:eastAsia="MS Mincho"/>
          <w:noProof w:val="0"/>
          <w:lang w:val="en-US"/>
        </w:rPr>
        <w:t xml:space="preserve">, </w:t>
      </w:r>
      <w:r w:rsidR="0038651D" w:rsidRPr="00610904">
        <w:rPr>
          <w:rFonts w:eastAsia="MS Mincho"/>
          <w:noProof w:val="0"/>
          <w:lang w:val="en-US"/>
        </w:rPr>
        <w:t>2015</w:t>
      </w:r>
    </w:p>
    <w:p w:rsidR="0038651D" w:rsidRPr="00610904" w:rsidRDefault="0038651D" w:rsidP="00610904">
      <w:pPr>
        <w:pStyle w:val="Title"/>
        <w:ind w:right="-138"/>
        <w:jc w:val="both"/>
        <w:rPr>
          <w:rFonts w:eastAsia="MS Mincho"/>
          <w:noProof w:val="0"/>
          <w:lang w:val="en-US"/>
        </w:rPr>
      </w:pPr>
    </w:p>
    <w:p w:rsidR="0038651D" w:rsidRPr="00610904" w:rsidRDefault="0038651D" w:rsidP="00610904">
      <w:pPr>
        <w:pStyle w:val="Title"/>
        <w:ind w:left="-142" w:right="-138"/>
        <w:rPr>
          <w:rFonts w:eastAsia="MS Mincho"/>
          <w:i/>
          <w:noProof w:val="0"/>
          <w:lang w:val="en-US"/>
        </w:rPr>
      </w:pPr>
      <w:r w:rsidRPr="00610904">
        <w:rPr>
          <w:noProof w:val="0"/>
          <w:lang w:val="en-US"/>
        </w:rPr>
        <w:t>(</w:t>
      </w:r>
      <w:r w:rsidR="009F3D78" w:rsidRPr="00610904">
        <w:rPr>
          <w:rFonts w:eastAsia="MS Mincho"/>
          <w:i/>
          <w:noProof w:val="0"/>
          <w:lang w:val="en-US"/>
        </w:rPr>
        <w:t>Preliminary objections, merits, reparations and costs</w:t>
      </w:r>
      <w:r w:rsidRPr="00610904">
        <w:rPr>
          <w:noProof w:val="0"/>
          <w:lang w:val="en-US"/>
        </w:rPr>
        <w:t>)</w:t>
      </w:r>
    </w:p>
    <w:p w:rsidR="0038651D" w:rsidRPr="00610904" w:rsidRDefault="0038651D" w:rsidP="00610904">
      <w:pPr>
        <w:ind w:left="-142" w:right="-138"/>
        <w:rPr>
          <w:noProof w:val="0"/>
          <w:szCs w:val="20"/>
          <w:lang w:val="en-US"/>
        </w:rPr>
      </w:pPr>
    </w:p>
    <w:p w:rsidR="0038651D" w:rsidRPr="00610904" w:rsidRDefault="0038651D" w:rsidP="00610904">
      <w:pPr>
        <w:ind w:left="-142" w:right="-138"/>
        <w:rPr>
          <w:noProof w:val="0"/>
          <w:szCs w:val="20"/>
          <w:lang w:val="en-US"/>
        </w:rPr>
      </w:pPr>
    </w:p>
    <w:p w:rsidR="0038651D" w:rsidRPr="00610904" w:rsidRDefault="0038651D" w:rsidP="00610904">
      <w:pPr>
        <w:ind w:left="-142" w:right="-138"/>
        <w:rPr>
          <w:noProof w:val="0"/>
          <w:szCs w:val="20"/>
          <w:lang w:val="en-US"/>
        </w:rPr>
      </w:pPr>
    </w:p>
    <w:p w:rsidR="009F3D78" w:rsidRPr="00610904" w:rsidRDefault="009F3D78" w:rsidP="00610904">
      <w:pPr>
        <w:ind w:left="-142" w:right="-138"/>
        <w:rPr>
          <w:noProof w:val="0"/>
          <w:szCs w:val="20"/>
          <w:lang w:val="en-US"/>
        </w:rPr>
      </w:pPr>
    </w:p>
    <w:p w:rsidR="0038651D" w:rsidRPr="00610904" w:rsidRDefault="009F3D78" w:rsidP="00610904">
      <w:pPr>
        <w:rPr>
          <w:noProof w:val="0"/>
          <w:szCs w:val="20"/>
          <w:lang w:val="en-US"/>
        </w:rPr>
      </w:pPr>
      <w:r w:rsidRPr="00610904">
        <w:rPr>
          <w:noProof w:val="0"/>
          <w:szCs w:val="20"/>
          <w:lang w:val="en-US"/>
        </w:rPr>
        <w:t>In the case of</w:t>
      </w:r>
      <w:r w:rsidR="0038651D" w:rsidRPr="00610904">
        <w:rPr>
          <w:noProof w:val="0"/>
          <w:szCs w:val="20"/>
          <w:lang w:val="en-US"/>
        </w:rPr>
        <w:t xml:space="preserve"> </w:t>
      </w:r>
      <w:r w:rsidR="0038651D" w:rsidRPr="00610904">
        <w:rPr>
          <w:i/>
          <w:noProof w:val="0"/>
          <w:szCs w:val="20"/>
          <w:lang w:val="en-US"/>
        </w:rPr>
        <w:t xml:space="preserve">Gonzales </w:t>
      </w:r>
      <w:r w:rsidRPr="00610904">
        <w:rPr>
          <w:i/>
          <w:noProof w:val="0"/>
          <w:szCs w:val="20"/>
          <w:lang w:val="en-US"/>
        </w:rPr>
        <w:t>Lluy et al</w:t>
      </w:r>
      <w:proofErr w:type="gramStart"/>
      <w:r w:rsidRPr="00610904">
        <w:rPr>
          <w:i/>
          <w:noProof w:val="0"/>
          <w:szCs w:val="20"/>
          <w:lang w:val="en-US"/>
        </w:rPr>
        <w:t>.</w:t>
      </w:r>
      <w:r w:rsidR="0038651D" w:rsidRPr="00610904">
        <w:rPr>
          <w:i/>
          <w:noProof w:val="0"/>
          <w:szCs w:val="20"/>
          <w:lang w:val="en-US"/>
        </w:rPr>
        <w:t>,</w:t>
      </w:r>
      <w:proofErr w:type="gramEnd"/>
    </w:p>
    <w:p w:rsidR="0038651D" w:rsidRPr="00610904" w:rsidRDefault="0038651D" w:rsidP="00610904">
      <w:pPr>
        <w:ind w:left="-142" w:right="-138"/>
        <w:rPr>
          <w:noProof w:val="0"/>
          <w:szCs w:val="20"/>
          <w:lang w:val="en-US"/>
        </w:rPr>
      </w:pPr>
    </w:p>
    <w:p w:rsidR="0038651D" w:rsidRPr="00610904" w:rsidRDefault="009F3D78" w:rsidP="00610904">
      <w:pPr>
        <w:ind w:right="-138"/>
        <w:rPr>
          <w:noProof w:val="0"/>
          <w:lang w:val="en-US"/>
        </w:rPr>
      </w:pPr>
      <w:proofErr w:type="gramStart"/>
      <w:r w:rsidRPr="00610904">
        <w:rPr>
          <w:noProof w:val="0"/>
          <w:lang w:val="en-US"/>
        </w:rPr>
        <w:t>the</w:t>
      </w:r>
      <w:proofErr w:type="gramEnd"/>
      <w:r w:rsidRPr="00610904">
        <w:rPr>
          <w:noProof w:val="0"/>
          <w:lang w:val="en-US"/>
        </w:rPr>
        <w:t xml:space="preserve"> Inter-American Court of Human Rights</w:t>
      </w:r>
      <w:r w:rsidR="0038651D" w:rsidRPr="00610904">
        <w:rPr>
          <w:noProof w:val="0"/>
          <w:lang w:val="en-US"/>
        </w:rPr>
        <w:t xml:space="preserve"> (</w:t>
      </w:r>
      <w:r w:rsidRPr="00610904">
        <w:rPr>
          <w:noProof w:val="0"/>
          <w:lang w:val="en-US"/>
        </w:rPr>
        <w:t>hereinafter</w:t>
      </w:r>
      <w:r w:rsidR="0038651D" w:rsidRPr="00610904">
        <w:rPr>
          <w:noProof w:val="0"/>
          <w:lang w:val="en-US"/>
        </w:rPr>
        <w:t xml:space="preserve"> “</w:t>
      </w:r>
      <w:r w:rsidRPr="00610904">
        <w:rPr>
          <w:noProof w:val="0"/>
          <w:lang w:val="en-US"/>
        </w:rPr>
        <w:t>the Inter-American Court” or</w:t>
      </w:r>
      <w:r w:rsidR="0038651D" w:rsidRPr="00610904">
        <w:rPr>
          <w:noProof w:val="0"/>
          <w:lang w:val="en-US"/>
        </w:rPr>
        <w:t xml:space="preserve"> “</w:t>
      </w:r>
      <w:r w:rsidRPr="00610904">
        <w:rPr>
          <w:noProof w:val="0"/>
          <w:lang w:val="en-US"/>
        </w:rPr>
        <w:t>the Court</w:t>
      </w:r>
      <w:r w:rsidR="0038651D" w:rsidRPr="00610904">
        <w:rPr>
          <w:noProof w:val="0"/>
          <w:lang w:val="en-US"/>
        </w:rPr>
        <w:t>”</w:t>
      </w:r>
      <w:r w:rsidRPr="00610904">
        <w:rPr>
          <w:noProof w:val="0"/>
          <w:lang w:val="en-US"/>
        </w:rPr>
        <w:t>)</w:t>
      </w:r>
      <w:r w:rsidR="0038651D" w:rsidRPr="00610904">
        <w:rPr>
          <w:noProof w:val="0"/>
          <w:lang w:val="en-US"/>
        </w:rPr>
        <w:t xml:space="preserve"> </w:t>
      </w:r>
      <w:r w:rsidRPr="00610904">
        <w:rPr>
          <w:noProof w:val="0"/>
          <w:lang w:val="en-US"/>
        </w:rPr>
        <w:t>composed of the following</w:t>
      </w:r>
      <w:r w:rsidR="0038651D" w:rsidRPr="00610904">
        <w:rPr>
          <w:noProof w:val="0"/>
          <w:lang w:val="en-US"/>
        </w:rPr>
        <w:t xml:space="preserve"> </w:t>
      </w:r>
      <w:r w:rsidRPr="00610904">
        <w:rPr>
          <w:noProof w:val="0"/>
          <w:lang w:val="en-US"/>
        </w:rPr>
        <w:t>judges</w:t>
      </w:r>
      <w:r w:rsidR="0038651D" w:rsidRPr="00610904">
        <w:rPr>
          <w:noProof w:val="0"/>
          <w:lang w:val="en-US"/>
        </w:rPr>
        <w:t>:</w:t>
      </w:r>
    </w:p>
    <w:p w:rsidR="0038651D" w:rsidRPr="00610904" w:rsidRDefault="0038651D" w:rsidP="00610904">
      <w:pPr>
        <w:ind w:right="-138"/>
        <w:rPr>
          <w:noProof w:val="0"/>
          <w:sz w:val="16"/>
          <w:lang w:val="en-US"/>
        </w:rPr>
      </w:pPr>
    </w:p>
    <w:p w:rsidR="0038651D" w:rsidRPr="0051351F" w:rsidRDefault="0038651D" w:rsidP="00610904">
      <w:pPr>
        <w:pStyle w:val="citaindirecta"/>
        <w:ind w:left="0" w:right="-138"/>
        <w:rPr>
          <w:noProof w:val="0"/>
        </w:rPr>
      </w:pPr>
      <w:r w:rsidRPr="0051351F">
        <w:rPr>
          <w:noProof w:val="0"/>
        </w:rPr>
        <w:t xml:space="preserve">Humberto Antonio Sierra Porto, </w:t>
      </w:r>
      <w:r w:rsidR="009F3D78" w:rsidRPr="0051351F">
        <w:rPr>
          <w:noProof w:val="0"/>
        </w:rPr>
        <w:t>President</w:t>
      </w:r>
    </w:p>
    <w:p w:rsidR="0038651D" w:rsidRPr="0051351F" w:rsidRDefault="0038651D" w:rsidP="00610904">
      <w:pPr>
        <w:pStyle w:val="citaindirecta"/>
        <w:ind w:left="0" w:right="-138"/>
        <w:rPr>
          <w:noProof w:val="0"/>
        </w:rPr>
      </w:pPr>
      <w:r w:rsidRPr="0051351F">
        <w:rPr>
          <w:noProof w:val="0"/>
        </w:rPr>
        <w:t>Roberto F. Caldas, Vice</w:t>
      </w:r>
      <w:r w:rsidR="009F3D78" w:rsidRPr="0051351F">
        <w:rPr>
          <w:noProof w:val="0"/>
        </w:rPr>
        <w:t xml:space="preserve"> President</w:t>
      </w:r>
      <w:r w:rsidRPr="0051351F">
        <w:rPr>
          <w:noProof w:val="0"/>
        </w:rPr>
        <w:t xml:space="preserve"> </w:t>
      </w:r>
    </w:p>
    <w:p w:rsidR="0038651D" w:rsidRPr="0051351F" w:rsidRDefault="0038651D" w:rsidP="00610904">
      <w:pPr>
        <w:pStyle w:val="citaindirecta"/>
        <w:ind w:left="0" w:right="-138"/>
        <w:rPr>
          <w:noProof w:val="0"/>
        </w:rPr>
      </w:pPr>
      <w:r w:rsidRPr="0051351F">
        <w:rPr>
          <w:noProof w:val="0"/>
        </w:rPr>
        <w:t xml:space="preserve">Manuel E. Ventura Robles, </w:t>
      </w:r>
      <w:r w:rsidR="009F3D78" w:rsidRPr="0051351F">
        <w:rPr>
          <w:noProof w:val="0"/>
        </w:rPr>
        <w:t>Judge</w:t>
      </w:r>
    </w:p>
    <w:p w:rsidR="0038651D" w:rsidRPr="0051351F" w:rsidRDefault="0038651D" w:rsidP="00610904">
      <w:pPr>
        <w:pStyle w:val="citaindirecta"/>
        <w:ind w:left="0" w:right="-138"/>
        <w:rPr>
          <w:noProof w:val="0"/>
        </w:rPr>
      </w:pPr>
      <w:r w:rsidRPr="0051351F">
        <w:rPr>
          <w:noProof w:val="0"/>
        </w:rPr>
        <w:t xml:space="preserve">Diego García-Sayán, </w:t>
      </w:r>
      <w:r w:rsidR="009F3D78" w:rsidRPr="0051351F">
        <w:rPr>
          <w:noProof w:val="0"/>
        </w:rPr>
        <w:t>Judge</w:t>
      </w:r>
      <w:r w:rsidRPr="0051351F">
        <w:rPr>
          <w:noProof w:val="0"/>
        </w:rPr>
        <w:t xml:space="preserve"> </w:t>
      </w:r>
    </w:p>
    <w:p w:rsidR="0038651D" w:rsidRPr="00610904" w:rsidRDefault="0038651D" w:rsidP="00610904">
      <w:pPr>
        <w:pStyle w:val="citaindirecta"/>
        <w:ind w:left="0" w:right="-138"/>
        <w:rPr>
          <w:noProof w:val="0"/>
          <w:lang w:val="en-US"/>
        </w:rPr>
      </w:pPr>
      <w:r w:rsidRPr="00610904">
        <w:rPr>
          <w:noProof w:val="0"/>
          <w:lang w:val="en-US"/>
        </w:rPr>
        <w:t xml:space="preserve">Alberto Pérez Pérez, </w:t>
      </w:r>
      <w:r w:rsidR="009F3D78" w:rsidRPr="00610904">
        <w:rPr>
          <w:noProof w:val="0"/>
          <w:lang w:val="en-US"/>
        </w:rPr>
        <w:t>Judge</w:t>
      </w:r>
    </w:p>
    <w:p w:rsidR="0038651D" w:rsidRPr="00610904" w:rsidRDefault="0038651D" w:rsidP="00610904">
      <w:pPr>
        <w:pStyle w:val="citaindirecta"/>
        <w:ind w:left="0" w:right="-138"/>
        <w:rPr>
          <w:noProof w:val="0"/>
          <w:lang w:val="en-US"/>
        </w:rPr>
      </w:pPr>
      <w:r w:rsidRPr="00610904">
        <w:rPr>
          <w:noProof w:val="0"/>
          <w:lang w:val="en-US"/>
        </w:rPr>
        <w:t xml:space="preserve">Eduardo Vio Grossi, </w:t>
      </w:r>
      <w:r w:rsidR="009F3D78" w:rsidRPr="00610904">
        <w:rPr>
          <w:noProof w:val="0"/>
          <w:lang w:val="en-US"/>
        </w:rPr>
        <w:t>Judge</w:t>
      </w:r>
      <w:r w:rsidRPr="00610904">
        <w:rPr>
          <w:noProof w:val="0"/>
          <w:lang w:val="en-US"/>
        </w:rPr>
        <w:t>,</w:t>
      </w:r>
      <w:r w:rsidR="009F3D78" w:rsidRPr="00610904">
        <w:rPr>
          <w:noProof w:val="0"/>
          <w:lang w:val="en-US"/>
        </w:rPr>
        <w:t xml:space="preserve"> and </w:t>
      </w:r>
    </w:p>
    <w:p w:rsidR="0038651D" w:rsidRPr="00610904" w:rsidRDefault="0038651D" w:rsidP="00610904">
      <w:pPr>
        <w:ind w:right="-138"/>
        <w:rPr>
          <w:noProof w:val="0"/>
          <w:lang w:val="en-US"/>
        </w:rPr>
      </w:pPr>
      <w:r w:rsidRPr="00610904">
        <w:rPr>
          <w:noProof w:val="0"/>
          <w:lang w:val="en-US"/>
        </w:rPr>
        <w:t xml:space="preserve">Eduardo Ferrer Mac-Gregor Poisot, </w:t>
      </w:r>
      <w:r w:rsidR="009F3D78" w:rsidRPr="00610904">
        <w:rPr>
          <w:noProof w:val="0"/>
          <w:lang w:val="en-US"/>
        </w:rPr>
        <w:t>Judge</w:t>
      </w:r>
      <w:r w:rsidRPr="00610904">
        <w:rPr>
          <w:noProof w:val="0"/>
          <w:lang w:val="en-US"/>
        </w:rPr>
        <w:t>;</w:t>
      </w:r>
    </w:p>
    <w:p w:rsidR="0038651D" w:rsidRPr="00610904" w:rsidRDefault="0038651D" w:rsidP="00610904">
      <w:pPr>
        <w:ind w:right="-138"/>
        <w:rPr>
          <w:noProof w:val="0"/>
          <w:lang w:val="en-US"/>
        </w:rPr>
      </w:pPr>
    </w:p>
    <w:p w:rsidR="0038651D" w:rsidRPr="00610904" w:rsidRDefault="009F3D78" w:rsidP="00610904">
      <w:pPr>
        <w:ind w:right="-138"/>
        <w:rPr>
          <w:noProof w:val="0"/>
          <w:lang w:val="en-US"/>
        </w:rPr>
      </w:pPr>
      <w:proofErr w:type="gramStart"/>
      <w:r w:rsidRPr="00610904">
        <w:rPr>
          <w:noProof w:val="0"/>
          <w:lang w:val="en-US"/>
        </w:rPr>
        <w:t>also</w:t>
      </w:r>
      <w:proofErr w:type="gramEnd"/>
      <w:r w:rsidRPr="00610904">
        <w:rPr>
          <w:noProof w:val="0"/>
          <w:lang w:val="en-US"/>
        </w:rPr>
        <w:t xml:space="preserve"> present</w:t>
      </w:r>
      <w:r w:rsidR="0038651D" w:rsidRPr="00610904">
        <w:rPr>
          <w:noProof w:val="0"/>
          <w:lang w:val="en-US"/>
        </w:rPr>
        <w:t>,</w:t>
      </w:r>
    </w:p>
    <w:p w:rsidR="0038651D" w:rsidRPr="00610904" w:rsidRDefault="0038651D" w:rsidP="00610904">
      <w:pPr>
        <w:ind w:right="-138"/>
        <w:rPr>
          <w:noProof w:val="0"/>
          <w:lang w:val="en-US"/>
        </w:rPr>
      </w:pPr>
    </w:p>
    <w:p w:rsidR="0038651D" w:rsidRPr="00610904" w:rsidRDefault="0038651D" w:rsidP="00610904">
      <w:pPr>
        <w:rPr>
          <w:noProof w:val="0"/>
          <w:lang w:val="en-US"/>
        </w:rPr>
      </w:pPr>
      <w:r w:rsidRPr="00610904">
        <w:rPr>
          <w:noProof w:val="0"/>
          <w:lang w:val="en-US"/>
        </w:rPr>
        <w:t xml:space="preserve">Pablo Saavedra Alessandri, </w:t>
      </w:r>
      <w:r w:rsidR="009F3D78" w:rsidRPr="00610904">
        <w:rPr>
          <w:noProof w:val="0"/>
          <w:lang w:val="en-US"/>
        </w:rPr>
        <w:t>Secretary, and</w:t>
      </w:r>
    </w:p>
    <w:p w:rsidR="0038651D" w:rsidRPr="0051351F" w:rsidRDefault="0038651D" w:rsidP="00610904">
      <w:pPr>
        <w:ind w:right="-138"/>
        <w:rPr>
          <w:noProof w:val="0"/>
        </w:rPr>
      </w:pPr>
      <w:r w:rsidRPr="0051351F">
        <w:rPr>
          <w:noProof w:val="0"/>
        </w:rPr>
        <w:t xml:space="preserve">Emilia Segares Rodríguez, </w:t>
      </w:r>
      <w:r w:rsidR="009F3D78" w:rsidRPr="0051351F">
        <w:rPr>
          <w:noProof w:val="0"/>
        </w:rPr>
        <w:t>Deputy Secretary</w:t>
      </w:r>
      <w:r w:rsidRPr="0051351F">
        <w:rPr>
          <w:noProof w:val="0"/>
        </w:rPr>
        <w:t>,</w:t>
      </w:r>
    </w:p>
    <w:p w:rsidR="0038651D" w:rsidRPr="0051351F" w:rsidRDefault="0038651D" w:rsidP="00610904">
      <w:pPr>
        <w:ind w:right="-138"/>
        <w:rPr>
          <w:noProof w:val="0"/>
        </w:rPr>
      </w:pPr>
    </w:p>
    <w:p w:rsidR="0038651D" w:rsidRPr="00610904" w:rsidRDefault="009F3D78" w:rsidP="00610904">
      <w:pPr>
        <w:ind w:right="-138"/>
        <w:rPr>
          <w:noProof w:val="0"/>
          <w:lang w:val="en-US"/>
        </w:rPr>
      </w:pPr>
      <w:proofErr w:type="gramStart"/>
      <w:r w:rsidRPr="00610904">
        <w:rPr>
          <w:noProof w:val="0"/>
          <w:lang w:val="en-US"/>
        </w:rPr>
        <w:t>pursuant</w:t>
      </w:r>
      <w:proofErr w:type="gramEnd"/>
      <w:r w:rsidRPr="00610904">
        <w:rPr>
          <w:noProof w:val="0"/>
          <w:lang w:val="en-US"/>
        </w:rPr>
        <w:t xml:space="preserve"> to</w:t>
      </w:r>
      <w:r w:rsidR="0038651D" w:rsidRPr="00610904">
        <w:rPr>
          <w:noProof w:val="0"/>
          <w:lang w:val="en-US"/>
        </w:rPr>
        <w:t xml:space="preserve"> </w:t>
      </w:r>
      <w:r w:rsidRPr="00610904">
        <w:rPr>
          <w:noProof w:val="0"/>
          <w:lang w:val="en-US"/>
        </w:rPr>
        <w:t>Articles</w:t>
      </w:r>
      <w:r w:rsidR="0038651D" w:rsidRPr="00610904">
        <w:rPr>
          <w:noProof w:val="0"/>
          <w:lang w:val="en-US"/>
        </w:rPr>
        <w:t xml:space="preserve"> </w:t>
      </w:r>
      <w:r w:rsidRPr="00610904">
        <w:rPr>
          <w:noProof w:val="0"/>
          <w:lang w:val="en-US"/>
        </w:rPr>
        <w:t>62(3) and 63(1) of the American Convention on Human Rights</w:t>
      </w:r>
      <w:r w:rsidR="0038651D" w:rsidRPr="00610904">
        <w:rPr>
          <w:noProof w:val="0"/>
          <w:lang w:val="en-US"/>
        </w:rPr>
        <w:t xml:space="preserve"> (</w:t>
      </w:r>
      <w:r w:rsidRPr="00610904">
        <w:rPr>
          <w:noProof w:val="0"/>
          <w:lang w:val="en-US"/>
        </w:rPr>
        <w:t>hereinafter</w:t>
      </w:r>
      <w:r w:rsidR="0038651D" w:rsidRPr="00610904">
        <w:rPr>
          <w:noProof w:val="0"/>
          <w:lang w:val="en-US"/>
        </w:rPr>
        <w:t>, “</w:t>
      </w:r>
      <w:r w:rsidRPr="00610904">
        <w:rPr>
          <w:noProof w:val="0"/>
          <w:lang w:val="en-US"/>
        </w:rPr>
        <w:t>the American Convention</w:t>
      </w:r>
      <w:r w:rsidR="0038651D" w:rsidRPr="00610904">
        <w:rPr>
          <w:noProof w:val="0"/>
          <w:lang w:val="en-US"/>
        </w:rPr>
        <w:t>” o</w:t>
      </w:r>
      <w:r w:rsidRPr="00610904">
        <w:rPr>
          <w:noProof w:val="0"/>
          <w:lang w:val="en-US"/>
        </w:rPr>
        <w:t>r</w:t>
      </w:r>
      <w:r w:rsidR="0038651D" w:rsidRPr="00610904">
        <w:rPr>
          <w:noProof w:val="0"/>
          <w:lang w:val="en-US"/>
        </w:rPr>
        <w:t xml:space="preserve"> “</w:t>
      </w:r>
      <w:r w:rsidRPr="00610904">
        <w:rPr>
          <w:noProof w:val="0"/>
          <w:lang w:val="en-US"/>
        </w:rPr>
        <w:t>the Convention</w:t>
      </w:r>
      <w:r w:rsidR="0038651D" w:rsidRPr="00610904">
        <w:rPr>
          <w:noProof w:val="0"/>
          <w:lang w:val="en-US"/>
        </w:rPr>
        <w:t>”)</w:t>
      </w:r>
      <w:r w:rsidRPr="00610904">
        <w:rPr>
          <w:noProof w:val="0"/>
          <w:lang w:val="en-US"/>
        </w:rPr>
        <w:t xml:space="preserve"> and Articles</w:t>
      </w:r>
      <w:r w:rsidR="0038651D" w:rsidRPr="00610904">
        <w:rPr>
          <w:noProof w:val="0"/>
          <w:lang w:val="en-US"/>
        </w:rPr>
        <w:t xml:space="preserve"> 31, 32, 42, 65</w:t>
      </w:r>
      <w:r w:rsidRPr="00610904">
        <w:rPr>
          <w:noProof w:val="0"/>
          <w:lang w:val="en-US"/>
        </w:rPr>
        <w:t xml:space="preserve"> and 67 of the Rules of Procedure of the Court</w:t>
      </w:r>
      <w:r w:rsidR="0038651D" w:rsidRPr="00610904">
        <w:rPr>
          <w:noProof w:val="0"/>
          <w:lang w:val="en-US"/>
        </w:rPr>
        <w:t xml:space="preserve"> (</w:t>
      </w:r>
      <w:r w:rsidRPr="00610904">
        <w:rPr>
          <w:noProof w:val="0"/>
          <w:lang w:val="en-US"/>
        </w:rPr>
        <w:t>hereinafter</w:t>
      </w:r>
      <w:r w:rsidR="0038651D" w:rsidRPr="00610904">
        <w:rPr>
          <w:noProof w:val="0"/>
          <w:lang w:val="en-US"/>
        </w:rPr>
        <w:t xml:space="preserve"> “</w:t>
      </w:r>
      <w:r w:rsidRPr="00610904">
        <w:rPr>
          <w:noProof w:val="0"/>
          <w:lang w:val="en-US"/>
        </w:rPr>
        <w:t>the Rules of Procedure</w:t>
      </w:r>
      <w:r w:rsidR="0038651D" w:rsidRPr="00610904">
        <w:rPr>
          <w:noProof w:val="0"/>
          <w:lang w:val="en-US"/>
        </w:rPr>
        <w:t>” o</w:t>
      </w:r>
      <w:r w:rsidRPr="00610904">
        <w:rPr>
          <w:noProof w:val="0"/>
          <w:lang w:val="en-US"/>
        </w:rPr>
        <w:t>r</w:t>
      </w:r>
      <w:r w:rsidR="0038651D" w:rsidRPr="00610904">
        <w:rPr>
          <w:noProof w:val="0"/>
          <w:lang w:val="en-US"/>
        </w:rPr>
        <w:t xml:space="preserve"> “</w:t>
      </w:r>
      <w:r w:rsidRPr="00610904">
        <w:rPr>
          <w:noProof w:val="0"/>
          <w:lang w:val="en-US"/>
        </w:rPr>
        <w:t>the Court’s Rules of Procedure</w:t>
      </w:r>
      <w:r w:rsidR="0038651D" w:rsidRPr="00610904">
        <w:rPr>
          <w:noProof w:val="0"/>
          <w:lang w:val="en-US"/>
        </w:rPr>
        <w:t>”), d</w:t>
      </w:r>
      <w:r w:rsidRPr="00610904">
        <w:rPr>
          <w:noProof w:val="0"/>
          <w:lang w:val="en-US"/>
        </w:rPr>
        <w:t>elivers this Judgment structured as follows</w:t>
      </w:r>
      <w:r w:rsidR="0038651D" w:rsidRPr="00610904">
        <w:rPr>
          <w:noProof w:val="0"/>
          <w:lang w:val="en-US"/>
        </w:rPr>
        <w:t>:</w:t>
      </w:r>
    </w:p>
    <w:p w:rsidR="0038651D" w:rsidRPr="00610904" w:rsidRDefault="0038651D" w:rsidP="00610904">
      <w:pPr>
        <w:ind w:right="-138"/>
        <w:rPr>
          <w:noProof w:val="0"/>
          <w:lang w:val="en-US"/>
        </w:rPr>
      </w:pPr>
      <w:r w:rsidRPr="00610904">
        <w:rPr>
          <w:noProof w:val="0"/>
          <w:lang w:val="en-US"/>
        </w:rPr>
        <w:br w:type="page"/>
      </w:r>
    </w:p>
    <w:p w:rsidR="0038651D" w:rsidRPr="00610904" w:rsidRDefault="0038651D" w:rsidP="00610904">
      <w:pPr>
        <w:jc w:val="center"/>
        <w:rPr>
          <w:b/>
          <w:noProof w:val="0"/>
          <w:lang w:val="en-US"/>
        </w:rPr>
      </w:pPr>
      <w:r w:rsidRPr="00610904">
        <w:rPr>
          <w:b/>
          <w:noProof w:val="0"/>
          <w:lang w:val="en-US"/>
        </w:rPr>
        <w:lastRenderedPageBreak/>
        <w:t>TABL</w:t>
      </w:r>
      <w:r w:rsidR="00FE0141" w:rsidRPr="00610904">
        <w:rPr>
          <w:b/>
          <w:noProof w:val="0"/>
          <w:lang w:val="en-US"/>
        </w:rPr>
        <w:t>E OF CONTENTS</w:t>
      </w:r>
    </w:p>
    <w:p w:rsidR="0038651D" w:rsidRPr="00610904" w:rsidRDefault="0038651D" w:rsidP="00610904">
      <w:pPr>
        <w:jc w:val="center"/>
        <w:rPr>
          <w:b/>
          <w:noProof w:val="0"/>
          <w:lang w:val="en-US"/>
        </w:rPr>
      </w:pPr>
    </w:p>
    <w:p w:rsidR="00D0798C" w:rsidRPr="00610904" w:rsidRDefault="0038651D" w:rsidP="00610904">
      <w:pPr>
        <w:pStyle w:val="TOC1"/>
        <w:tabs>
          <w:tab w:val="right" w:leader="dot" w:pos="9465"/>
        </w:tabs>
        <w:rPr>
          <w:rFonts w:asciiTheme="minorHAnsi" w:eastAsiaTheme="minorEastAsia" w:hAnsiTheme="minorHAnsi" w:cstheme="minorBidi"/>
          <w:b w:val="0"/>
          <w:noProof w:val="0"/>
          <w:sz w:val="22"/>
          <w:szCs w:val="22"/>
          <w:lang w:val="en-US"/>
        </w:rPr>
      </w:pPr>
      <w:r w:rsidRPr="00610904">
        <w:rPr>
          <w:b w:val="0"/>
          <w:noProof w:val="0"/>
          <w:lang w:val="en-US"/>
        </w:rPr>
        <w:fldChar w:fldCharType="begin"/>
      </w:r>
      <w:r w:rsidRPr="00610904">
        <w:rPr>
          <w:b w:val="0"/>
          <w:noProof w:val="0"/>
          <w:lang w:val="en-US"/>
        </w:rPr>
        <w:instrText xml:space="preserve"> TOC \o "1-5" \h \z \u </w:instrText>
      </w:r>
      <w:r w:rsidRPr="00610904">
        <w:rPr>
          <w:b w:val="0"/>
          <w:noProof w:val="0"/>
          <w:lang w:val="en-US"/>
        </w:rPr>
        <w:fldChar w:fldCharType="separate"/>
      </w:r>
      <w:hyperlink w:anchor="_Toc443399071" w:history="1">
        <w:r w:rsidR="00D0798C" w:rsidRPr="00610904">
          <w:rPr>
            <w:rStyle w:val="Hyperlink"/>
            <w:noProof w:val="0"/>
            <w:lang w:val="en-US"/>
          </w:rPr>
          <w:t>I. INTRODUCTION OF THE CASE AND PURPOSE OF THE DISPUTE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4</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72" w:history="1">
        <w:r w:rsidR="00D0798C" w:rsidRPr="00610904">
          <w:rPr>
            <w:rStyle w:val="Hyperlink"/>
            <w:noProof w:val="0"/>
            <w:lang w:val="en-US"/>
          </w:rPr>
          <w:t>II PROCEEDINGS BEFORE THE COURT</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5</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73" w:history="1">
        <w:r w:rsidR="00D0798C" w:rsidRPr="00610904">
          <w:rPr>
            <w:rStyle w:val="Hyperlink"/>
            <w:noProof w:val="0"/>
            <w:lang w:val="en-US"/>
          </w:rPr>
          <w:t>III JURISDICTION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7</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74" w:history="1">
        <w:r w:rsidR="00D0798C" w:rsidRPr="00610904">
          <w:rPr>
            <w:rStyle w:val="Hyperlink"/>
            <w:noProof w:val="0"/>
            <w:lang w:val="en-US"/>
          </w:rPr>
          <w:t>IV PRELIMINARY OBJECTION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75" w:history="1">
        <w:r w:rsidR="00D0798C" w:rsidRPr="00610904">
          <w:rPr>
            <w:rStyle w:val="Hyperlink"/>
            <w:noProof w:val="0"/>
            <w:lang w:val="en-US" w:eastAsia="es-E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eastAsia="es-ES"/>
          </w:rPr>
          <w:t>Alleged failure to exhaust domestic remedies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76" w:history="1">
        <w:r w:rsidR="00D0798C" w:rsidRPr="00610904">
          <w:rPr>
            <w:rStyle w:val="Hyperlink"/>
            <w:noProof w:val="0"/>
            <w:lang w:val="en-US"/>
          </w:rPr>
          <w:t>V PRELIMINARY CONSIDERATIONS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77" w:history="1">
        <w:r w:rsidR="00D0798C" w:rsidRPr="00610904">
          <w:rPr>
            <w:rStyle w:val="Hyperlink"/>
            <w:rFonts w:eastAsia="Calibri"/>
            <w:noProof w:val="0"/>
            <w:lang w:val="en-U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rFonts w:eastAsia="Calibri"/>
            <w:noProof w:val="0"/>
            <w:lang w:val="en-US"/>
          </w:rPr>
          <w:t>The factual framework of this case and presumed violations of rights other than those established by the Commission in its reports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78" w:history="1">
        <w:r w:rsidR="00D0798C" w:rsidRPr="00610904">
          <w:rPr>
            <w:rStyle w:val="Hyperlink"/>
            <w:rFonts w:eastAsia="Calibri"/>
            <w:noProof w:val="0"/>
            <w:lang w:val="en-US"/>
          </w:rPr>
          <w:t>B.</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rFonts w:eastAsia="Calibri"/>
            <w:noProof w:val="0"/>
            <w:lang w:val="en-US"/>
          </w:rPr>
          <w:t>The determination of the presumed victims in this case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13</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79" w:history="1">
        <w:r w:rsidR="00D0798C" w:rsidRPr="00610904">
          <w:rPr>
            <w:rStyle w:val="Hyperlink"/>
            <w:noProof w:val="0"/>
            <w:lang w:val="en-US"/>
          </w:rPr>
          <w:t>VI ALLEGED ACKNOWLEDGEMENT OF ONE FACT</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_Toc443399079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13</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80" w:history="1">
        <w:r w:rsidR="00D0798C" w:rsidRPr="00610904">
          <w:rPr>
            <w:rStyle w:val="Hyperlink"/>
            <w:noProof w:val="0"/>
            <w:lang w:val="en-US"/>
          </w:rPr>
          <w:t>VII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15</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81" w:history="1">
        <w:r w:rsidR="00D0798C" w:rsidRPr="00610904">
          <w:rPr>
            <w:rStyle w:val="Hyperlink"/>
            <w:noProof w:val="0"/>
            <w:lang w:val="en-U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Documentary, testimonial and expert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16</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82" w:history="1">
        <w:r w:rsidR="00D0798C" w:rsidRPr="00610904">
          <w:rPr>
            <w:rStyle w:val="Hyperlink"/>
            <w:noProof w:val="0"/>
            <w:lang w:val="en-US"/>
          </w:rPr>
          <w:t>B.</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Admission of the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16</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083" w:history="1">
        <w:r w:rsidR="00D0798C" w:rsidRPr="00610904">
          <w:rPr>
            <w:rStyle w:val="Hyperlink"/>
            <w:noProof w:val="0"/>
            <w:lang w:val="en-US"/>
          </w:rPr>
          <w:t>B.1) Admission of the documetary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16</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084" w:history="1">
        <w:r w:rsidR="00D0798C" w:rsidRPr="00610904">
          <w:rPr>
            <w:rStyle w:val="Hyperlink"/>
            <w:noProof w:val="0"/>
            <w:lang w:val="en-US"/>
          </w:rPr>
          <w:t>B.2) Admission of the testimonial and expert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17</w:t>
        </w:r>
        <w:r w:rsidR="00D0798C" w:rsidRPr="00610904">
          <w:rPr>
            <w:noProof w:val="0"/>
            <w:webHidden/>
            <w:lang w:val="en-US"/>
          </w:rPr>
          <w:fldChar w:fldCharType="end"/>
        </w:r>
      </w:hyperlink>
    </w:p>
    <w:p w:rsidR="00D0798C" w:rsidRPr="00610904" w:rsidRDefault="00E50BFC" w:rsidP="00610904">
      <w:pPr>
        <w:pStyle w:val="TOC3"/>
        <w:tabs>
          <w:tab w:val="left" w:pos="1320"/>
        </w:tabs>
        <w:rPr>
          <w:rFonts w:asciiTheme="minorHAnsi" w:eastAsiaTheme="minorEastAsia" w:hAnsiTheme="minorHAnsi" w:cstheme="minorBidi"/>
          <w:noProof w:val="0"/>
          <w:sz w:val="22"/>
          <w:szCs w:val="22"/>
          <w:lang w:val="en-US"/>
        </w:rPr>
      </w:pPr>
      <w:hyperlink w:anchor="_Toc443399085" w:history="1">
        <w:r w:rsidR="00D0798C" w:rsidRPr="00610904">
          <w:rPr>
            <w:rStyle w:val="Hyperlink"/>
            <w:rFonts w:eastAsia="Times New Roman" w:cs="Times New Roman"/>
            <w:bCs/>
            <w:i/>
            <w:noProof w:val="0"/>
            <w:lang w:val="en-US"/>
          </w:rPr>
          <w:t>B.2.1)</w:t>
        </w:r>
        <w:r w:rsidR="00D0798C" w:rsidRPr="00610904">
          <w:rPr>
            <w:rFonts w:asciiTheme="minorHAnsi" w:eastAsiaTheme="minorEastAsia" w:hAnsiTheme="minorHAnsi" w:cstheme="minorBidi"/>
            <w:noProof w:val="0"/>
            <w:sz w:val="22"/>
            <w:szCs w:val="22"/>
            <w:lang w:val="en-US"/>
          </w:rPr>
          <w:tab/>
        </w:r>
        <w:r w:rsidR="00D0798C" w:rsidRPr="00610904">
          <w:rPr>
            <w:rStyle w:val="Hyperlink"/>
            <w:rFonts w:eastAsia="Times New Roman" w:cs="Times New Roman"/>
            <w:bCs/>
            <w:i/>
            <w:noProof w:val="0"/>
            <w:lang w:val="en-US"/>
          </w:rPr>
          <w:t>Observations on several affidavits presented by the State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17</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86" w:history="1">
        <w:r w:rsidR="00D0798C" w:rsidRPr="00610904">
          <w:rPr>
            <w:rStyle w:val="Hyperlink"/>
            <w:noProof w:val="0"/>
            <w:lang w:val="en-US"/>
          </w:rPr>
          <w:t>C.</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Assessment of the evidence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18</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87" w:history="1">
        <w:r w:rsidR="00D0798C" w:rsidRPr="00610904">
          <w:rPr>
            <w:rStyle w:val="Hyperlink"/>
            <w:noProof w:val="0"/>
            <w:lang w:val="en-US"/>
          </w:rPr>
          <w:t>VIII FACTS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19</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88" w:history="1">
        <w:r w:rsidR="00D0798C" w:rsidRPr="00610904">
          <w:rPr>
            <w:rStyle w:val="Hyperlink"/>
            <w:noProof w:val="0"/>
            <w:lang w:val="en-U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Regulation of the Red Cross and the blood banks in Ecuador</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19</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89" w:history="1">
        <w:r w:rsidR="00D0798C" w:rsidRPr="00610904">
          <w:rPr>
            <w:rStyle w:val="Hyperlink"/>
            <w:rFonts w:cs="Arial"/>
            <w:noProof w:val="0"/>
            <w:lang w:val="en-US"/>
          </w:rPr>
          <w:t>B.</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Talía’s health, her hospitalization, and the blood transfusion of June 22, 1998</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_Toc443399089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22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0" w:history="1">
        <w:r w:rsidR="00D0798C" w:rsidRPr="00610904">
          <w:rPr>
            <w:rStyle w:val="Hyperlink"/>
            <w:noProof w:val="0"/>
            <w:lang w:val="en-US"/>
          </w:rPr>
          <w:t>C.</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Talia’s infection with HIV</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22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1" w:history="1">
        <w:r w:rsidR="00D0798C" w:rsidRPr="00610904">
          <w:rPr>
            <w:rStyle w:val="Hyperlink"/>
            <w:noProof w:val="0"/>
            <w:lang w:val="en-US"/>
          </w:rPr>
          <w:t>D.</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The criminal action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23</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2" w:history="1">
        <w:r w:rsidR="00D0798C" w:rsidRPr="00610904">
          <w:rPr>
            <w:rStyle w:val="Hyperlink"/>
            <w:noProof w:val="0"/>
            <w:lang w:val="en-US"/>
          </w:rPr>
          <w:t>E.</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The civil action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30</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093" w:history="1">
        <w:r w:rsidR="00D0798C" w:rsidRPr="00610904">
          <w:rPr>
            <w:rStyle w:val="Hyperlink"/>
            <w:noProof w:val="0"/>
            <w:lang w:val="en-US"/>
          </w:rPr>
          <w:t>E.1 Waiver of court costs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30</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094" w:history="1">
        <w:r w:rsidR="00D0798C" w:rsidRPr="00610904">
          <w:rPr>
            <w:rStyle w:val="Hyperlink"/>
            <w:noProof w:val="0"/>
            <w:lang w:val="en-US"/>
          </w:rPr>
          <w:t>E.2 Claim for damages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31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5" w:history="1">
        <w:r w:rsidR="00D0798C" w:rsidRPr="00610904">
          <w:rPr>
            <w:rStyle w:val="Hyperlink"/>
            <w:noProof w:val="0"/>
            <w:lang w:val="en-US"/>
          </w:rPr>
          <w:t>F.</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The impact on Talía’s education of her situation as a person with HIV</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33</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6" w:history="1">
        <w:r w:rsidR="00D0798C" w:rsidRPr="00610904">
          <w:rPr>
            <w:rStyle w:val="Hyperlink"/>
            <w:noProof w:val="0"/>
            <w:lang w:val="en-US"/>
          </w:rPr>
          <w:t>G.</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 xml:space="preserve">Facts related to the health care and treatment received by </w:t>
        </w:r>
        <w:r w:rsidR="00D0798C" w:rsidRPr="00610904">
          <w:rPr>
            <w:rStyle w:val="Hyperlink"/>
            <w:rFonts w:cs="Arial"/>
            <w:noProof w:val="0"/>
            <w:lang w:val="en-US"/>
          </w:rPr>
          <w:t>Talía Gonzales Lluy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35</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7" w:history="1">
        <w:r w:rsidR="00D0798C" w:rsidRPr="00610904">
          <w:rPr>
            <w:rStyle w:val="Hyperlink"/>
            <w:noProof w:val="0"/>
            <w:lang w:val="en-US"/>
          </w:rPr>
          <w:t>H.</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Situation of poverty faced by the Lluy family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40</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098" w:history="1">
        <w:r w:rsidR="00D0798C" w:rsidRPr="00610904">
          <w:rPr>
            <w:rStyle w:val="Hyperlink"/>
            <w:noProof w:val="0"/>
            <w:lang w:val="en-US"/>
          </w:rPr>
          <w:t>IX RIGHT TO LIFE AND RIGHT TO PERSONAL INTEGRITY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40</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099" w:history="1">
        <w:r w:rsidR="00D0798C" w:rsidRPr="00610904">
          <w:rPr>
            <w:rStyle w:val="Hyperlink"/>
            <w:noProof w:val="0"/>
            <w:lang w:val="en-U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Right to life, right to personal integrity and right to health in relation to the obligation to regulate, monitor and supervise the services provided by private health care centers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_Toc443399099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46</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00" w:history="1">
        <w:r w:rsidR="00D0798C" w:rsidRPr="00610904">
          <w:rPr>
            <w:rStyle w:val="Hyperlink"/>
            <w:noProof w:val="0"/>
            <w:lang w:val="en-US"/>
          </w:rPr>
          <w:t>B.</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Availability, accessibility, acceptability and quality of health care within the framework of the right to life and to personal integrity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52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01" w:history="1">
        <w:r w:rsidR="00D0798C" w:rsidRPr="00610904">
          <w:rPr>
            <w:rStyle w:val="Hyperlink"/>
            <w:caps/>
            <w:noProof w:val="0"/>
            <w:lang w:val="en-US"/>
          </w:rPr>
          <w:t>C.</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Right to personal integrity of Teresa Lluy and Iván Lluy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56</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102" w:history="1">
        <w:r w:rsidR="00D0798C" w:rsidRPr="00610904">
          <w:rPr>
            <w:rStyle w:val="Hyperlink"/>
            <w:noProof w:val="0"/>
            <w:lang w:val="en-US"/>
          </w:rPr>
          <w:t>X RIGHT TO EDUCATION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60</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03" w:history="1">
        <w:r w:rsidR="00D0798C" w:rsidRPr="00610904">
          <w:rPr>
            <w:rStyle w:val="Hyperlink"/>
            <w:noProof w:val="0"/>
            <w:lang w:val="en-US"/>
          </w:rPr>
          <w:t>A. The relevant implications of the right to education in this case: the right to education of persons with medical conditions such as HIV/AIDS that could result in disabilities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62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04" w:history="1">
        <w:r w:rsidR="00D0798C" w:rsidRPr="00610904">
          <w:rPr>
            <w:rStyle w:val="Hyperlink"/>
            <w:noProof w:val="0"/>
            <w:lang w:val="en-US"/>
          </w:rPr>
          <w:t xml:space="preserve">B. Right to remain within the </w:t>
        </w:r>
        <w:r w:rsidR="001A2523" w:rsidRPr="00610904">
          <w:rPr>
            <w:rStyle w:val="Hyperlink"/>
            <w:noProof w:val="0"/>
            <w:lang w:val="en-US"/>
          </w:rPr>
          <w:t>education system</w:t>
        </w:r>
        <w:r w:rsidR="00D0798C" w:rsidRPr="00610904">
          <w:rPr>
            <w:rStyle w:val="Hyperlink"/>
            <w:noProof w:val="0"/>
            <w:lang w:val="en-US"/>
          </w:rPr>
          <w:t>, right not to be discriminated against, and adaptability in relation to the right to education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65</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05" w:history="1">
        <w:r w:rsidR="00D0798C" w:rsidRPr="00610904">
          <w:rPr>
            <w:rStyle w:val="Hyperlink"/>
            <w:noProof w:val="0"/>
            <w:lang w:val="en-US"/>
          </w:rPr>
          <w:t>B.1. The difference in treatment based on Talía’s medical condition when she was expelled from school</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66</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06" w:history="1">
        <w:r w:rsidR="00D0798C" w:rsidRPr="00610904">
          <w:rPr>
            <w:rStyle w:val="Hyperlink"/>
            <w:noProof w:val="0"/>
            <w:lang w:val="en-US"/>
          </w:rPr>
          <w:t>B.2. The condition of being a person with HIV as a category protected by Article 1(1) of the American Convention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68</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07" w:history="1">
        <w:r w:rsidR="00D0798C" w:rsidRPr="00610904">
          <w:rPr>
            <w:rStyle w:val="Hyperlink"/>
            <w:noProof w:val="0"/>
            <w:lang w:val="en-US"/>
          </w:rPr>
          <w:t>B.3. Reversal of the burden of proof, suitability and strict necessity of the measure used to implement the differentiation of treatment</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72</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08" w:history="1">
        <w:r w:rsidR="00D0798C" w:rsidRPr="00610904">
          <w:rPr>
            <w:rStyle w:val="Hyperlink"/>
            <w:noProof w:val="0"/>
            <w:lang w:val="en-US"/>
          </w:rPr>
          <w:t>B.4. Attitudinal barriers associated with the stigma suffered by Talía and her family following her expulsion from school</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76</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09" w:history="1">
        <w:r w:rsidR="00D0798C" w:rsidRPr="00610904">
          <w:rPr>
            <w:rStyle w:val="Hyperlink"/>
            <w:noProof w:val="0"/>
            <w:lang w:val="en-US"/>
          </w:rPr>
          <w:t>B.5. Scope of the discrimination that occurred in this case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_Toc443399109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79</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110" w:history="1">
        <w:r w:rsidR="00D0798C" w:rsidRPr="00610904">
          <w:rPr>
            <w:rStyle w:val="Hyperlink"/>
            <w:noProof w:val="0"/>
            <w:lang w:val="en-US"/>
          </w:rPr>
          <w:t>XI JUDICIAL GUARANTEES AND JUDICIAL PROTECTION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11" w:history="1">
        <w:r w:rsidR="00D0798C" w:rsidRPr="00610904">
          <w:rPr>
            <w:rStyle w:val="Hyperlink"/>
            <w:noProof w:val="0"/>
            <w:lang w:val="en-US"/>
          </w:rPr>
          <w:t>A)</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Alleged violations of Article 8 of the Convention – judicial guarantees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81</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12" w:history="1">
        <w:r w:rsidR="00D0798C" w:rsidRPr="00610904">
          <w:rPr>
            <w:rStyle w:val="Hyperlink"/>
            <w:noProof w:val="0"/>
            <w:lang w:val="en-US"/>
          </w:rPr>
          <w:t>A.1. Right to be heard, to due diligence and to a reasonable time in criminal proceedings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81</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13" w:history="1">
        <w:r w:rsidR="00D0798C" w:rsidRPr="00610904">
          <w:rPr>
            <w:rStyle w:val="Hyperlink"/>
            <w:noProof w:val="0"/>
            <w:lang w:val="en-US"/>
          </w:rPr>
          <w:t>A.2. Due diligence and reasonable time in the civil proceedings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86</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14" w:history="1">
        <w:r w:rsidR="00D0798C" w:rsidRPr="00610904">
          <w:rPr>
            <w:rStyle w:val="Hyperlink"/>
            <w:noProof w:val="0"/>
            <w:lang w:val="en-US"/>
          </w:rPr>
          <w:t>A.3. Alleged impact of the lack of a prior judgment on the access to justice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87</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15" w:history="1">
        <w:r w:rsidR="00D0798C" w:rsidRPr="00610904">
          <w:rPr>
            <w:rStyle w:val="Hyperlink"/>
            <w:noProof w:val="0"/>
            <w:lang w:val="en-US"/>
          </w:rPr>
          <w:t>B)</w:t>
        </w:r>
        <w:r w:rsidR="00D0798C" w:rsidRPr="00610904">
          <w:rPr>
            <w:rFonts w:asciiTheme="minorHAnsi" w:eastAsiaTheme="minorEastAsia" w:hAnsiTheme="minorHAnsi" w:cstheme="minorBidi"/>
            <w:smallCaps w:val="0"/>
            <w:noProof w:val="0"/>
            <w:sz w:val="22"/>
            <w:szCs w:val="22"/>
            <w:lang w:val="en-US" w:bidi="ar-SA"/>
          </w:rPr>
          <w:tab/>
        </w:r>
        <w:r w:rsidR="00D0798C" w:rsidRPr="00610904">
          <w:rPr>
            <w:rStyle w:val="Hyperlink"/>
            <w:noProof w:val="0"/>
            <w:lang w:val="en-US"/>
          </w:rPr>
          <w:t>Alleged violation of Article 25 of the Convention – judicial protection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88</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16" w:history="1">
        <w:r w:rsidR="00D0798C" w:rsidRPr="00610904">
          <w:rPr>
            <w:rStyle w:val="Hyperlink"/>
            <w:noProof w:val="0"/>
            <w:lang w:val="en-US"/>
          </w:rPr>
          <w:t xml:space="preserve">B.1. Application for constitutional protection </w:t>
        </w:r>
        <w:r w:rsidR="00D0798C" w:rsidRPr="00610904">
          <w:rPr>
            <w:rStyle w:val="Hyperlink"/>
            <w:i/>
            <w:noProof w:val="0"/>
            <w:lang w:val="en-US"/>
          </w:rPr>
          <w:t>(amparo</w:t>
        </w:r>
        <w:r w:rsidR="00D0798C" w:rsidRPr="00610904">
          <w:rPr>
            <w:rStyle w:val="Hyperlink"/>
            <w:noProof w:val="0"/>
            <w:lang w:val="en-US"/>
          </w:rPr>
          <w:t>)</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89</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17" w:history="1">
        <w:r w:rsidR="00D0798C" w:rsidRPr="00610904">
          <w:rPr>
            <w:rStyle w:val="Hyperlink"/>
            <w:noProof w:val="0"/>
            <w:lang w:val="en-US"/>
          </w:rPr>
          <w:t>B.2. Civil and criminal proceedings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89</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118" w:history="1">
        <w:r w:rsidR="00D0798C" w:rsidRPr="00610904">
          <w:rPr>
            <w:rStyle w:val="Hyperlink"/>
            <w:rFonts w:eastAsia="Calibri" w:cs="Verdana"/>
            <w:bCs/>
            <w:caps/>
            <w:noProof w:val="0"/>
            <w:snapToGrid w:val="0"/>
            <w:spacing w:val="-2"/>
            <w:lang w:val="en-US" w:eastAsia="es-ES"/>
          </w:rPr>
          <w:t>XII REPARATIONS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19" w:history="1">
        <w:r w:rsidR="00D0798C" w:rsidRPr="00610904">
          <w:rPr>
            <w:rStyle w:val="Hyperlink"/>
            <w:rFonts w:eastAsia="Times New Roman"/>
            <w:b/>
            <w:bCs/>
            <w:i/>
            <w:noProof w:val="0"/>
            <w:lang w:val="en-US"/>
          </w:rPr>
          <w:t>A. Injured party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_Toc443399119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20" w:history="1">
        <w:r w:rsidR="00D0798C" w:rsidRPr="00610904">
          <w:rPr>
            <w:rStyle w:val="Hyperlink"/>
            <w:rFonts w:eastAsia="Times New Roman"/>
            <w:b/>
            <w:bCs/>
            <w:i/>
            <w:noProof w:val="0"/>
            <w:lang w:val="en-US"/>
          </w:rPr>
          <w:t>B. Obligation to investigate the facts and identify, prosecute and punish, as appropriate, those responsible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92</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21" w:history="1">
        <w:r w:rsidR="00D0798C" w:rsidRPr="00610904">
          <w:rPr>
            <w:rStyle w:val="Hyperlink"/>
            <w:rFonts w:eastAsia="Times New Roman"/>
            <w:b/>
            <w:bCs/>
            <w:i/>
            <w:noProof w:val="0"/>
            <w:lang w:val="en-US"/>
          </w:rPr>
          <w:t>C. Measures of restitution, rehabilitation and satisfaction, and guarantees of non-repetition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92</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22" w:history="1">
        <w:r w:rsidR="00D0798C" w:rsidRPr="00610904">
          <w:rPr>
            <w:rStyle w:val="Hyperlink"/>
            <w:i/>
            <w:noProof w:val="0"/>
            <w:spacing w:val="-2"/>
            <w:lang w:val="en-US"/>
          </w:rPr>
          <w:t>C.1)</w:t>
        </w:r>
        <w:r w:rsidR="00D0798C" w:rsidRPr="00610904">
          <w:rPr>
            <w:rFonts w:asciiTheme="minorHAnsi" w:eastAsiaTheme="minorEastAsia" w:hAnsiTheme="minorHAnsi" w:cstheme="minorBidi"/>
            <w:noProof w:val="0"/>
            <w:sz w:val="22"/>
            <w:szCs w:val="22"/>
            <w:lang w:val="en-US"/>
          </w:rPr>
          <w:tab/>
        </w:r>
        <w:r w:rsidR="00D0798C" w:rsidRPr="00610904">
          <w:rPr>
            <w:rStyle w:val="Hyperlink"/>
            <w:i/>
            <w:noProof w:val="0"/>
            <w:spacing w:val="-2"/>
            <w:lang w:val="en-US"/>
          </w:rPr>
          <w:t>Measures of restitution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92</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23" w:history="1">
        <w:r w:rsidR="00D0798C" w:rsidRPr="00610904">
          <w:rPr>
            <w:rStyle w:val="Hyperlink"/>
            <w:i/>
            <w:noProof w:val="0"/>
            <w:spacing w:val="-2"/>
            <w:lang w:val="en-US"/>
          </w:rPr>
          <w:t>C.2)</w:t>
        </w:r>
        <w:r w:rsidR="00D0798C" w:rsidRPr="00610904">
          <w:rPr>
            <w:rFonts w:asciiTheme="minorHAnsi" w:eastAsiaTheme="minorEastAsia" w:hAnsiTheme="minorHAnsi" w:cstheme="minorBidi"/>
            <w:noProof w:val="0"/>
            <w:sz w:val="22"/>
            <w:szCs w:val="22"/>
            <w:lang w:val="en-US"/>
          </w:rPr>
          <w:tab/>
        </w:r>
        <w:r w:rsidR="00D0798C" w:rsidRPr="00610904">
          <w:rPr>
            <w:rStyle w:val="Hyperlink"/>
            <w:i/>
            <w:noProof w:val="0"/>
            <w:spacing w:val="-2"/>
            <w:lang w:val="en-US"/>
          </w:rPr>
          <w:t>Measures of rehabilitation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93</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24" w:history="1">
        <w:r w:rsidR="00D0798C" w:rsidRPr="00610904">
          <w:rPr>
            <w:rStyle w:val="Hyperlink"/>
            <w:i/>
            <w:noProof w:val="0"/>
            <w:spacing w:val="-2"/>
            <w:lang w:val="en-US"/>
          </w:rPr>
          <w:t>C.3)</w:t>
        </w:r>
        <w:r w:rsidR="00D0798C" w:rsidRPr="00610904">
          <w:rPr>
            <w:rFonts w:asciiTheme="minorHAnsi" w:eastAsiaTheme="minorEastAsia" w:hAnsiTheme="minorHAnsi" w:cstheme="minorBidi"/>
            <w:noProof w:val="0"/>
            <w:sz w:val="22"/>
            <w:szCs w:val="22"/>
            <w:lang w:val="en-US"/>
          </w:rPr>
          <w:tab/>
        </w:r>
        <w:r w:rsidR="00D0798C" w:rsidRPr="00610904">
          <w:rPr>
            <w:rStyle w:val="Hyperlink"/>
            <w:i/>
            <w:noProof w:val="0"/>
            <w:spacing w:val="-2"/>
            <w:lang w:val="en-US"/>
          </w:rPr>
          <w:t>Measures of satisfaction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95</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25" w:history="1">
        <w:r w:rsidR="00FA3428" w:rsidRPr="00610904">
          <w:rPr>
            <w:rStyle w:val="Hyperlink"/>
            <w:noProof w:val="0"/>
            <w:lang w:val="en-US"/>
          </w:rPr>
          <w:t>C.3.1) Publicatio</w:t>
        </w:r>
        <w:r w:rsidR="00D0798C" w:rsidRPr="00610904">
          <w:rPr>
            <w:rStyle w:val="Hyperlink"/>
            <w:noProof w:val="0"/>
            <w:lang w:val="en-US"/>
          </w:rPr>
          <w:t>n of this Judgment</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95</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26" w:history="1">
        <w:r w:rsidR="00D0798C" w:rsidRPr="00610904">
          <w:rPr>
            <w:rStyle w:val="Hyperlink"/>
            <w:noProof w:val="0"/>
            <w:lang w:val="en-US"/>
          </w:rPr>
          <w:t>C.3.2) Public act to acknowledge international responsibility</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95</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27" w:history="1">
        <w:r w:rsidR="00D0798C" w:rsidRPr="00610904">
          <w:rPr>
            <w:rStyle w:val="Hyperlink"/>
            <w:noProof w:val="0"/>
            <w:lang w:val="en-US"/>
          </w:rPr>
          <w:t>C.3.3) Scholarship</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96</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28" w:history="1">
        <w:r w:rsidR="00D0798C" w:rsidRPr="00610904">
          <w:rPr>
            <w:rStyle w:val="Hyperlink"/>
            <w:noProof w:val="0"/>
            <w:lang w:val="en-US"/>
          </w:rPr>
          <w:t>C.3.4) Provision of housing</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97</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29" w:history="1">
        <w:r w:rsidR="00D0798C" w:rsidRPr="00610904">
          <w:rPr>
            <w:rStyle w:val="Hyperlink"/>
            <w:i/>
            <w:noProof w:val="0"/>
            <w:spacing w:val="-2"/>
            <w:lang w:val="en-US"/>
          </w:rPr>
          <w:t>C.4)</w:t>
        </w:r>
        <w:r w:rsidR="00D0798C" w:rsidRPr="00610904">
          <w:rPr>
            <w:rFonts w:asciiTheme="minorHAnsi" w:eastAsiaTheme="minorEastAsia" w:hAnsiTheme="minorHAnsi" w:cstheme="minorBidi"/>
            <w:noProof w:val="0"/>
            <w:sz w:val="22"/>
            <w:szCs w:val="22"/>
            <w:lang w:val="en-US"/>
          </w:rPr>
          <w:tab/>
        </w:r>
        <w:r w:rsidR="00D0798C" w:rsidRPr="00610904">
          <w:rPr>
            <w:rStyle w:val="Hyperlink"/>
            <w:i/>
            <w:noProof w:val="0"/>
            <w:spacing w:val="-2"/>
            <w:lang w:val="en-US"/>
          </w:rPr>
          <w:t>Guarantees of non-repetition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_Toc443399129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97</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30" w:history="1">
        <w:r w:rsidR="00D0798C" w:rsidRPr="00610904">
          <w:rPr>
            <w:rStyle w:val="Hyperlink"/>
            <w:noProof w:val="0"/>
            <w:lang w:val="en-US"/>
          </w:rPr>
          <w:t>C.4.1) Guarantees of non-repetition in the area of health</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_Toc443399130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97</w:t>
        </w:r>
        <w:r w:rsidR="00D0798C" w:rsidRPr="00610904">
          <w:rPr>
            <w:noProof w:val="0"/>
            <w:webHidden/>
            <w:lang w:val="en-US"/>
          </w:rPr>
          <w:fldChar w:fldCharType="end"/>
        </w:r>
      </w:hyperlink>
    </w:p>
    <w:p w:rsidR="00D0798C" w:rsidRPr="00610904" w:rsidRDefault="00E50BFC" w:rsidP="00610904">
      <w:pPr>
        <w:pStyle w:val="TOC4"/>
        <w:tabs>
          <w:tab w:val="right" w:leader="dot" w:pos="9465"/>
        </w:tabs>
        <w:rPr>
          <w:rFonts w:asciiTheme="minorHAnsi" w:eastAsiaTheme="minorEastAsia" w:hAnsiTheme="minorHAnsi" w:cstheme="minorBidi"/>
          <w:noProof w:val="0"/>
          <w:sz w:val="22"/>
          <w:szCs w:val="22"/>
          <w:lang w:val="en-US"/>
        </w:rPr>
      </w:pPr>
      <w:hyperlink w:anchor="_Toc443399131" w:history="1">
        <w:r w:rsidR="00D0798C" w:rsidRPr="00610904">
          <w:rPr>
            <w:rStyle w:val="Hyperlink"/>
            <w:noProof w:val="0"/>
            <w:lang w:val="en-US"/>
          </w:rPr>
          <w:t>C.4.2) Guarantees of non-repetition in the area of education and non-discrimination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_Toc443399131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101</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32" w:history="1">
        <w:r w:rsidR="00D0798C" w:rsidRPr="00610904">
          <w:rPr>
            <w:rStyle w:val="Hyperlink"/>
            <w:rFonts w:eastAsia="Times New Roman"/>
            <w:b/>
            <w:bCs/>
            <w:i/>
            <w:noProof w:val="0"/>
            <w:lang w:val="en-US"/>
          </w:rPr>
          <w:t>D. Compensation</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_Toc443399132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103</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33" w:history="1">
        <w:r w:rsidR="00D0798C" w:rsidRPr="00610904">
          <w:rPr>
            <w:rStyle w:val="Hyperlink"/>
            <w:noProof w:val="0"/>
            <w:lang w:val="en-US"/>
          </w:rPr>
          <w:t>D.1)</w:t>
        </w:r>
        <w:r w:rsidR="00D0798C" w:rsidRPr="00610904">
          <w:rPr>
            <w:rFonts w:asciiTheme="minorHAnsi" w:eastAsiaTheme="minorEastAsia" w:hAnsiTheme="minorHAnsi" w:cstheme="minorBidi"/>
            <w:noProof w:val="0"/>
            <w:sz w:val="22"/>
            <w:szCs w:val="22"/>
            <w:lang w:val="en-US"/>
          </w:rPr>
          <w:tab/>
        </w:r>
        <w:r w:rsidR="00D0798C" w:rsidRPr="00610904">
          <w:rPr>
            <w:rStyle w:val="Hyperlink"/>
            <w:noProof w:val="0"/>
            <w:lang w:val="en-US"/>
          </w:rPr>
          <w:t>Pecuniary damage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_Toc443399133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103</w:t>
        </w:r>
        <w:r w:rsidR="00D0798C" w:rsidRPr="00610904">
          <w:rPr>
            <w:noProof w:val="0"/>
            <w:webHidden/>
            <w:lang w:val="en-US"/>
          </w:rPr>
          <w:fldChar w:fldCharType="end"/>
        </w:r>
      </w:hyperlink>
    </w:p>
    <w:p w:rsidR="00D0798C" w:rsidRPr="00610904" w:rsidRDefault="00E50BFC" w:rsidP="00610904">
      <w:pPr>
        <w:pStyle w:val="TOC3"/>
        <w:rPr>
          <w:rFonts w:asciiTheme="minorHAnsi" w:eastAsiaTheme="minorEastAsia" w:hAnsiTheme="minorHAnsi" w:cstheme="minorBidi"/>
          <w:noProof w:val="0"/>
          <w:sz w:val="22"/>
          <w:szCs w:val="22"/>
          <w:lang w:val="en-US"/>
        </w:rPr>
      </w:pPr>
      <w:hyperlink w:anchor="_Toc443399134" w:history="1">
        <w:r w:rsidR="00D0798C" w:rsidRPr="00610904">
          <w:rPr>
            <w:rStyle w:val="Hyperlink"/>
            <w:noProof w:val="0"/>
            <w:lang w:val="en-US"/>
          </w:rPr>
          <w:t>D.2)</w:t>
        </w:r>
        <w:r w:rsidR="00D0798C" w:rsidRPr="00610904">
          <w:rPr>
            <w:rFonts w:asciiTheme="minorHAnsi" w:eastAsiaTheme="minorEastAsia" w:hAnsiTheme="minorHAnsi" w:cstheme="minorBidi"/>
            <w:noProof w:val="0"/>
            <w:sz w:val="22"/>
            <w:szCs w:val="22"/>
            <w:lang w:val="en-US"/>
          </w:rPr>
          <w:tab/>
        </w:r>
        <w:r w:rsidR="00D0798C" w:rsidRPr="00610904">
          <w:rPr>
            <w:rStyle w:val="Hyperlink"/>
            <w:noProof w:val="0"/>
            <w:lang w:val="en-US"/>
          </w:rPr>
          <w:t>Non-pecuniary damage</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_Toc443399134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107</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35" w:history="1">
        <w:r w:rsidR="00D0798C" w:rsidRPr="00610904">
          <w:rPr>
            <w:rStyle w:val="Hyperlink"/>
            <w:rFonts w:eastAsia="Times New Roman"/>
            <w:b/>
            <w:bCs/>
            <w:i/>
            <w:noProof w:val="0"/>
            <w:lang w:val="en-US"/>
          </w:rPr>
          <w:t>E. Costs and expenses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_Toc443399135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108</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36" w:history="1">
        <w:r w:rsidR="00D0798C" w:rsidRPr="00610904">
          <w:rPr>
            <w:rStyle w:val="Hyperlink"/>
            <w:rFonts w:eastAsia="Times New Roman"/>
            <w:b/>
            <w:bCs/>
            <w:i/>
            <w:noProof w:val="0"/>
            <w:lang w:val="en-US"/>
          </w:rPr>
          <w:t>F. Reimbursement of the Victims’ Legal Assistance Fund</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_Toc443399136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109</w:t>
        </w:r>
        <w:r w:rsidR="00D0798C" w:rsidRPr="00610904">
          <w:rPr>
            <w:noProof w:val="0"/>
            <w:webHidden/>
            <w:lang w:val="en-US"/>
          </w:rPr>
          <w:fldChar w:fldCharType="end"/>
        </w:r>
      </w:hyperlink>
    </w:p>
    <w:p w:rsidR="00D0798C" w:rsidRPr="00610904" w:rsidRDefault="00E50BFC" w:rsidP="00610904">
      <w:pPr>
        <w:pStyle w:val="TOC2"/>
        <w:rPr>
          <w:rFonts w:asciiTheme="minorHAnsi" w:eastAsiaTheme="minorEastAsia" w:hAnsiTheme="minorHAnsi" w:cstheme="minorBidi"/>
          <w:smallCaps w:val="0"/>
          <w:noProof w:val="0"/>
          <w:sz w:val="22"/>
          <w:szCs w:val="22"/>
          <w:lang w:val="en-US" w:bidi="ar-SA"/>
        </w:rPr>
      </w:pPr>
      <w:hyperlink w:anchor="_Toc443399137" w:history="1">
        <w:r w:rsidR="00D0798C" w:rsidRPr="00610904">
          <w:rPr>
            <w:rStyle w:val="Hyperlink"/>
            <w:rFonts w:eastAsia="Times New Roman"/>
            <w:b/>
            <w:bCs/>
            <w:i/>
            <w:noProof w:val="0"/>
            <w:lang w:val="en-US"/>
          </w:rPr>
          <w:t>G. Method of complying with the payments ordered</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_Toc443399137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110</w:t>
        </w:r>
        <w:r w:rsidR="00D0798C" w:rsidRPr="00610904">
          <w:rPr>
            <w:noProof w:val="0"/>
            <w:webHidden/>
            <w:lang w:val="en-US"/>
          </w:rPr>
          <w:fldChar w:fldCharType="end"/>
        </w:r>
      </w:hyperlink>
    </w:p>
    <w:p w:rsidR="00D0798C" w:rsidRPr="00610904" w:rsidRDefault="00E50BFC" w:rsidP="00610904">
      <w:pPr>
        <w:pStyle w:val="TOC1"/>
        <w:tabs>
          <w:tab w:val="right" w:leader="dot" w:pos="9465"/>
        </w:tabs>
        <w:rPr>
          <w:rFonts w:asciiTheme="minorHAnsi" w:eastAsiaTheme="minorEastAsia" w:hAnsiTheme="minorHAnsi" w:cstheme="minorBidi"/>
          <w:b w:val="0"/>
          <w:noProof w:val="0"/>
          <w:sz w:val="22"/>
          <w:szCs w:val="22"/>
          <w:lang w:val="en-US"/>
        </w:rPr>
      </w:pPr>
      <w:hyperlink w:anchor="_Toc443399138" w:history="1">
        <w:r w:rsidR="00D0798C" w:rsidRPr="00610904">
          <w:rPr>
            <w:rStyle w:val="Hyperlink"/>
            <w:rFonts w:eastAsia="Calibri" w:cs="Verdana"/>
            <w:bCs/>
            <w:caps/>
            <w:noProof w:val="0"/>
            <w:snapToGrid w:val="0"/>
            <w:spacing w:val="-2"/>
            <w:lang w:val="en-US" w:eastAsia="es-ES"/>
          </w:rPr>
          <w:t>XIII OPERATIVE PARAGAPHS</w:t>
        </w:r>
        <w:r w:rsidR="00D0798C" w:rsidRPr="00610904">
          <w:rPr>
            <w:noProof w:val="0"/>
            <w:webHidden/>
            <w:lang w:val="en-US"/>
          </w:rPr>
          <w:tab/>
        </w:r>
        <w:r w:rsidR="00D0798C" w:rsidRPr="00610904">
          <w:rPr>
            <w:noProof w:val="0"/>
            <w:webHidden/>
            <w:lang w:val="en-US"/>
          </w:rPr>
          <w:fldChar w:fldCharType="begin"/>
        </w:r>
        <w:r w:rsidR="00D0798C" w:rsidRPr="00610904">
          <w:rPr>
            <w:noProof w:val="0"/>
            <w:webHidden/>
            <w:lang w:val="en-US"/>
          </w:rPr>
          <w:instrText xml:space="preserve"> PAGEREF _Toc443399138 \h </w:instrText>
        </w:r>
        <w:r w:rsidR="00D0798C" w:rsidRPr="00610904">
          <w:rPr>
            <w:noProof w:val="0"/>
            <w:webHidden/>
            <w:lang w:val="en-US"/>
          </w:rPr>
        </w:r>
        <w:r w:rsidR="00D0798C" w:rsidRPr="00610904">
          <w:rPr>
            <w:noProof w:val="0"/>
            <w:webHidden/>
            <w:lang w:val="en-US"/>
          </w:rPr>
          <w:fldChar w:fldCharType="separate"/>
        </w:r>
        <w:r w:rsidR="00D0798C" w:rsidRPr="00610904">
          <w:rPr>
            <w:noProof w:val="0"/>
            <w:webHidden/>
            <w:lang w:val="en-US"/>
          </w:rPr>
          <w:t>110</w:t>
        </w:r>
        <w:r w:rsidR="00D0798C" w:rsidRPr="00610904">
          <w:rPr>
            <w:noProof w:val="0"/>
            <w:webHidden/>
            <w:lang w:val="en-US"/>
          </w:rPr>
          <w:fldChar w:fldCharType="end"/>
        </w:r>
      </w:hyperlink>
    </w:p>
    <w:p w:rsidR="0038651D" w:rsidRPr="00610904" w:rsidRDefault="0038651D" w:rsidP="00610904">
      <w:pPr>
        <w:jc w:val="center"/>
        <w:rPr>
          <w:b/>
          <w:noProof w:val="0"/>
          <w:lang w:val="en-US"/>
        </w:rPr>
      </w:pPr>
      <w:r w:rsidRPr="00610904">
        <w:rPr>
          <w:b/>
          <w:noProof w:val="0"/>
          <w:lang w:val="en-US"/>
        </w:rPr>
        <w:fldChar w:fldCharType="end"/>
      </w:r>
    </w:p>
    <w:p w:rsidR="00022F5E" w:rsidRPr="00610904" w:rsidRDefault="0038651D" w:rsidP="00610904">
      <w:pPr>
        <w:pStyle w:val="Heading1"/>
        <w:spacing w:before="0" w:after="0"/>
        <w:rPr>
          <w:noProof w:val="0"/>
          <w:lang w:val="en-US"/>
        </w:rPr>
      </w:pPr>
      <w:r w:rsidRPr="00610904">
        <w:rPr>
          <w:noProof w:val="0"/>
          <w:lang w:val="en-US"/>
        </w:rPr>
        <w:br w:type="page"/>
      </w:r>
      <w:bookmarkStart w:id="1" w:name="_Toc369989729"/>
      <w:bookmarkStart w:id="2" w:name="_Toc404770054"/>
      <w:bookmarkStart w:id="3" w:name="_Toc416164784"/>
      <w:bookmarkStart w:id="4" w:name="_Toc443399071"/>
      <w:r w:rsidR="00022F5E" w:rsidRPr="00610904">
        <w:rPr>
          <w:noProof w:val="0"/>
          <w:lang w:val="en-US"/>
        </w:rPr>
        <w:lastRenderedPageBreak/>
        <w:t>I</w:t>
      </w:r>
      <w:bookmarkStart w:id="5" w:name="_Toc288744729"/>
      <w:r w:rsidR="00022F5E" w:rsidRPr="00610904">
        <w:rPr>
          <w:noProof w:val="0"/>
          <w:lang w:val="en-US"/>
        </w:rPr>
        <w:br/>
      </w:r>
      <w:r w:rsidR="002F5BBA" w:rsidRPr="00610904">
        <w:rPr>
          <w:noProof w:val="0"/>
          <w:lang w:val="en-US"/>
        </w:rPr>
        <w:t>INTRODUCTION OF THE CASE AND PURPOSE OF THE DISPUTE</w:t>
      </w:r>
      <w:bookmarkEnd w:id="1"/>
      <w:bookmarkEnd w:id="2"/>
      <w:bookmarkEnd w:id="3"/>
      <w:bookmarkEnd w:id="4"/>
      <w:bookmarkEnd w:id="5"/>
    </w:p>
    <w:p w:rsidR="00022F5E" w:rsidRPr="00610904" w:rsidRDefault="00022F5E" w:rsidP="00610904">
      <w:pPr>
        <w:rPr>
          <w:noProof w:val="0"/>
          <w:lang w:val="en-US" w:eastAsia="es-ES"/>
        </w:rPr>
      </w:pPr>
    </w:p>
    <w:p w:rsidR="00022F5E" w:rsidRPr="00610904" w:rsidRDefault="002F5BBA" w:rsidP="00610904">
      <w:pPr>
        <w:numPr>
          <w:ilvl w:val="0"/>
          <w:numId w:val="1"/>
        </w:numPr>
        <w:autoSpaceDE w:val="0"/>
        <w:autoSpaceDN w:val="0"/>
        <w:adjustRightInd w:val="0"/>
        <w:ind w:right="4"/>
        <w:rPr>
          <w:noProof w:val="0"/>
          <w:szCs w:val="20"/>
          <w:lang w:val="en-US"/>
        </w:rPr>
      </w:pPr>
      <w:r w:rsidRPr="00610904">
        <w:rPr>
          <w:i/>
          <w:noProof w:val="0"/>
          <w:szCs w:val="20"/>
          <w:lang w:val="en-US"/>
        </w:rPr>
        <w:t>The case submitted to</w:t>
      </w:r>
      <w:r w:rsidR="00022F5E" w:rsidRPr="00610904">
        <w:rPr>
          <w:i/>
          <w:noProof w:val="0"/>
          <w:szCs w:val="20"/>
          <w:lang w:val="en-US"/>
        </w:rPr>
        <w:t xml:space="preserve"> </w:t>
      </w:r>
      <w:r w:rsidR="009F3D78" w:rsidRPr="00610904">
        <w:rPr>
          <w:i/>
          <w:noProof w:val="0"/>
          <w:szCs w:val="20"/>
          <w:lang w:val="en-US"/>
        </w:rPr>
        <w:t>the Court</w:t>
      </w:r>
      <w:r w:rsidR="00022F5E" w:rsidRPr="00610904">
        <w:rPr>
          <w:i/>
          <w:noProof w:val="0"/>
          <w:szCs w:val="20"/>
          <w:lang w:val="en-US"/>
        </w:rPr>
        <w:t>.</w:t>
      </w:r>
      <w:bookmarkStart w:id="6" w:name="_Ref363651855"/>
      <w:r w:rsidRPr="00610904">
        <w:rPr>
          <w:rFonts w:eastAsia="Calibri"/>
          <w:noProof w:val="0"/>
          <w:szCs w:val="20"/>
          <w:lang w:val="en-US"/>
        </w:rPr>
        <w:t xml:space="preserve"> </w:t>
      </w:r>
      <w:r w:rsidRPr="00610904">
        <w:rPr>
          <w:noProof w:val="0"/>
          <w:lang w:val="en-US"/>
        </w:rPr>
        <w:t xml:space="preserve">On March 18, </w:t>
      </w:r>
      <w:r w:rsidR="00022F5E" w:rsidRPr="00610904">
        <w:rPr>
          <w:noProof w:val="0"/>
          <w:lang w:val="en-US"/>
        </w:rPr>
        <w:t xml:space="preserve">2014, </w:t>
      </w:r>
      <w:r w:rsidRPr="00610904">
        <w:rPr>
          <w:rFonts w:cs="Verdana"/>
          <w:noProof w:val="0"/>
          <w:lang w:val="en-US"/>
        </w:rPr>
        <w:t>in accordance with</w:t>
      </w:r>
      <w:r w:rsidR="00022F5E" w:rsidRPr="00610904">
        <w:rPr>
          <w:rFonts w:cs="Verdana"/>
          <w:noProof w:val="0"/>
          <w:lang w:val="en-US"/>
        </w:rPr>
        <w:t xml:space="preserve"> </w:t>
      </w:r>
      <w:r w:rsidR="009F3D78" w:rsidRPr="00610904">
        <w:rPr>
          <w:rFonts w:cs="Verdana"/>
          <w:noProof w:val="0"/>
          <w:lang w:val="en-US"/>
        </w:rPr>
        <w:t>Articles</w:t>
      </w:r>
      <w:r w:rsidR="00022F5E" w:rsidRPr="00610904">
        <w:rPr>
          <w:rFonts w:cs="Verdana"/>
          <w:noProof w:val="0"/>
          <w:lang w:val="en-US"/>
        </w:rPr>
        <w:t xml:space="preserve"> 51</w:t>
      </w:r>
      <w:r w:rsidR="009F3D78" w:rsidRPr="00610904">
        <w:rPr>
          <w:rFonts w:cs="Verdana"/>
          <w:noProof w:val="0"/>
          <w:lang w:val="en-US"/>
        </w:rPr>
        <w:t xml:space="preserve"> and </w:t>
      </w:r>
      <w:r w:rsidR="00022F5E" w:rsidRPr="00610904">
        <w:rPr>
          <w:rFonts w:cs="Verdana"/>
          <w:noProof w:val="0"/>
          <w:lang w:val="en-US"/>
        </w:rPr>
        <w:t>61</w:t>
      </w:r>
      <w:r w:rsidR="009F3D78" w:rsidRPr="00610904">
        <w:rPr>
          <w:rFonts w:cs="Verdana"/>
          <w:noProof w:val="0"/>
          <w:lang w:val="en-US"/>
        </w:rPr>
        <w:t xml:space="preserve"> of the American Convention and Article</w:t>
      </w:r>
      <w:r w:rsidR="00022F5E" w:rsidRPr="00610904">
        <w:rPr>
          <w:rFonts w:cs="Verdana"/>
          <w:noProof w:val="0"/>
          <w:lang w:val="en-US"/>
        </w:rPr>
        <w:t xml:space="preserve"> 35</w:t>
      </w:r>
      <w:r w:rsidR="009F3D78" w:rsidRPr="00610904">
        <w:rPr>
          <w:rFonts w:cs="Verdana"/>
          <w:noProof w:val="0"/>
          <w:lang w:val="en-US"/>
        </w:rPr>
        <w:t xml:space="preserve"> of the Court’</w:t>
      </w:r>
      <w:r w:rsidRPr="00610904">
        <w:rPr>
          <w:rFonts w:cs="Verdana"/>
          <w:noProof w:val="0"/>
          <w:lang w:val="en-US"/>
        </w:rPr>
        <w:t>s Rules of Procedure</w:t>
      </w:r>
      <w:r w:rsidR="00022F5E" w:rsidRPr="00610904">
        <w:rPr>
          <w:rFonts w:cs="Verdana"/>
          <w:noProof w:val="0"/>
          <w:lang w:val="en-US"/>
        </w:rPr>
        <w:t xml:space="preserve">, </w:t>
      </w:r>
      <w:r w:rsidRPr="00610904">
        <w:rPr>
          <w:noProof w:val="0"/>
          <w:lang w:val="en-US"/>
        </w:rPr>
        <w:t>the Inter-American Commission on Human Rights</w:t>
      </w:r>
      <w:r w:rsidR="00022F5E" w:rsidRPr="00610904">
        <w:rPr>
          <w:noProof w:val="0"/>
          <w:lang w:val="en-US"/>
        </w:rPr>
        <w:t xml:space="preserve"> (</w:t>
      </w:r>
      <w:r w:rsidR="009F3D78" w:rsidRPr="00610904">
        <w:rPr>
          <w:noProof w:val="0"/>
          <w:lang w:val="en-US"/>
        </w:rPr>
        <w:t>hereinafter</w:t>
      </w:r>
      <w:r w:rsidR="00022F5E" w:rsidRPr="00610904">
        <w:rPr>
          <w:noProof w:val="0"/>
          <w:lang w:val="en-US"/>
        </w:rPr>
        <w:t xml:space="preserve"> “</w:t>
      </w:r>
      <w:r w:rsidRPr="00610904">
        <w:rPr>
          <w:noProof w:val="0"/>
          <w:lang w:val="en-US"/>
        </w:rPr>
        <w:t>the Inter-American Commission</w:t>
      </w:r>
      <w:r w:rsidR="00022F5E" w:rsidRPr="00610904">
        <w:rPr>
          <w:noProof w:val="0"/>
          <w:lang w:val="en-US"/>
        </w:rPr>
        <w:t>” o</w:t>
      </w:r>
      <w:r w:rsidRPr="00610904">
        <w:rPr>
          <w:noProof w:val="0"/>
          <w:lang w:val="en-US"/>
        </w:rPr>
        <w:t>r</w:t>
      </w:r>
      <w:r w:rsidR="00022F5E" w:rsidRPr="00610904">
        <w:rPr>
          <w:noProof w:val="0"/>
          <w:lang w:val="en-US"/>
        </w:rPr>
        <w:t xml:space="preserve"> “</w:t>
      </w:r>
      <w:r w:rsidRPr="00610904">
        <w:rPr>
          <w:noProof w:val="0"/>
          <w:lang w:val="en-US"/>
        </w:rPr>
        <w:t>the Commission</w:t>
      </w:r>
      <w:r w:rsidR="00022F5E" w:rsidRPr="00610904">
        <w:rPr>
          <w:noProof w:val="0"/>
          <w:lang w:val="en-US"/>
        </w:rPr>
        <w:t xml:space="preserve">”) </w:t>
      </w:r>
      <w:r w:rsidRPr="00610904">
        <w:rPr>
          <w:noProof w:val="0"/>
          <w:lang w:val="en-US"/>
        </w:rPr>
        <w:t>submitted</w:t>
      </w:r>
      <w:r w:rsidR="0056398E" w:rsidRPr="00610904">
        <w:rPr>
          <w:noProof w:val="0"/>
          <w:lang w:val="en-US"/>
        </w:rPr>
        <w:t xml:space="preserve"> to the Court</w:t>
      </w:r>
      <w:r w:rsidR="00022F5E" w:rsidRPr="00610904">
        <w:rPr>
          <w:noProof w:val="0"/>
          <w:lang w:val="en-US"/>
        </w:rPr>
        <w:t xml:space="preserve"> </w:t>
      </w:r>
      <w:r w:rsidR="009F3D78" w:rsidRPr="00610904">
        <w:rPr>
          <w:noProof w:val="0"/>
          <w:lang w:val="en-US"/>
        </w:rPr>
        <w:t xml:space="preserve">the </w:t>
      </w:r>
      <w:r w:rsidRPr="00610904">
        <w:rPr>
          <w:noProof w:val="0"/>
          <w:lang w:val="en-US"/>
        </w:rPr>
        <w:t>case of</w:t>
      </w:r>
      <w:r w:rsidR="00022F5E" w:rsidRPr="00610904">
        <w:rPr>
          <w:noProof w:val="0"/>
          <w:lang w:val="en-US"/>
        </w:rPr>
        <w:t xml:space="preserve"> </w:t>
      </w:r>
      <w:r w:rsidR="00022F5E" w:rsidRPr="00610904">
        <w:rPr>
          <w:i/>
          <w:noProof w:val="0"/>
          <w:lang w:val="en-US"/>
        </w:rPr>
        <w:t>TGGL</w:t>
      </w:r>
      <w:r w:rsidR="009F3D78" w:rsidRPr="00610904">
        <w:rPr>
          <w:i/>
          <w:noProof w:val="0"/>
          <w:lang w:val="en-US"/>
        </w:rPr>
        <w:t xml:space="preserve"> and </w:t>
      </w:r>
      <w:r w:rsidRPr="00610904">
        <w:rPr>
          <w:i/>
          <w:noProof w:val="0"/>
          <w:lang w:val="en-US"/>
        </w:rPr>
        <w:t>family against</w:t>
      </w:r>
      <w:r w:rsidR="00022F5E" w:rsidRPr="00610904">
        <w:rPr>
          <w:i/>
          <w:noProof w:val="0"/>
          <w:lang w:val="en-US"/>
        </w:rPr>
        <w:t xml:space="preserve"> Ecuador </w:t>
      </w:r>
      <w:r w:rsidR="00022F5E" w:rsidRPr="00610904">
        <w:rPr>
          <w:noProof w:val="0"/>
          <w:lang w:val="en-US"/>
        </w:rPr>
        <w:t>(</w:t>
      </w:r>
      <w:r w:rsidR="009F3D78" w:rsidRPr="00610904">
        <w:rPr>
          <w:noProof w:val="0"/>
          <w:lang w:val="en-US"/>
        </w:rPr>
        <w:t>hereinafter</w:t>
      </w:r>
      <w:r w:rsidR="00022F5E" w:rsidRPr="00610904">
        <w:rPr>
          <w:noProof w:val="0"/>
          <w:lang w:val="en-US"/>
        </w:rPr>
        <w:t xml:space="preserve"> “</w:t>
      </w:r>
      <w:r w:rsidR="009F3D78" w:rsidRPr="00610904">
        <w:rPr>
          <w:noProof w:val="0"/>
          <w:lang w:val="en-US"/>
        </w:rPr>
        <w:t>the State</w:t>
      </w:r>
      <w:r w:rsidR="00022F5E" w:rsidRPr="00610904">
        <w:rPr>
          <w:noProof w:val="0"/>
          <w:lang w:val="en-US"/>
        </w:rPr>
        <w:t>” o</w:t>
      </w:r>
      <w:r w:rsidRPr="00610904">
        <w:rPr>
          <w:noProof w:val="0"/>
          <w:lang w:val="en-US"/>
        </w:rPr>
        <w:t>r</w:t>
      </w:r>
      <w:r w:rsidR="00022F5E" w:rsidRPr="00610904">
        <w:rPr>
          <w:noProof w:val="0"/>
          <w:lang w:val="en-US"/>
        </w:rPr>
        <w:t xml:space="preserve"> “Ecuador”).</w:t>
      </w:r>
      <w:r w:rsidR="00022F5E" w:rsidRPr="00610904">
        <w:rPr>
          <w:noProof w:val="0"/>
          <w:color w:val="000000"/>
          <w:lang w:val="en-US"/>
        </w:rPr>
        <w:t xml:space="preserve"> </w:t>
      </w:r>
      <w:r w:rsidR="0091796A" w:rsidRPr="00610904">
        <w:rPr>
          <w:noProof w:val="0"/>
          <w:color w:val="000000"/>
          <w:lang w:val="en-US"/>
        </w:rPr>
        <w:t xml:space="preserve">The case relates to the presumed international responsibility of the State for the adverse effects on a decent life and the personal integrity of </w:t>
      </w:r>
      <w:r w:rsidR="00022F5E" w:rsidRPr="00610904">
        <w:rPr>
          <w:noProof w:val="0"/>
          <w:lang w:val="en-US"/>
        </w:rPr>
        <w:t>Talía Gabriela Gonzales Lluy (</w:t>
      </w:r>
      <w:r w:rsidR="009F3D78" w:rsidRPr="00610904">
        <w:rPr>
          <w:noProof w:val="0"/>
          <w:lang w:val="en-US"/>
        </w:rPr>
        <w:t>hereinafter</w:t>
      </w:r>
      <w:r w:rsidR="00022F5E" w:rsidRPr="00610904">
        <w:rPr>
          <w:noProof w:val="0"/>
          <w:lang w:val="en-US"/>
        </w:rPr>
        <w:t xml:space="preserve"> “Talía”), “</w:t>
      </w:r>
      <w:r w:rsidR="0091796A" w:rsidRPr="00610904">
        <w:rPr>
          <w:noProof w:val="0"/>
          <w:lang w:val="en-US"/>
        </w:rPr>
        <w:t xml:space="preserve">as a result of </w:t>
      </w:r>
      <w:r w:rsidR="00436E84" w:rsidRPr="00610904">
        <w:rPr>
          <w:noProof w:val="0"/>
          <w:lang w:val="en-US"/>
        </w:rPr>
        <w:t>infection</w:t>
      </w:r>
      <w:r w:rsidR="0091796A" w:rsidRPr="00610904">
        <w:rPr>
          <w:noProof w:val="0"/>
          <w:lang w:val="en-US"/>
        </w:rPr>
        <w:t xml:space="preserve"> with HIV following a blood transfusion performed on her […] when she was three years of age.” According to </w:t>
      </w:r>
      <w:r w:rsidRPr="00610904">
        <w:rPr>
          <w:noProof w:val="0"/>
          <w:lang w:val="en-US"/>
        </w:rPr>
        <w:t>the Commission</w:t>
      </w:r>
      <w:r w:rsidR="00022F5E" w:rsidRPr="00610904">
        <w:rPr>
          <w:noProof w:val="0"/>
          <w:lang w:val="en-US"/>
        </w:rPr>
        <w:t xml:space="preserve">, </w:t>
      </w:r>
      <w:r w:rsidR="009F3D78" w:rsidRPr="00610904">
        <w:rPr>
          <w:noProof w:val="0"/>
          <w:lang w:val="en-US"/>
        </w:rPr>
        <w:t>the State</w:t>
      </w:r>
      <w:r w:rsidR="00022F5E" w:rsidRPr="00610904">
        <w:rPr>
          <w:noProof w:val="0"/>
          <w:lang w:val="en-US"/>
        </w:rPr>
        <w:t xml:space="preserve"> </w:t>
      </w:r>
      <w:r w:rsidR="0091796A" w:rsidRPr="00610904">
        <w:rPr>
          <w:noProof w:val="0"/>
          <w:lang w:val="en-US"/>
        </w:rPr>
        <w:t xml:space="preserve">had </w:t>
      </w:r>
      <w:r w:rsidR="0056398E" w:rsidRPr="00610904">
        <w:rPr>
          <w:noProof w:val="0"/>
          <w:lang w:val="en-US"/>
        </w:rPr>
        <w:t xml:space="preserve">not complied adequately with its obligation </w:t>
      </w:r>
      <w:r w:rsidR="0091796A" w:rsidRPr="00610904">
        <w:rPr>
          <w:noProof w:val="0"/>
          <w:lang w:val="en-US"/>
        </w:rPr>
        <w:t xml:space="preserve">to ensure rights, </w:t>
      </w:r>
      <w:proofErr w:type="gramStart"/>
      <w:r w:rsidR="0091796A" w:rsidRPr="00610904">
        <w:rPr>
          <w:noProof w:val="0"/>
          <w:lang w:val="en-US"/>
        </w:rPr>
        <w:t>specifically,</w:t>
      </w:r>
      <w:proofErr w:type="gramEnd"/>
      <w:r w:rsidR="0091796A" w:rsidRPr="00610904">
        <w:rPr>
          <w:noProof w:val="0"/>
          <w:lang w:val="en-US"/>
        </w:rPr>
        <w:t xml:space="preserve"> it had failed to perform </w:t>
      </w:r>
      <w:r w:rsidR="00022F5E" w:rsidRPr="00610904">
        <w:rPr>
          <w:noProof w:val="0"/>
          <w:lang w:val="en-US"/>
        </w:rPr>
        <w:t>“</w:t>
      </w:r>
      <w:r w:rsidR="0091796A" w:rsidRPr="00610904">
        <w:rPr>
          <w:noProof w:val="0"/>
          <w:lang w:val="en-US"/>
        </w:rPr>
        <w:t>its role of supervision and control over private entities that provide health care services.” The</w:t>
      </w:r>
      <w:r w:rsidRPr="00610904">
        <w:rPr>
          <w:noProof w:val="0"/>
          <w:lang w:val="en-US"/>
        </w:rPr>
        <w:t xml:space="preserve"> Commission</w:t>
      </w:r>
      <w:r w:rsidR="00022F5E" w:rsidRPr="00610904">
        <w:rPr>
          <w:noProof w:val="0"/>
          <w:lang w:val="en-US"/>
        </w:rPr>
        <w:t xml:space="preserve"> </w:t>
      </w:r>
      <w:r w:rsidR="0091796A" w:rsidRPr="00610904">
        <w:rPr>
          <w:noProof w:val="0"/>
          <w:lang w:val="en-US"/>
        </w:rPr>
        <w:t>also concluded that the State’s failure to respond adequately, mainly by failing to provide specialized medical care, has continued to affect the exercise of th</w:t>
      </w:r>
      <w:r w:rsidR="0056398E" w:rsidRPr="00610904">
        <w:rPr>
          <w:noProof w:val="0"/>
          <w:lang w:val="en-US"/>
        </w:rPr>
        <w:t>e rights of the presumed victim,</w:t>
      </w:r>
      <w:r w:rsidR="0091796A" w:rsidRPr="00610904">
        <w:rPr>
          <w:noProof w:val="0"/>
          <w:lang w:val="en-US"/>
        </w:rPr>
        <w:t xml:space="preserve"> and it considered that the domestic investig</w:t>
      </w:r>
      <w:r w:rsidR="0056398E" w:rsidRPr="00610904">
        <w:rPr>
          <w:noProof w:val="0"/>
          <w:lang w:val="en-US"/>
        </w:rPr>
        <w:t>a</w:t>
      </w:r>
      <w:r w:rsidR="0091796A" w:rsidRPr="00610904">
        <w:rPr>
          <w:noProof w:val="0"/>
          <w:lang w:val="en-US"/>
        </w:rPr>
        <w:t>tion and crim</w:t>
      </w:r>
      <w:r w:rsidR="0056398E" w:rsidRPr="00610904">
        <w:rPr>
          <w:noProof w:val="0"/>
          <w:lang w:val="en-US"/>
        </w:rPr>
        <w:t>inal proceedings did not meet</w:t>
      </w:r>
      <w:r w:rsidR="0091796A" w:rsidRPr="00610904">
        <w:rPr>
          <w:noProof w:val="0"/>
          <w:lang w:val="en-US"/>
        </w:rPr>
        <w:t xml:space="preserve"> the basic standards of due diligence to provide an effective remedy for the presumed victim and her family, Teresa and</w:t>
      </w:r>
      <w:r w:rsidR="00022F5E" w:rsidRPr="00610904">
        <w:rPr>
          <w:noProof w:val="0"/>
          <w:lang w:val="en-US"/>
        </w:rPr>
        <w:t xml:space="preserve"> Iván Lluy, </w:t>
      </w:r>
      <w:r w:rsidR="0091796A" w:rsidRPr="00610904">
        <w:rPr>
          <w:noProof w:val="0"/>
          <w:lang w:val="en-US"/>
        </w:rPr>
        <w:t>and</w:t>
      </w:r>
      <w:r w:rsidR="0056398E" w:rsidRPr="00610904">
        <w:rPr>
          <w:noProof w:val="0"/>
          <w:lang w:val="en-US"/>
        </w:rPr>
        <w:t xml:space="preserve"> also fail</w:t>
      </w:r>
      <w:r w:rsidR="0091796A" w:rsidRPr="00610904">
        <w:rPr>
          <w:noProof w:val="0"/>
          <w:lang w:val="en-US"/>
        </w:rPr>
        <w:t xml:space="preserve">ed to comply with the </w:t>
      </w:r>
      <w:r w:rsidR="0056398E" w:rsidRPr="00610904">
        <w:rPr>
          <w:noProof w:val="0"/>
          <w:lang w:val="en-US"/>
        </w:rPr>
        <w:t>duty</w:t>
      </w:r>
      <w:r w:rsidR="0091796A" w:rsidRPr="00610904">
        <w:rPr>
          <w:noProof w:val="0"/>
          <w:lang w:val="en-US"/>
        </w:rPr>
        <w:t xml:space="preserve"> to provide special protection to </w:t>
      </w:r>
      <w:r w:rsidR="00022F5E" w:rsidRPr="00610904">
        <w:rPr>
          <w:noProof w:val="0"/>
          <w:lang w:val="en-US"/>
        </w:rPr>
        <w:t xml:space="preserve">Talía Gonzales Lluy </w:t>
      </w:r>
      <w:r w:rsidR="0091796A" w:rsidRPr="00610904">
        <w:rPr>
          <w:noProof w:val="0"/>
          <w:lang w:val="en-US"/>
        </w:rPr>
        <w:t>owing to her status as a minor.</w:t>
      </w:r>
      <w:r w:rsidR="00022F5E" w:rsidRPr="00610904">
        <w:rPr>
          <w:noProof w:val="0"/>
          <w:lang w:val="en-US"/>
        </w:rPr>
        <w:t xml:space="preserve"> </w:t>
      </w:r>
    </w:p>
    <w:p w:rsidR="00022F5E" w:rsidRPr="00610904" w:rsidRDefault="00022F5E" w:rsidP="00610904">
      <w:pPr>
        <w:autoSpaceDE w:val="0"/>
        <w:autoSpaceDN w:val="0"/>
        <w:adjustRightInd w:val="0"/>
        <w:ind w:right="4"/>
        <w:rPr>
          <w:noProof w:val="0"/>
          <w:szCs w:val="20"/>
          <w:lang w:val="en-US"/>
        </w:rPr>
      </w:pPr>
    </w:p>
    <w:p w:rsidR="00022F5E" w:rsidRPr="00610904" w:rsidRDefault="0091796A" w:rsidP="00610904">
      <w:pPr>
        <w:numPr>
          <w:ilvl w:val="0"/>
          <w:numId w:val="1"/>
        </w:numPr>
        <w:ind w:right="4"/>
        <w:rPr>
          <w:noProof w:val="0"/>
          <w:lang w:val="en-US"/>
        </w:rPr>
      </w:pPr>
      <w:r w:rsidRPr="00610904">
        <w:rPr>
          <w:i/>
          <w:noProof w:val="0"/>
          <w:lang w:val="en-US"/>
        </w:rPr>
        <w:t>Procedure before the</w:t>
      </w:r>
      <w:r w:rsidR="002F5BBA" w:rsidRPr="00610904">
        <w:rPr>
          <w:i/>
          <w:noProof w:val="0"/>
          <w:lang w:val="en-US"/>
        </w:rPr>
        <w:t xml:space="preserve"> Commission</w:t>
      </w:r>
      <w:r w:rsidR="00022F5E" w:rsidRPr="00610904">
        <w:rPr>
          <w:i/>
          <w:noProof w:val="0"/>
          <w:lang w:val="en-US"/>
        </w:rPr>
        <w:t xml:space="preserve">. </w:t>
      </w:r>
      <w:bookmarkEnd w:id="6"/>
      <w:r w:rsidRPr="00610904">
        <w:rPr>
          <w:noProof w:val="0"/>
          <w:lang w:val="en-US"/>
        </w:rPr>
        <w:t xml:space="preserve">The case was processed before </w:t>
      </w:r>
      <w:r w:rsidR="002F5BBA" w:rsidRPr="00610904">
        <w:rPr>
          <w:noProof w:val="0"/>
          <w:lang w:val="en-US"/>
        </w:rPr>
        <w:t>the Inter-American Commission</w:t>
      </w:r>
      <w:r w:rsidRPr="00610904">
        <w:rPr>
          <w:noProof w:val="0"/>
          <w:lang w:val="en-US"/>
        </w:rPr>
        <w:t xml:space="preserve"> as follows</w:t>
      </w:r>
      <w:r w:rsidR="00022F5E" w:rsidRPr="00610904">
        <w:rPr>
          <w:noProof w:val="0"/>
          <w:lang w:val="en-US"/>
        </w:rPr>
        <w:t>:</w:t>
      </w:r>
    </w:p>
    <w:p w:rsidR="00022F5E" w:rsidRPr="00610904" w:rsidRDefault="00022F5E" w:rsidP="00610904">
      <w:pPr>
        <w:rPr>
          <w:noProof w:val="0"/>
          <w:lang w:val="en-US"/>
        </w:rPr>
      </w:pPr>
    </w:p>
    <w:p w:rsidR="00022F5E" w:rsidRPr="00610904" w:rsidRDefault="006E502B" w:rsidP="00610904">
      <w:pPr>
        <w:numPr>
          <w:ilvl w:val="0"/>
          <w:numId w:val="6"/>
        </w:numPr>
        <w:ind w:right="4"/>
        <w:contextualSpacing/>
        <w:rPr>
          <w:noProof w:val="0"/>
          <w:lang w:val="en-US"/>
        </w:rPr>
      </w:pPr>
      <w:r w:rsidRPr="00610904">
        <w:rPr>
          <w:i/>
          <w:noProof w:val="0"/>
          <w:lang w:val="en-US"/>
        </w:rPr>
        <w:t>Petition</w:t>
      </w:r>
      <w:r w:rsidR="00022F5E" w:rsidRPr="00610904">
        <w:rPr>
          <w:i/>
          <w:noProof w:val="0"/>
          <w:lang w:val="en-US"/>
        </w:rPr>
        <w:t xml:space="preserve">. </w:t>
      </w:r>
      <w:r w:rsidRPr="00610904">
        <w:rPr>
          <w:noProof w:val="0"/>
          <w:lang w:val="en-US"/>
        </w:rPr>
        <w:t>On June 26,</w:t>
      </w:r>
      <w:r w:rsidR="00022F5E" w:rsidRPr="00610904">
        <w:rPr>
          <w:noProof w:val="0"/>
          <w:lang w:val="en-US"/>
        </w:rPr>
        <w:t xml:space="preserve"> 2006</w:t>
      </w:r>
      <w:r w:rsidRPr="00610904">
        <w:rPr>
          <w:noProof w:val="0"/>
          <w:lang w:val="en-US"/>
        </w:rPr>
        <w:t>,</w:t>
      </w:r>
      <w:r w:rsidR="00022F5E" w:rsidRPr="00610904">
        <w:rPr>
          <w:noProof w:val="0"/>
          <w:lang w:val="en-US"/>
        </w:rPr>
        <w:t xml:space="preserve"> </w:t>
      </w:r>
      <w:r w:rsidR="002F5BBA" w:rsidRPr="00610904">
        <w:rPr>
          <w:noProof w:val="0"/>
          <w:lang w:val="en-US"/>
        </w:rPr>
        <w:t>the Inter-American Commission</w:t>
      </w:r>
      <w:r w:rsidR="00022F5E" w:rsidRPr="00610904">
        <w:rPr>
          <w:noProof w:val="0"/>
          <w:lang w:val="en-US"/>
        </w:rPr>
        <w:t xml:space="preserve"> rec</w:t>
      </w:r>
      <w:r w:rsidRPr="00610904">
        <w:rPr>
          <w:noProof w:val="0"/>
          <w:lang w:val="en-US"/>
        </w:rPr>
        <w:t>eived the initial</w:t>
      </w:r>
      <w:r w:rsidR="00022F5E" w:rsidRPr="00610904">
        <w:rPr>
          <w:noProof w:val="0"/>
          <w:lang w:val="en-US"/>
        </w:rPr>
        <w:t xml:space="preserve"> </w:t>
      </w:r>
      <w:r w:rsidRPr="00610904">
        <w:rPr>
          <w:noProof w:val="0"/>
          <w:lang w:val="en-US"/>
        </w:rPr>
        <w:t>petition</w:t>
      </w:r>
      <w:r w:rsidR="00022F5E" w:rsidRPr="00610904">
        <w:rPr>
          <w:noProof w:val="0"/>
          <w:lang w:val="en-US"/>
        </w:rPr>
        <w:t xml:space="preserve"> </w:t>
      </w:r>
      <w:r w:rsidRPr="00610904">
        <w:rPr>
          <w:noProof w:val="0"/>
          <w:lang w:val="en-US"/>
        </w:rPr>
        <w:t>lodged by</w:t>
      </w:r>
      <w:r w:rsidR="00022F5E" w:rsidRPr="00610904">
        <w:rPr>
          <w:noProof w:val="0"/>
          <w:lang w:val="en-US"/>
        </w:rPr>
        <w:t xml:space="preserve"> Iván Patricio Durazno Campoverde.</w:t>
      </w:r>
      <w:r w:rsidR="00022F5E" w:rsidRPr="00610904">
        <w:rPr>
          <w:b/>
          <w:noProof w:val="0"/>
          <w:lang w:val="en-US"/>
        </w:rPr>
        <w:t xml:space="preserve"> </w:t>
      </w:r>
    </w:p>
    <w:p w:rsidR="00022F5E" w:rsidRPr="00610904" w:rsidRDefault="00022F5E" w:rsidP="00610904">
      <w:pPr>
        <w:ind w:right="4"/>
        <w:rPr>
          <w:noProof w:val="0"/>
          <w:lang w:val="en-US"/>
        </w:rPr>
      </w:pPr>
    </w:p>
    <w:p w:rsidR="00022F5E" w:rsidRPr="00610904" w:rsidRDefault="006E502B" w:rsidP="00610904">
      <w:pPr>
        <w:numPr>
          <w:ilvl w:val="0"/>
          <w:numId w:val="6"/>
        </w:numPr>
        <w:ind w:right="4"/>
        <w:contextualSpacing/>
        <w:rPr>
          <w:noProof w:val="0"/>
          <w:lang w:val="en-US"/>
        </w:rPr>
      </w:pPr>
      <w:r w:rsidRPr="00610904">
        <w:rPr>
          <w:i/>
          <w:noProof w:val="0"/>
          <w:lang w:val="en-US"/>
        </w:rPr>
        <w:t>Admissibility Report</w:t>
      </w:r>
      <w:r w:rsidR="00022F5E" w:rsidRPr="00610904">
        <w:rPr>
          <w:i/>
          <w:noProof w:val="0"/>
          <w:lang w:val="en-US"/>
        </w:rPr>
        <w:t>.</w:t>
      </w:r>
      <w:r w:rsidRPr="00610904">
        <w:rPr>
          <w:noProof w:val="0"/>
          <w:lang w:val="en-US"/>
        </w:rPr>
        <w:t xml:space="preserve"> On August 7,</w:t>
      </w:r>
      <w:r w:rsidR="00022F5E" w:rsidRPr="00610904">
        <w:rPr>
          <w:noProof w:val="0"/>
          <w:lang w:val="en-US"/>
        </w:rPr>
        <w:t xml:space="preserve"> 2009</w:t>
      </w:r>
      <w:r w:rsidRPr="00610904">
        <w:rPr>
          <w:noProof w:val="0"/>
          <w:lang w:val="en-US"/>
        </w:rPr>
        <w:t>,</w:t>
      </w:r>
      <w:r w:rsidR="00022F5E" w:rsidRPr="00610904">
        <w:rPr>
          <w:noProof w:val="0"/>
          <w:lang w:val="en-US"/>
        </w:rPr>
        <w:t xml:space="preserve"> </w:t>
      </w:r>
      <w:r w:rsidR="002F5BBA" w:rsidRPr="00610904">
        <w:rPr>
          <w:noProof w:val="0"/>
          <w:lang w:val="en-US"/>
        </w:rPr>
        <w:t>the Commission</w:t>
      </w:r>
      <w:r w:rsidR="00022F5E" w:rsidRPr="00610904">
        <w:rPr>
          <w:noProof w:val="0"/>
          <w:lang w:val="en-US"/>
        </w:rPr>
        <w:t xml:space="preserve"> </w:t>
      </w:r>
      <w:r w:rsidRPr="00610904">
        <w:rPr>
          <w:noProof w:val="0"/>
          <w:lang w:val="en-US"/>
        </w:rPr>
        <w:t>approved</w:t>
      </w:r>
      <w:r w:rsidR="00022F5E" w:rsidRPr="00610904">
        <w:rPr>
          <w:noProof w:val="0"/>
          <w:lang w:val="en-US"/>
        </w:rPr>
        <w:t xml:space="preserve"> </w:t>
      </w:r>
      <w:r w:rsidRPr="00610904">
        <w:rPr>
          <w:noProof w:val="0"/>
          <w:lang w:val="en-US"/>
        </w:rPr>
        <w:t>Admissibility Report</w:t>
      </w:r>
      <w:r w:rsidR="00022F5E" w:rsidRPr="00610904">
        <w:rPr>
          <w:noProof w:val="0"/>
          <w:lang w:val="en-US"/>
        </w:rPr>
        <w:t xml:space="preserve"> No. 89/09 (</w:t>
      </w:r>
      <w:r w:rsidR="009F3D78" w:rsidRPr="00610904">
        <w:rPr>
          <w:noProof w:val="0"/>
          <w:lang w:val="en-US"/>
        </w:rPr>
        <w:t>hereinafter</w:t>
      </w:r>
      <w:r w:rsidR="00022F5E" w:rsidRPr="00610904">
        <w:rPr>
          <w:noProof w:val="0"/>
          <w:lang w:val="en-US"/>
        </w:rPr>
        <w:t xml:space="preserve"> “</w:t>
      </w:r>
      <w:r w:rsidRPr="00610904">
        <w:rPr>
          <w:noProof w:val="0"/>
          <w:lang w:val="en-US"/>
        </w:rPr>
        <w:t>the Admissibility Report</w:t>
      </w:r>
      <w:r w:rsidR="00022F5E" w:rsidRPr="00610904">
        <w:rPr>
          <w:noProof w:val="0"/>
          <w:lang w:val="en-US"/>
        </w:rPr>
        <w:t xml:space="preserve">”). </w:t>
      </w:r>
    </w:p>
    <w:p w:rsidR="00022F5E" w:rsidRPr="00610904" w:rsidRDefault="00022F5E" w:rsidP="00610904">
      <w:pPr>
        <w:rPr>
          <w:noProof w:val="0"/>
          <w:lang w:val="en-US"/>
        </w:rPr>
      </w:pPr>
    </w:p>
    <w:p w:rsidR="00022F5E" w:rsidRPr="00610904" w:rsidRDefault="006E502B" w:rsidP="00610904">
      <w:pPr>
        <w:numPr>
          <w:ilvl w:val="0"/>
          <w:numId w:val="6"/>
        </w:numPr>
        <w:ind w:right="4"/>
        <w:contextualSpacing/>
        <w:rPr>
          <w:noProof w:val="0"/>
          <w:lang w:val="en-US"/>
        </w:rPr>
      </w:pPr>
      <w:r w:rsidRPr="00610904">
        <w:rPr>
          <w:i/>
          <w:noProof w:val="0"/>
          <w:lang w:val="en-US"/>
        </w:rPr>
        <w:t>Merits Report</w:t>
      </w:r>
      <w:r w:rsidR="00022F5E" w:rsidRPr="00610904">
        <w:rPr>
          <w:i/>
          <w:noProof w:val="0"/>
          <w:lang w:val="en-US"/>
        </w:rPr>
        <w:t xml:space="preserve">. </w:t>
      </w:r>
      <w:r w:rsidRPr="00610904">
        <w:rPr>
          <w:noProof w:val="0"/>
          <w:lang w:val="en-US"/>
        </w:rPr>
        <w:t>On November 5,</w:t>
      </w:r>
      <w:r w:rsidR="00022F5E" w:rsidRPr="00610904">
        <w:rPr>
          <w:noProof w:val="0"/>
          <w:lang w:val="en-US"/>
        </w:rPr>
        <w:t xml:space="preserve"> 2013</w:t>
      </w:r>
      <w:r w:rsidRPr="00610904">
        <w:rPr>
          <w:noProof w:val="0"/>
          <w:lang w:val="en-US"/>
        </w:rPr>
        <w:t>,</w:t>
      </w:r>
      <w:r w:rsidR="00022F5E" w:rsidRPr="00610904">
        <w:rPr>
          <w:noProof w:val="0"/>
          <w:lang w:val="en-US"/>
        </w:rPr>
        <w:t xml:space="preserve"> </w:t>
      </w:r>
      <w:r w:rsidR="002F5BBA" w:rsidRPr="00610904">
        <w:rPr>
          <w:noProof w:val="0"/>
          <w:lang w:val="en-US"/>
        </w:rPr>
        <w:t>the Commission</w:t>
      </w:r>
      <w:r w:rsidR="00022F5E" w:rsidRPr="00610904">
        <w:rPr>
          <w:noProof w:val="0"/>
          <w:lang w:val="en-US"/>
        </w:rPr>
        <w:t xml:space="preserve"> </w:t>
      </w:r>
      <w:r w:rsidRPr="00610904">
        <w:rPr>
          <w:noProof w:val="0"/>
          <w:lang w:val="en-US"/>
        </w:rPr>
        <w:t>issued</w:t>
      </w:r>
      <w:r w:rsidR="00022F5E" w:rsidRPr="00610904">
        <w:rPr>
          <w:noProof w:val="0"/>
          <w:lang w:val="en-US"/>
        </w:rPr>
        <w:t xml:space="preserve"> </w:t>
      </w:r>
      <w:r w:rsidRPr="00610904">
        <w:rPr>
          <w:noProof w:val="0"/>
          <w:lang w:val="en-US"/>
        </w:rPr>
        <w:t>Merits Report</w:t>
      </w:r>
      <w:r w:rsidR="00022F5E" w:rsidRPr="00610904">
        <w:rPr>
          <w:noProof w:val="0"/>
          <w:lang w:val="en-US"/>
        </w:rPr>
        <w:t xml:space="preserve"> No. 102/13</w:t>
      </w:r>
      <w:r w:rsidRPr="00610904">
        <w:rPr>
          <w:noProof w:val="0"/>
          <w:lang w:val="en-US"/>
        </w:rPr>
        <w:t>, pursuant to</w:t>
      </w:r>
      <w:r w:rsidR="00022F5E" w:rsidRPr="00610904">
        <w:rPr>
          <w:noProof w:val="0"/>
          <w:lang w:val="en-US"/>
        </w:rPr>
        <w:t xml:space="preserve"> </w:t>
      </w:r>
      <w:r w:rsidR="009F3D78" w:rsidRPr="00610904">
        <w:rPr>
          <w:noProof w:val="0"/>
          <w:lang w:val="en-US"/>
        </w:rPr>
        <w:t>Article</w:t>
      </w:r>
      <w:r w:rsidR="00022F5E" w:rsidRPr="00610904">
        <w:rPr>
          <w:noProof w:val="0"/>
          <w:lang w:val="en-US"/>
        </w:rPr>
        <w:t xml:space="preserve"> 50</w:t>
      </w:r>
      <w:r w:rsidR="009F3D78" w:rsidRPr="00610904">
        <w:rPr>
          <w:noProof w:val="0"/>
          <w:lang w:val="en-US"/>
        </w:rPr>
        <w:t xml:space="preserve"> of the American Convention</w:t>
      </w:r>
      <w:r w:rsidR="00022F5E" w:rsidRPr="00610904">
        <w:rPr>
          <w:noProof w:val="0"/>
          <w:lang w:val="en-US"/>
        </w:rPr>
        <w:t xml:space="preserve"> (</w:t>
      </w:r>
      <w:r w:rsidR="009F3D78" w:rsidRPr="00610904">
        <w:rPr>
          <w:noProof w:val="0"/>
          <w:lang w:val="en-US"/>
        </w:rPr>
        <w:t>hereinafter</w:t>
      </w:r>
      <w:r w:rsidR="00022F5E" w:rsidRPr="00610904">
        <w:rPr>
          <w:noProof w:val="0"/>
          <w:lang w:val="en-US"/>
        </w:rPr>
        <w:t xml:space="preserve"> “</w:t>
      </w:r>
      <w:r w:rsidRPr="00610904">
        <w:rPr>
          <w:noProof w:val="0"/>
          <w:lang w:val="en-US"/>
        </w:rPr>
        <w:t>the Merits Report</w:t>
      </w:r>
      <w:r w:rsidR="00022F5E" w:rsidRPr="00610904">
        <w:rPr>
          <w:noProof w:val="0"/>
          <w:lang w:val="en-US"/>
        </w:rPr>
        <w:t xml:space="preserve">”). </w:t>
      </w:r>
    </w:p>
    <w:p w:rsidR="00022F5E" w:rsidRPr="00610904" w:rsidRDefault="00022F5E" w:rsidP="00610904">
      <w:pPr>
        <w:rPr>
          <w:noProof w:val="0"/>
          <w:lang w:val="en-US"/>
        </w:rPr>
      </w:pPr>
    </w:p>
    <w:p w:rsidR="00022F5E" w:rsidRPr="00610904" w:rsidRDefault="006E502B" w:rsidP="00610904">
      <w:pPr>
        <w:pStyle w:val="Estilo2"/>
        <w:numPr>
          <w:ilvl w:val="0"/>
          <w:numId w:val="8"/>
        </w:numPr>
        <w:tabs>
          <w:tab w:val="clear" w:pos="567"/>
          <w:tab w:val="clear" w:pos="1134"/>
          <w:tab w:val="left" w:pos="426"/>
        </w:tabs>
        <w:spacing w:after="0"/>
        <w:ind w:left="1170" w:right="25" w:hanging="450"/>
        <w:rPr>
          <w:noProof w:val="0"/>
          <w:lang w:val="en-US"/>
        </w:rPr>
      </w:pPr>
      <w:r w:rsidRPr="00610904">
        <w:rPr>
          <w:i/>
          <w:noProof w:val="0"/>
          <w:lang w:val="en-US"/>
        </w:rPr>
        <w:t>Conclusions</w:t>
      </w:r>
      <w:r w:rsidR="00022F5E" w:rsidRPr="00610904">
        <w:rPr>
          <w:i/>
          <w:noProof w:val="0"/>
          <w:lang w:val="en-US"/>
        </w:rPr>
        <w:t>.</w:t>
      </w:r>
      <w:r w:rsidRPr="00610904">
        <w:rPr>
          <w:i/>
          <w:noProof w:val="0"/>
          <w:lang w:val="en-US"/>
        </w:rPr>
        <w:t xml:space="preserve"> </w:t>
      </w:r>
      <w:r w:rsidR="002F5BBA" w:rsidRPr="00610904">
        <w:rPr>
          <w:noProof w:val="0"/>
          <w:lang w:val="en-US"/>
        </w:rPr>
        <w:t>The Commission</w:t>
      </w:r>
      <w:r w:rsidR="00022F5E" w:rsidRPr="00610904">
        <w:rPr>
          <w:noProof w:val="0"/>
          <w:lang w:val="en-US"/>
        </w:rPr>
        <w:t xml:space="preserve"> conclu</w:t>
      </w:r>
      <w:r w:rsidRPr="00610904">
        <w:rPr>
          <w:noProof w:val="0"/>
          <w:lang w:val="en-US"/>
        </w:rPr>
        <w:t>ded that the State was responsible for the violation of the rights to a decent life, personal integrity, judicial guarantees</w:t>
      </w:r>
      <w:r w:rsidR="0056398E" w:rsidRPr="00610904">
        <w:rPr>
          <w:noProof w:val="0"/>
          <w:lang w:val="en-US"/>
        </w:rPr>
        <w:t>,</w:t>
      </w:r>
      <w:r w:rsidRPr="00610904">
        <w:rPr>
          <w:noProof w:val="0"/>
          <w:lang w:val="en-US"/>
        </w:rPr>
        <w:t xml:space="preserve"> and judicial protection, recognized in </w:t>
      </w:r>
      <w:r w:rsidR="009F3D78" w:rsidRPr="00610904">
        <w:rPr>
          <w:noProof w:val="0"/>
          <w:lang w:val="en-US"/>
        </w:rPr>
        <w:t>Articles</w:t>
      </w:r>
      <w:r w:rsidR="00022F5E" w:rsidRPr="00610904">
        <w:rPr>
          <w:noProof w:val="0"/>
          <w:lang w:val="en-US"/>
        </w:rPr>
        <w:t xml:space="preserve"> 4, 5, 8</w:t>
      </w:r>
      <w:r w:rsidR="009F3D78" w:rsidRPr="00610904">
        <w:rPr>
          <w:noProof w:val="0"/>
          <w:lang w:val="en-US"/>
        </w:rPr>
        <w:t xml:space="preserve"> and </w:t>
      </w:r>
      <w:r w:rsidR="00022F5E" w:rsidRPr="00610904">
        <w:rPr>
          <w:noProof w:val="0"/>
          <w:lang w:val="en-US"/>
        </w:rPr>
        <w:t>25</w:t>
      </w:r>
      <w:r w:rsidR="009F3D78" w:rsidRPr="00610904">
        <w:rPr>
          <w:noProof w:val="0"/>
          <w:lang w:val="en-US"/>
        </w:rPr>
        <w:t xml:space="preserve"> of the American Convention</w:t>
      </w:r>
      <w:r w:rsidRPr="00610904">
        <w:rPr>
          <w:noProof w:val="0"/>
          <w:lang w:val="en-US"/>
        </w:rPr>
        <w:t>, in relation to Article 1(1)</w:t>
      </w:r>
      <w:r w:rsidR="00022F5E" w:rsidRPr="00610904">
        <w:rPr>
          <w:noProof w:val="0"/>
          <w:lang w:val="en-US"/>
        </w:rPr>
        <w:t xml:space="preserve"> </w:t>
      </w:r>
      <w:r w:rsidRPr="00610904">
        <w:rPr>
          <w:noProof w:val="0"/>
          <w:lang w:val="en-US"/>
        </w:rPr>
        <w:t xml:space="preserve">of this international instrument, crosscut by the violation of </w:t>
      </w:r>
      <w:r w:rsidR="009F3D78" w:rsidRPr="00610904">
        <w:rPr>
          <w:noProof w:val="0"/>
          <w:lang w:val="en-US"/>
        </w:rPr>
        <w:t>Article</w:t>
      </w:r>
      <w:r w:rsidR="00022F5E" w:rsidRPr="00610904">
        <w:rPr>
          <w:noProof w:val="0"/>
          <w:lang w:val="en-US"/>
        </w:rPr>
        <w:t xml:space="preserve"> 19</w:t>
      </w:r>
      <w:r w:rsidR="009F3D78" w:rsidRPr="00610904">
        <w:rPr>
          <w:noProof w:val="0"/>
          <w:lang w:val="en-US"/>
        </w:rPr>
        <w:t xml:space="preserve"> of the Convention</w:t>
      </w:r>
      <w:r w:rsidR="00022F5E" w:rsidRPr="00610904">
        <w:rPr>
          <w:noProof w:val="0"/>
          <w:lang w:val="en-US"/>
        </w:rPr>
        <w:t xml:space="preserve">. </w:t>
      </w:r>
      <w:r w:rsidRPr="00610904">
        <w:rPr>
          <w:noProof w:val="0"/>
          <w:lang w:val="en-US"/>
        </w:rPr>
        <w:t>It also concluded that the State was responsible for the violation of the rights to mental and moral integrity, judicial guarantees</w:t>
      </w:r>
      <w:r w:rsidR="0056398E" w:rsidRPr="00610904">
        <w:rPr>
          <w:noProof w:val="0"/>
          <w:lang w:val="en-US"/>
        </w:rPr>
        <w:t>,</w:t>
      </w:r>
      <w:r w:rsidRPr="00610904">
        <w:rPr>
          <w:noProof w:val="0"/>
          <w:lang w:val="en-US"/>
        </w:rPr>
        <w:t xml:space="preserve"> and judicial protection established in </w:t>
      </w:r>
      <w:r w:rsidR="009F3D78" w:rsidRPr="00610904">
        <w:rPr>
          <w:noProof w:val="0"/>
          <w:lang w:val="en-US"/>
        </w:rPr>
        <w:t>Articles</w:t>
      </w:r>
      <w:r w:rsidR="00022F5E" w:rsidRPr="00610904">
        <w:rPr>
          <w:noProof w:val="0"/>
          <w:lang w:val="en-US"/>
        </w:rPr>
        <w:t xml:space="preserve"> 5, 8</w:t>
      </w:r>
      <w:r w:rsidR="009F3D78" w:rsidRPr="00610904">
        <w:rPr>
          <w:noProof w:val="0"/>
          <w:lang w:val="en-US"/>
        </w:rPr>
        <w:t xml:space="preserve"> and </w:t>
      </w:r>
      <w:r w:rsidR="00022F5E" w:rsidRPr="00610904">
        <w:rPr>
          <w:noProof w:val="0"/>
          <w:lang w:val="en-US"/>
        </w:rPr>
        <w:t>25</w:t>
      </w:r>
      <w:r w:rsidR="009F3D78" w:rsidRPr="00610904">
        <w:rPr>
          <w:noProof w:val="0"/>
          <w:lang w:val="en-US"/>
        </w:rPr>
        <w:t xml:space="preserve"> of the American Convention</w:t>
      </w:r>
      <w:r w:rsidR="00022F5E" w:rsidRPr="00610904">
        <w:rPr>
          <w:noProof w:val="0"/>
          <w:lang w:val="en-US"/>
        </w:rPr>
        <w:t xml:space="preserve"> </w:t>
      </w:r>
      <w:r w:rsidRPr="00610904">
        <w:rPr>
          <w:noProof w:val="0"/>
          <w:lang w:val="en-US"/>
        </w:rPr>
        <w:t>in relation to the obligations established in Article 1(1)</w:t>
      </w:r>
      <w:r w:rsidR="00022F5E" w:rsidRPr="00610904">
        <w:rPr>
          <w:noProof w:val="0"/>
          <w:lang w:val="en-US"/>
        </w:rPr>
        <w:t xml:space="preserve"> </w:t>
      </w:r>
      <w:r w:rsidRPr="00610904">
        <w:rPr>
          <w:noProof w:val="0"/>
          <w:lang w:val="en-US"/>
        </w:rPr>
        <w:t xml:space="preserve">of this instrument to the detriment of Talía’s mother and brother. </w:t>
      </w:r>
    </w:p>
    <w:p w:rsidR="00022F5E" w:rsidRPr="00610904" w:rsidRDefault="00022F5E" w:rsidP="00610904">
      <w:pPr>
        <w:pStyle w:val="Estilo2"/>
        <w:tabs>
          <w:tab w:val="clear" w:pos="567"/>
          <w:tab w:val="clear" w:pos="1134"/>
          <w:tab w:val="clear" w:pos="4767"/>
          <w:tab w:val="left" w:pos="426"/>
        </w:tabs>
        <w:spacing w:after="0"/>
        <w:ind w:left="1170" w:right="25" w:hanging="450"/>
        <w:rPr>
          <w:noProof w:val="0"/>
          <w:lang w:val="en-US"/>
        </w:rPr>
      </w:pPr>
    </w:p>
    <w:p w:rsidR="00022F5E" w:rsidRPr="00610904" w:rsidRDefault="00022F5E" w:rsidP="00610904">
      <w:pPr>
        <w:pStyle w:val="Estilo2"/>
        <w:numPr>
          <w:ilvl w:val="0"/>
          <w:numId w:val="8"/>
        </w:numPr>
        <w:tabs>
          <w:tab w:val="clear" w:pos="567"/>
          <w:tab w:val="clear" w:pos="1134"/>
          <w:tab w:val="left" w:pos="426"/>
        </w:tabs>
        <w:spacing w:after="0"/>
        <w:ind w:left="1170" w:right="25" w:hanging="450"/>
        <w:rPr>
          <w:noProof w:val="0"/>
          <w:lang w:val="en-US"/>
        </w:rPr>
      </w:pPr>
      <w:r w:rsidRPr="00610904">
        <w:rPr>
          <w:rFonts w:cs="Verdana"/>
          <w:i/>
          <w:noProof w:val="0"/>
          <w:lang w:val="en-US" w:eastAsia="es-ES"/>
        </w:rPr>
        <w:t>Recom</w:t>
      </w:r>
      <w:r w:rsidR="006E502B" w:rsidRPr="00610904">
        <w:rPr>
          <w:rFonts w:cs="Verdana"/>
          <w:i/>
          <w:noProof w:val="0"/>
          <w:lang w:val="en-US" w:eastAsia="es-ES"/>
        </w:rPr>
        <w:t>m</w:t>
      </w:r>
      <w:r w:rsidRPr="00610904">
        <w:rPr>
          <w:rFonts w:cs="Verdana"/>
          <w:i/>
          <w:noProof w:val="0"/>
          <w:lang w:val="en-US" w:eastAsia="es-ES"/>
        </w:rPr>
        <w:t>enda</w:t>
      </w:r>
      <w:r w:rsidR="006E502B" w:rsidRPr="00610904">
        <w:rPr>
          <w:rFonts w:cs="Verdana"/>
          <w:i/>
          <w:noProof w:val="0"/>
          <w:lang w:val="en-US" w:eastAsia="es-ES"/>
        </w:rPr>
        <w:t>tions.</w:t>
      </w:r>
      <w:r w:rsidRPr="00610904">
        <w:rPr>
          <w:rFonts w:cs="Verdana"/>
          <w:noProof w:val="0"/>
          <w:lang w:val="en-US" w:eastAsia="es-ES"/>
        </w:rPr>
        <w:t xml:space="preserve"> </w:t>
      </w:r>
      <w:r w:rsidR="006E502B" w:rsidRPr="00610904">
        <w:rPr>
          <w:noProof w:val="0"/>
          <w:lang w:val="en-US"/>
        </w:rPr>
        <w:t xml:space="preserve">Consequently, </w:t>
      </w:r>
      <w:r w:rsidR="002F5BBA" w:rsidRPr="00610904">
        <w:rPr>
          <w:noProof w:val="0"/>
          <w:lang w:val="en-US"/>
        </w:rPr>
        <w:t>the Commission</w:t>
      </w:r>
      <w:r w:rsidRPr="00610904">
        <w:rPr>
          <w:noProof w:val="0"/>
          <w:lang w:val="en-US"/>
        </w:rPr>
        <w:t xml:space="preserve"> </w:t>
      </w:r>
      <w:r w:rsidR="006E502B" w:rsidRPr="00610904">
        <w:rPr>
          <w:noProof w:val="0"/>
          <w:lang w:val="en-US"/>
        </w:rPr>
        <w:t>made a series of recommendations to the State:</w:t>
      </w:r>
    </w:p>
    <w:p w:rsidR="0056398E" w:rsidRPr="00610904" w:rsidRDefault="0056398E" w:rsidP="00610904">
      <w:pPr>
        <w:pStyle w:val="Estilo2"/>
        <w:tabs>
          <w:tab w:val="clear" w:pos="567"/>
          <w:tab w:val="clear" w:pos="1134"/>
          <w:tab w:val="clear" w:pos="4767"/>
          <w:tab w:val="left" w:pos="426"/>
        </w:tabs>
        <w:spacing w:after="0"/>
        <w:ind w:left="1170" w:right="385" w:hanging="450"/>
        <w:rPr>
          <w:noProof w:val="0"/>
          <w:sz w:val="14"/>
          <w:szCs w:val="14"/>
          <w:lang w:val="en-US"/>
        </w:rPr>
      </w:pPr>
    </w:p>
    <w:p w:rsidR="006E502B" w:rsidRPr="00610904" w:rsidRDefault="006E502B" w:rsidP="00610904">
      <w:pPr>
        <w:widowControl w:val="0"/>
        <w:numPr>
          <w:ilvl w:val="3"/>
          <w:numId w:val="1"/>
        </w:numPr>
        <w:autoSpaceDE w:val="0"/>
        <w:autoSpaceDN w:val="0"/>
        <w:adjustRightInd w:val="0"/>
        <w:ind w:left="1620" w:right="385" w:hanging="450"/>
        <w:rPr>
          <w:rFonts w:cs="Helvetica"/>
          <w:noProof w:val="0"/>
          <w:sz w:val="16"/>
          <w:szCs w:val="16"/>
          <w:lang w:val="en-US"/>
        </w:rPr>
      </w:pPr>
      <w:r w:rsidRPr="00610904">
        <w:rPr>
          <w:noProof w:val="0"/>
          <w:sz w:val="16"/>
          <w:szCs w:val="16"/>
          <w:lang w:val="en-US"/>
        </w:rPr>
        <w:t>Make full reparation to T</w:t>
      </w:r>
      <w:r w:rsidRPr="00610904">
        <w:rPr>
          <w:rFonts w:cs="Helvetica"/>
          <w:noProof w:val="0"/>
          <w:sz w:val="16"/>
          <w:szCs w:val="16"/>
          <w:lang w:val="en-US"/>
        </w:rPr>
        <w:t xml:space="preserve">[alia] </w:t>
      </w:r>
      <w:r w:rsidRPr="00610904">
        <w:rPr>
          <w:noProof w:val="0"/>
          <w:sz w:val="16"/>
          <w:szCs w:val="16"/>
          <w:lang w:val="en-US"/>
        </w:rPr>
        <w:t xml:space="preserve">and her mother for the human rights </w:t>
      </w:r>
      <w:r w:rsidR="0056398E" w:rsidRPr="00610904">
        <w:rPr>
          <w:noProof w:val="0"/>
          <w:sz w:val="16"/>
          <w:szCs w:val="16"/>
          <w:lang w:val="en-US"/>
        </w:rPr>
        <w:t>violations declared in the […</w:t>
      </w:r>
      <w:r w:rsidRPr="00610904">
        <w:rPr>
          <w:noProof w:val="0"/>
          <w:sz w:val="16"/>
          <w:szCs w:val="16"/>
          <w:lang w:val="en-US"/>
        </w:rPr>
        <w:t xml:space="preserve">] report, including both the pecuniary and non-pecuniary aspects. </w:t>
      </w:r>
    </w:p>
    <w:p w:rsidR="006E502B" w:rsidRPr="00610904" w:rsidRDefault="006E502B" w:rsidP="00610904">
      <w:pPr>
        <w:widowControl w:val="0"/>
        <w:numPr>
          <w:ilvl w:val="3"/>
          <w:numId w:val="1"/>
        </w:numPr>
        <w:autoSpaceDE w:val="0"/>
        <w:autoSpaceDN w:val="0"/>
        <w:adjustRightInd w:val="0"/>
        <w:ind w:left="1620" w:right="385" w:hanging="450"/>
        <w:rPr>
          <w:rFonts w:cs="Helvetica"/>
          <w:noProof w:val="0"/>
          <w:sz w:val="16"/>
          <w:szCs w:val="16"/>
          <w:lang w:val="en-US"/>
        </w:rPr>
      </w:pPr>
      <w:r w:rsidRPr="00610904">
        <w:rPr>
          <w:rFonts w:cs="BookAntiqua"/>
          <w:noProof w:val="0"/>
          <w:sz w:val="16"/>
          <w:szCs w:val="16"/>
          <w:lang w:val="en-US"/>
        </w:rPr>
        <w:t xml:space="preserve">Provide, in consultation with T[alia], immediately and permanently, the specialized medical treatment she requires. </w:t>
      </w:r>
    </w:p>
    <w:p w:rsidR="006E502B" w:rsidRPr="00610904" w:rsidRDefault="006E502B" w:rsidP="00610904">
      <w:pPr>
        <w:widowControl w:val="0"/>
        <w:numPr>
          <w:ilvl w:val="3"/>
          <w:numId w:val="1"/>
        </w:numPr>
        <w:autoSpaceDE w:val="0"/>
        <w:autoSpaceDN w:val="0"/>
        <w:adjustRightInd w:val="0"/>
        <w:ind w:left="1620" w:right="385" w:hanging="450"/>
        <w:rPr>
          <w:rFonts w:cs="Helvetica"/>
          <w:noProof w:val="0"/>
          <w:sz w:val="16"/>
          <w:szCs w:val="16"/>
          <w:lang w:val="en-US"/>
        </w:rPr>
      </w:pPr>
      <w:r w:rsidRPr="00610904">
        <w:rPr>
          <w:rFonts w:cs="BookAntiqua"/>
          <w:noProof w:val="0"/>
          <w:sz w:val="16"/>
          <w:szCs w:val="16"/>
          <w:lang w:val="en-US"/>
        </w:rPr>
        <w:t>Provide, in consultation with T[alia], free primary</w:t>
      </w:r>
      <w:r w:rsidR="0056398E" w:rsidRPr="00610904">
        <w:rPr>
          <w:rFonts w:cs="BookAntiqua"/>
          <w:noProof w:val="0"/>
          <w:sz w:val="16"/>
          <w:szCs w:val="16"/>
          <w:lang w:val="en-US"/>
        </w:rPr>
        <w:t>,</w:t>
      </w:r>
      <w:r w:rsidRPr="00610904">
        <w:rPr>
          <w:rFonts w:cs="BookAntiqua"/>
          <w:noProof w:val="0"/>
          <w:sz w:val="16"/>
          <w:szCs w:val="16"/>
          <w:lang w:val="en-US"/>
        </w:rPr>
        <w:t xml:space="preserve"> high school and university education. </w:t>
      </w:r>
    </w:p>
    <w:p w:rsidR="006E502B" w:rsidRPr="00610904" w:rsidRDefault="006E502B" w:rsidP="00610904">
      <w:pPr>
        <w:widowControl w:val="0"/>
        <w:numPr>
          <w:ilvl w:val="3"/>
          <w:numId w:val="1"/>
        </w:numPr>
        <w:autoSpaceDE w:val="0"/>
        <w:autoSpaceDN w:val="0"/>
        <w:adjustRightInd w:val="0"/>
        <w:ind w:left="1620" w:right="385" w:hanging="450"/>
        <w:rPr>
          <w:rFonts w:cs="Helvetica"/>
          <w:noProof w:val="0"/>
          <w:sz w:val="16"/>
          <w:szCs w:val="16"/>
          <w:lang w:val="en-US"/>
        </w:rPr>
      </w:pPr>
      <w:r w:rsidRPr="00610904">
        <w:rPr>
          <w:rFonts w:cs="Arial"/>
          <w:noProof w:val="0"/>
          <w:sz w:val="16"/>
          <w:szCs w:val="16"/>
          <w:lang w:val="en-US"/>
        </w:rPr>
        <w:t xml:space="preserve">Conduct a complete and effective investigation into the human rights </w:t>
      </w:r>
      <w:r w:rsidR="0056398E" w:rsidRPr="00610904">
        <w:rPr>
          <w:rFonts w:cs="Arial"/>
          <w:noProof w:val="0"/>
          <w:sz w:val="16"/>
          <w:szCs w:val="16"/>
          <w:lang w:val="en-US"/>
        </w:rPr>
        <w:t>violations declared in the […</w:t>
      </w:r>
      <w:r w:rsidRPr="00610904">
        <w:rPr>
          <w:rFonts w:cs="Arial"/>
          <w:noProof w:val="0"/>
          <w:sz w:val="16"/>
          <w:szCs w:val="16"/>
          <w:lang w:val="en-US"/>
        </w:rPr>
        <w:t>] report</w:t>
      </w:r>
      <w:r w:rsidRPr="00610904">
        <w:rPr>
          <w:noProof w:val="0"/>
          <w:sz w:val="16"/>
          <w:szCs w:val="16"/>
          <w:lang w:val="en-US"/>
        </w:rPr>
        <w:t>.</w:t>
      </w:r>
    </w:p>
    <w:p w:rsidR="006E502B" w:rsidRPr="00610904" w:rsidRDefault="006E502B" w:rsidP="00610904">
      <w:pPr>
        <w:widowControl w:val="0"/>
        <w:numPr>
          <w:ilvl w:val="3"/>
          <w:numId w:val="1"/>
        </w:numPr>
        <w:autoSpaceDE w:val="0"/>
        <w:autoSpaceDN w:val="0"/>
        <w:adjustRightInd w:val="0"/>
        <w:ind w:left="1620" w:right="385" w:hanging="450"/>
        <w:rPr>
          <w:rFonts w:cs="Helvetica"/>
          <w:noProof w:val="0"/>
          <w:sz w:val="16"/>
          <w:szCs w:val="16"/>
          <w:lang w:val="en-US"/>
        </w:rPr>
      </w:pPr>
      <w:r w:rsidRPr="00610904">
        <w:rPr>
          <w:rFonts w:cs="BookAntiqua"/>
          <w:noProof w:val="0"/>
          <w:sz w:val="16"/>
          <w:szCs w:val="16"/>
          <w:lang w:val="en-US"/>
        </w:rPr>
        <w:t>Establish non-repetition mechanisms, in</w:t>
      </w:r>
      <w:r w:rsidR="0056398E" w:rsidRPr="00610904">
        <w:rPr>
          <w:rFonts w:cs="BookAntiqua"/>
          <w:noProof w:val="0"/>
          <w:sz w:val="16"/>
          <w:szCs w:val="16"/>
          <w:lang w:val="en-US"/>
        </w:rPr>
        <w:t xml:space="preserve">cluding: (i) implementation of </w:t>
      </w:r>
      <w:r w:rsidRPr="00610904">
        <w:rPr>
          <w:rFonts w:cs="BookAntiqua"/>
          <w:noProof w:val="0"/>
          <w:sz w:val="16"/>
          <w:szCs w:val="16"/>
          <w:lang w:val="en-US"/>
        </w:rPr>
        <w:t xml:space="preserve">serious and effective </w:t>
      </w:r>
      <w:r w:rsidRPr="00610904">
        <w:rPr>
          <w:rFonts w:cs="BookAntiqua"/>
          <w:noProof w:val="0"/>
          <w:sz w:val="16"/>
          <w:szCs w:val="16"/>
          <w:lang w:val="en-US"/>
        </w:rPr>
        <w:lastRenderedPageBreak/>
        <w:t>mechanisms for periodic supervision and monitoring of the functioning and record systems of both the public and private blood banks operating in Ecuador</w:t>
      </w:r>
      <w:r w:rsidRPr="00610904">
        <w:rPr>
          <w:noProof w:val="0"/>
          <w:sz w:val="16"/>
          <w:szCs w:val="16"/>
          <w:lang w:val="en-US"/>
        </w:rPr>
        <w:t>; (</w:t>
      </w:r>
      <w:r w:rsidRPr="00610904">
        <w:rPr>
          <w:rFonts w:cs="BookAntiqua"/>
          <w:noProof w:val="0"/>
          <w:sz w:val="16"/>
          <w:szCs w:val="16"/>
          <w:lang w:val="en-US"/>
        </w:rPr>
        <w:t xml:space="preserve">ii) implementation of serious and effective mechanisms for periodic supervision and monitoring of public and private hospitals to ensure that they have the necessary safeguards in place to verify the safety of the blood products that are used for transfusions; (iii) implementation of training programs for employees of the blood banks that operate in Ecuador, in order to ensure that they carry out their tasks in a way that is compatible way with the basic internationally-recognized technical safety standards, </w:t>
      </w:r>
      <w:r w:rsidRPr="00610904">
        <w:rPr>
          <w:noProof w:val="0"/>
          <w:sz w:val="16"/>
          <w:szCs w:val="16"/>
          <w:lang w:val="en-US"/>
        </w:rPr>
        <w:t>and</w:t>
      </w:r>
      <w:r w:rsidRPr="00610904">
        <w:rPr>
          <w:rFonts w:cs="BookAntiqua"/>
          <w:noProof w:val="0"/>
          <w:sz w:val="16"/>
          <w:szCs w:val="16"/>
          <w:lang w:val="en-US"/>
        </w:rPr>
        <w:t xml:space="preserve"> iv) provision of treatment and free health care to children with HIV who do not have the required financial resources.  </w:t>
      </w:r>
    </w:p>
    <w:p w:rsidR="00022F5E" w:rsidRPr="00610904" w:rsidRDefault="00022F5E" w:rsidP="00610904">
      <w:pPr>
        <w:ind w:right="4"/>
        <w:rPr>
          <w:i/>
          <w:noProof w:val="0"/>
          <w:szCs w:val="20"/>
          <w:lang w:val="en-US"/>
        </w:rPr>
      </w:pPr>
    </w:p>
    <w:p w:rsidR="00022F5E" w:rsidRPr="00610904" w:rsidRDefault="00022F5E" w:rsidP="00610904">
      <w:pPr>
        <w:pStyle w:val="Estilo1"/>
        <w:numPr>
          <w:ilvl w:val="0"/>
          <w:numId w:val="6"/>
        </w:numPr>
        <w:tabs>
          <w:tab w:val="left" w:pos="567"/>
          <w:tab w:val="left" w:pos="720"/>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Notifica</w:t>
      </w:r>
      <w:r w:rsidR="0056398E" w:rsidRPr="00610904">
        <w:rPr>
          <w:rFonts w:cs="Verdana"/>
          <w:noProof w:val="0"/>
          <w:szCs w:val="20"/>
          <w:lang w:val="en-US" w:eastAsia="es-ES"/>
        </w:rPr>
        <w:t>tion of</w:t>
      </w:r>
      <w:r w:rsidR="006E502B" w:rsidRPr="00610904">
        <w:rPr>
          <w:rFonts w:cs="Verdana"/>
          <w:noProof w:val="0"/>
          <w:szCs w:val="20"/>
          <w:lang w:val="en-US" w:eastAsia="es-ES"/>
        </w:rPr>
        <w:t xml:space="preserve"> the State. </w:t>
      </w:r>
      <w:r w:rsidR="006E502B" w:rsidRPr="00610904">
        <w:rPr>
          <w:rFonts w:cs="Verdana"/>
          <w:i w:val="0"/>
          <w:noProof w:val="0"/>
          <w:szCs w:val="20"/>
          <w:lang w:val="en-US" w:eastAsia="es-ES"/>
        </w:rPr>
        <w:t>The</w:t>
      </w:r>
      <w:r w:rsidRPr="00610904">
        <w:rPr>
          <w:rFonts w:cs="Verdana"/>
          <w:i w:val="0"/>
          <w:noProof w:val="0"/>
          <w:szCs w:val="20"/>
          <w:lang w:val="en-US" w:eastAsia="es-ES"/>
        </w:rPr>
        <w:t xml:space="preserve"> </w:t>
      </w:r>
      <w:r w:rsidR="006E502B" w:rsidRPr="00610904">
        <w:rPr>
          <w:rFonts w:cs="Verdana"/>
          <w:i w:val="0"/>
          <w:noProof w:val="0"/>
          <w:lang w:val="en-US" w:eastAsia="es-ES"/>
        </w:rPr>
        <w:t>Merits Report was notified to the State in a communication of November 18,</w:t>
      </w:r>
      <w:r w:rsidRPr="00610904">
        <w:rPr>
          <w:rFonts w:cs="Verdana"/>
          <w:i w:val="0"/>
          <w:noProof w:val="0"/>
          <w:lang w:val="en-US" w:eastAsia="es-ES"/>
        </w:rPr>
        <w:t xml:space="preserve"> 2013,</w:t>
      </w:r>
      <w:r w:rsidR="006E502B" w:rsidRPr="00610904">
        <w:rPr>
          <w:rFonts w:cs="Verdana"/>
          <w:i w:val="0"/>
          <w:noProof w:val="0"/>
          <w:lang w:val="en-US" w:eastAsia="es-ES"/>
        </w:rPr>
        <w:t xml:space="preserve"> in which it was granted two months to report on compliance with the recommendations. The State did not present observations on the</w:t>
      </w:r>
      <w:r w:rsidR="00E23CA6" w:rsidRPr="00610904">
        <w:rPr>
          <w:rFonts w:cs="Verdana"/>
          <w:i w:val="0"/>
          <w:noProof w:val="0"/>
          <w:lang w:val="en-US" w:eastAsia="es-ES"/>
        </w:rPr>
        <w:t xml:space="preserve"> </w:t>
      </w:r>
      <w:r w:rsidR="006E502B" w:rsidRPr="00610904">
        <w:rPr>
          <w:rFonts w:cs="Verdana"/>
          <w:i w:val="0"/>
          <w:noProof w:val="0"/>
          <w:lang w:val="en-US" w:eastAsia="es-ES"/>
        </w:rPr>
        <w:t xml:space="preserve">Merits Report prior to the submission of the case to </w:t>
      </w:r>
      <w:r w:rsidR="009F3D78" w:rsidRPr="00610904">
        <w:rPr>
          <w:rFonts w:cs="Verdana"/>
          <w:i w:val="0"/>
          <w:noProof w:val="0"/>
          <w:lang w:val="en-US" w:eastAsia="es-ES"/>
        </w:rPr>
        <w:t>the Court</w:t>
      </w:r>
      <w:r w:rsidR="00E23CA6" w:rsidRPr="00610904">
        <w:rPr>
          <w:rFonts w:cs="Verdana"/>
          <w:i w:val="0"/>
          <w:noProof w:val="0"/>
          <w:lang w:val="en-US" w:eastAsia="es-ES"/>
        </w:rPr>
        <w:t>.</w:t>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6E502B"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 xml:space="preserve">Submission to </w:t>
      </w:r>
      <w:r w:rsidR="009F3D78" w:rsidRPr="00610904">
        <w:rPr>
          <w:rFonts w:cs="Verdana"/>
          <w:noProof w:val="0"/>
          <w:szCs w:val="20"/>
          <w:lang w:val="en-US" w:eastAsia="es-ES"/>
        </w:rPr>
        <w:t>the Court</w:t>
      </w:r>
      <w:r w:rsidR="00022F5E" w:rsidRPr="00610904">
        <w:rPr>
          <w:rFonts w:cs="Verdana"/>
          <w:noProof w:val="0"/>
          <w:szCs w:val="20"/>
          <w:lang w:val="en-US" w:eastAsia="es-ES"/>
        </w:rPr>
        <w: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On March 18,</w:t>
      </w:r>
      <w:r w:rsidR="00022F5E" w:rsidRPr="00610904">
        <w:rPr>
          <w:rFonts w:cs="Verdana"/>
          <w:i w:val="0"/>
          <w:noProof w:val="0"/>
          <w:szCs w:val="20"/>
          <w:lang w:val="en-US" w:eastAsia="es-ES"/>
        </w:rPr>
        <w:t xml:space="preserve"> 2014</w:t>
      </w:r>
      <w:r w:rsidRPr="00610904">
        <w:rPr>
          <w:rFonts w:cs="Verdana"/>
          <w:i w:val="0"/>
          <w:noProof w:val="0"/>
          <w:szCs w:val="20"/>
          <w:lang w:val="en-US" w:eastAsia="es-ES"/>
        </w:rPr>
        <w:t>,</w:t>
      </w:r>
      <w:r w:rsidR="00022F5E" w:rsidRPr="00610904">
        <w:rPr>
          <w:rFonts w:cs="Verdana"/>
          <w:i w:val="0"/>
          <w:noProof w:val="0"/>
          <w:szCs w:val="20"/>
          <w:lang w:val="en-US" w:eastAsia="es-ES"/>
        </w:rPr>
        <w:t xml:space="preserve"> </w:t>
      </w:r>
      <w:r w:rsidR="002F5BBA" w:rsidRPr="00610904">
        <w:rPr>
          <w:rFonts w:cs="Verdana"/>
          <w:i w:val="0"/>
          <w:noProof w:val="0"/>
          <w:szCs w:val="20"/>
          <w:lang w:val="en-US" w:eastAsia="es-ES"/>
        </w:rPr>
        <w:t>the Commission</w:t>
      </w:r>
      <w:r w:rsidR="00022F5E" w:rsidRPr="00610904">
        <w:rPr>
          <w:rFonts w:cs="Verdana"/>
          <w:i w:val="0"/>
          <w:noProof w:val="0"/>
          <w:szCs w:val="20"/>
          <w:lang w:val="en-US" w:eastAsia="es-ES"/>
        </w:rPr>
        <w:t xml:space="preserve"> s</w:t>
      </w:r>
      <w:r w:rsidRPr="00610904">
        <w:rPr>
          <w:rFonts w:cs="Verdana"/>
          <w:i w:val="0"/>
          <w:noProof w:val="0"/>
          <w:szCs w:val="20"/>
          <w:lang w:val="en-US" w:eastAsia="es-ES"/>
        </w:rPr>
        <w:t xml:space="preserve">ubmitted all the facts and human rights violations </w:t>
      </w:r>
      <w:r w:rsidR="0056398E" w:rsidRPr="00610904">
        <w:rPr>
          <w:rFonts w:cs="Verdana"/>
          <w:i w:val="0"/>
          <w:noProof w:val="0"/>
          <w:szCs w:val="20"/>
          <w:lang w:val="en-US" w:eastAsia="es-ES"/>
        </w:rPr>
        <w:t>described</w:t>
      </w:r>
      <w:r w:rsidRPr="00610904">
        <w:rPr>
          <w:rFonts w:cs="Verdana"/>
          <w:i w:val="0"/>
          <w:noProof w:val="0"/>
          <w:szCs w:val="20"/>
          <w:lang w:val="en-US" w:eastAsia="es-ES"/>
        </w:rPr>
        <w:t xml:space="preserve"> in the Merits Report to the Court “owing to the need to obtain justice.”</w:t>
      </w:r>
      <w:r w:rsidR="00022F5E" w:rsidRPr="00610904">
        <w:rPr>
          <w:rStyle w:val="FootnoteReference"/>
          <w:i w:val="0"/>
          <w:noProof w:val="0"/>
          <w:lang w:val="en-US" w:eastAsia="es-ES"/>
        </w:rPr>
        <w:footnoteReference w:id="2"/>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6E502B"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Requests of</w:t>
      </w:r>
      <w:r w:rsidR="00022F5E" w:rsidRPr="00610904">
        <w:rPr>
          <w:rFonts w:cs="Verdana"/>
          <w:noProof w:val="0"/>
          <w:szCs w:val="20"/>
          <w:lang w:val="en-US" w:eastAsia="es-ES"/>
        </w:rPr>
        <w:t xml:space="preserve"> </w:t>
      </w:r>
      <w:r w:rsidR="002F5BBA" w:rsidRPr="00610904">
        <w:rPr>
          <w:rFonts w:cs="Verdana"/>
          <w:noProof w:val="0"/>
          <w:szCs w:val="20"/>
          <w:lang w:val="en-US" w:eastAsia="es-ES"/>
        </w:rPr>
        <w:t>the Inter-American Commission</w:t>
      </w:r>
      <w:r w:rsidRPr="00610904">
        <w:rPr>
          <w:rFonts w:cs="Verdana"/>
          <w:noProof w:val="0"/>
          <w:szCs w:val="20"/>
          <w:lang w:val="en-US" w:eastAsia="es-ES"/>
        </w:rPr>
        <w:t>.</w:t>
      </w:r>
      <w:r w:rsidR="00022F5E" w:rsidRPr="00610904">
        <w:rPr>
          <w:rFonts w:cs="Verdana"/>
          <w:noProof w:val="0"/>
          <w:szCs w:val="20"/>
          <w:lang w:val="en-US" w:eastAsia="es-ES"/>
        </w:rPr>
        <w:t xml:space="preserve"> </w:t>
      </w:r>
      <w:r w:rsidRPr="00610904">
        <w:rPr>
          <w:rFonts w:cs="Verdana"/>
          <w:i w:val="0"/>
          <w:noProof w:val="0"/>
          <w:szCs w:val="20"/>
          <w:lang w:val="en-US" w:eastAsia="es-ES"/>
        </w:rPr>
        <w:t xml:space="preserve">Based on the foregoing, </w:t>
      </w:r>
      <w:r w:rsidR="002F5BBA" w:rsidRPr="00610904">
        <w:rPr>
          <w:rFonts w:cs="Verdana"/>
          <w:i w:val="0"/>
          <w:noProof w:val="0"/>
          <w:szCs w:val="20"/>
          <w:lang w:val="en-US" w:eastAsia="es-ES"/>
        </w:rPr>
        <w:t>the Inter-American Commission</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asked the Court to find and declare the international responsibility of </w:t>
      </w:r>
      <w:r w:rsidR="00022F5E" w:rsidRPr="00610904">
        <w:rPr>
          <w:rFonts w:cs="Verdana"/>
          <w:i w:val="0"/>
          <w:noProof w:val="0"/>
          <w:szCs w:val="20"/>
          <w:lang w:val="en-US" w:eastAsia="es-ES"/>
        </w:rPr>
        <w:t>Ecuador</w:t>
      </w:r>
      <w:r w:rsidRPr="00610904">
        <w:rPr>
          <w:rFonts w:cs="Verdana"/>
          <w:i w:val="0"/>
          <w:noProof w:val="0"/>
          <w:szCs w:val="20"/>
          <w:lang w:val="en-US" w:eastAsia="es-ES"/>
        </w:rPr>
        <w:t xml:space="preserve"> for the violations contained in the</w:t>
      </w:r>
      <w:r w:rsidR="00022F5E" w:rsidRPr="00610904">
        <w:rPr>
          <w:rFonts w:cs="Verdana"/>
          <w:i w:val="0"/>
          <w:noProof w:val="0"/>
          <w:szCs w:val="20"/>
          <w:lang w:val="en-US" w:eastAsia="es-ES"/>
        </w:rPr>
        <w:t xml:space="preserve"> </w:t>
      </w:r>
      <w:r w:rsidRPr="00610904">
        <w:rPr>
          <w:rFonts w:cs="Verdana"/>
          <w:i w:val="0"/>
          <w:noProof w:val="0"/>
          <w:szCs w:val="20"/>
          <w:lang w:val="en-US" w:eastAsia="es-ES"/>
        </w:rPr>
        <w:t>Merits Report</w:t>
      </w:r>
      <w:r w:rsidR="009F3D78" w:rsidRPr="00610904">
        <w:rPr>
          <w:rFonts w:cs="Verdana"/>
          <w:i w:val="0"/>
          <w:noProof w:val="0"/>
          <w:szCs w:val="20"/>
          <w:lang w:val="en-US" w:eastAsia="es-ES"/>
        </w:rPr>
        <w:t xml:space="preserve"> and </w:t>
      </w:r>
      <w:r w:rsidRPr="00610904">
        <w:rPr>
          <w:rFonts w:cs="Verdana"/>
          <w:i w:val="0"/>
          <w:noProof w:val="0"/>
          <w:szCs w:val="20"/>
          <w:lang w:val="en-US" w:eastAsia="es-ES"/>
        </w:rPr>
        <w:t xml:space="preserve">to order the State, as measures of reparation, to comply with the </w:t>
      </w:r>
      <w:r w:rsidR="0056398E" w:rsidRPr="00610904">
        <w:rPr>
          <w:rFonts w:cs="Verdana"/>
          <w:i w:val="0"/>
          <w:noProof w:val="0"/>
          <w:szCs w:val="20"/>
          <w:lang w:val="en-US" w:eastAsia="es-ES"/>
        </w:rPr>
        <w:t>recommendations included in that</w:t>
      </w:r>
      <w:r w:rsidRPr="00610904">
        <w:rPr>
          <w:rFonts w:cs="Verdana"/>
          <w:i w:val="0"/>
          <w:noProof w:val="0"/>
          <w:szCs w:val="20"/>
          <w:lang w:val="en-US" w:eastAsia="es-ES"/>
        </w:rPr>
        <w:t xml:space="preserve"> report </w:t>
      </w:r>
      <w:r w:rsidR="00022F5E" w:rsidRPr="00610904">
        <w:rPr>
          <w:rFonts w:cs="Verdana"/>
          <w:i w:val="0"/>
          <w:noProof w:val="0"/>
          <w:szCs w:val="20"/>
          <w:lang w:val="en-US" w:eastAsia="es-ES"/>
        </w:rPr>
        <w:t>(</w:t>
      </w:r>
      <w:r w:rsidR="00022F5E" w:rsidRPr="00610904">
        <w:rPr>
          <w:rFonts w:cs="Verdana"/>
          <w:noProof w:val="0"/>
          <w:szCs w:val="20"/>
          <w:lang w:val="en-US" w:eastAsia="es-ES"/>
        </w:rPr>
        <w:t xml:space="preserve">supra </w:t>
      </w:r>
      <w:r w:rsidRPr="00610904">
        <w:rPr>
          <w:rFonts w:cs="Verdana"/>
          <w:i w:val="0"/>
          <w:noProof w:val="0"/>
          <w:szCs w:val="20"/>
          <w:lang w:val="en-US" w:eastAsia="es-ES"/>
        </w:rPr>
        <w:t>para.</w:t>
      </w:r>
      <w:r w:rsidR="00C91A63" w:rsidRPr="00610904">
        <w:rPr>
          <w:rFonts w:cs="Verdana"/>
          <w:i w:val="0"/>
          <w:noProof w:val="0"/>
          <w:szCs w:val="20"/>
          <w:lang w:val="en-US" w:eastAsia="es-ES"/>
        </w:rPr>
        <w:t xml:space="preserve"> 2</w:t>
      </w:r>
      <w:r w:rsidR="00022F5E" w:rsidRPr="00610904">
        <w:rPr>
          <w:rFonts w:cs="Verdana"/>
          <w:i w:val="0"/>
          <w:noProof w:val="0"/>
          <w:szCs w:val="20"/>
          <w:lang w:val="en-US" w:eastAsia="es-ES"/>
        </w:rPr>
        <w:t>).</w:t>
      </w:r>
    </w:p>
    <w:p w:rsidR="00022F5E" w:rsidRPr="00610904" w:rsidRDefault="00022F5E" w:rsidP="00610904">
      <w:pPr>
        <w:rPr>
          <w:rFonts w:cs="Verdana"/>
          <w:i/>
          <w:noProof w:val="0"/>
          <w:szCs w:val="20"/>
          <w:lang w:val="en-US" w:eastAsia="es-ES"/>
        </w:rPr>
      </w:pPr>
    </w:p>
    <w:p w:rsidR="00022F5E" w:rsidRPr="00610904" w:rsidRDefault="00022F5E" w:rsidP="00610904">
      <w:pPr>
        <w:pStyle w:val="Heading1"/>
        <w:spacing w:before="0" w:after="0"/>
        <w:rPr>
          <w:noProof w:val="0"/>
          <w:lang w:val="en-US"/>
        </w:rPr>
      </w:pPr>
      <w:bookmarkStart w:id="7" w:name="_Toc359314415"/>
      <w:bookmarkStart w:id="8" w:name="_Toc361671572"/>
      <w:bookmarkStart w:id="9" w:name="_Toc361671992"/>
      <w:bookmarkStart w:id="10" w:name="_Toc361732789"/>
      <w:bookmarkStart w:id="11" w:name="_Toc361732832"/>
      <w:bookmarkStart w:id="12" w:name="_Toc362456863"/>
      <w:bookmarkStart w:id="13" w:name="_Toc365021392"/>
      <w:bookmarkStart w:id="14" w:name="_Toc369076778"/>
      <w:bookmarkStart w:id="15" w:name="_Toc369989362"/>
      <w:bookmarkStart w:id="16" w:name="_Toc369989449"/>
      <w:bookmarkStart w:id="17" w:name="_Toc369989730"/>
      <w:bookmarkStart w:id="18" w:name="_Toc404770055"/>
      <w:bookmarkStart w:id="19" w:name="_Toc416164785"/>
      <w:bookmarkStart w:id="20" w:name="_Toc443399072"/>
      <w:r w:rsidRPr="00610904">
        <w:rPr>
          <w:noProof w:val="0"/>
          <w:lang w:val="en-US"/>
        </w:rPr>
        <w:t>II</w:t>
      </w:r>
      <w:r w:rsidRPr="00610904">
        <w:rPr>
          <w:noProof w:val="0"/>
          <w:lang w:val="en-US"/>
        </w:rPr>
        <w:br/>
      </w:r>
      <w:bookmarkStart w:id="21" w:name="_Toc311128156"/>
      <w:bookmarkStart w:id="22" w:name="_Toc311128353"/>
      <w:r w:rsidR="003309BE" w:rsidRPr="00610904">
        <w:rPr>
          <w:noProof w:val="0"/>
          <w:lang w:val="en-US"/>
        </w:rPr>
        <w:t>PROCEEDINGS BEFORE THE</w:t>
      </w:r>
      <w:r w:rsidR="009F3D78" w:rsidRPr="00610904">
        <w:rPr>
          <w:noProof w:val="0"/>
          <w:lang w:val="en-US"/>
        </w:rPr>
        <w:t xml:space="preserve"> COURT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022F5E"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noProof w:val="0"/>
          <w:szCs w:val="20"/>
          <w:lang w:val="en-US" w:eastAsia="es-ES"/>
        </w:rPr>
        <w:t>Notifica</w:t>
      </w:r>
      <w:r w:rsidR="0056398E" w:rsidRPr="00610904">
        <w:rPr>
          <w:noProof w:val="0"/>
          <w:szCs w:val="20"/>
          <w:lang w:val="en-US" w:eastAsia="es-ES"/>
        </w:rPr>
        <w:t>tion of</w:t>
      </w:r>
      <w:r w:rsidR="00795F5F" w:rsidRPr="00610904">
        <w:rPr>
          <w:noProof w:val="0"/>
          <w:szCs w:val="20"/>
          <w:lang w:val="en-US" w:eastAsia="es-ES"/>
        </w:rPr>
        <w:t xml:space="preserve"> the Stat</w:t>
      </w:r>
      <w:r w:rsidR="0056398E" w:rsidRPr="00610904">
        <w:rPr>
          <w:noProof w:val="0"/>
          <w:szCs w:val="20"/>
          <w:lang w:val="en-US" w:eastAsia="es-ES"/>
        </w:rPr>
        <w:t>e and</w:t>
      </w:r>
      <w:r w:rsidR="00795F5F" w:rsidRPr="00610904">
        <w:rPr>
          <w:noProof w:val="0"/>
          <w:szCs w:val="20"/>
          <w:lang w:val="en-US" w:eastAsia="es-ES"/>
        </w:rPr>
        <w:t xml:space="preserve"> </w:t>
      </w:r>
      <w:r w:rsidR="009F3D78" w:rsidRPr="00610904">
        <w:rPr>
          <w:noProof w:val="0"/>
          <w:szCs w:val="20"/>
          <w:lang w:val="en-US" w:eastAsia="es-ES"/>
        </w:rPr>
        <w:t>the representatives</w:t>
      </w:r>
      <w:r w:rsidR="00795F5F" w:rsidRPr="00610904">
        <w:rPr>
          <w:noProof w:val="0"/>
          <w:szCs w:val="20"/>
          <w:lang w:val="en-US" w:eastAsia="es-ES"/>
        </w:rPr>
        <w:t>.</w:t>
      </w:r>
      <w:r w:rsidRPr="00610904">
        <w:rPr>
          <w:noProof w:val="0"/>
          <w:szCs w:val="20"/>
          <w:lang w:val="en-US" w:eastAsia="es-ES"/>
        </w:rPr>
        <w:t xml:space="preserve"> </w:t>
      </w:r>
      <w:r w:rsidR="00795F5F" w:rsidRPr="00610904">
        <w:rPr>
          <w:i w:val="0"/>
          <w:noProof w:val="0"/>
          <w:szCs w:val="20"/>
          <w:lang w:val="en-US" w:eastAsia="es-ES"/>
        </w:rPr>
        <w:t xml:space="preserve">The submission of the case by </w:t>
      </w:r>
      <w:r w:rsidR="003309BE" w:rsidRPr="00610904">
        <w:rPr>
          <w:i w:val="0"/>
          <w:noProof w:val="0"/>
          <w:szCs w:val="20"/>
          <w:lang w:val="en-US" w:eastAsia="es-ES"/>
        </w:rPr>
        <w:t xml:space="preserve">the </w:t>
      </w:r>
      <w:r w:rsidR="002F5BBA" w:rsidRPr="00610904">
        <w:rPr>
          <w:i w:val="0"/>
          <w:noProof w:val="0"/>
          <w:szCs w:val="20"/>
          <w:lang w:val="en-US" w:eastAsia="es-ES"/>
        </w:rPr>
        <w:t>Commission</w:t>
      </w:r>
      <w:r w:rsidR="00795F5F" w:rsidRPr="00610904">
        <w:rPr>
          <w:i w:val="0"/>
          <w:noProof w:val="0"/>
          <w:szCs w:val="20"/>
          <w:lang w:val="en-US" w:eastAsia="es-ES"/>
        </w:rPr>
        <w:t xml:space="preserve"> was notified to the State and to </w:t>
      </w:r>
      <w:r w:rsidR="009F3D78" w:rsidRPr="00610904">
        <w:rPr>
          <w:i w:val="0"/>
          <w:noProof w:val="0"/>
          <w:szCs w:val="20"/>
          <w:lang w:val="en-US" w:eastAsia="es-ES"/>
        </w:rPr>
        <w:t>the presumed victims</w:t>
      </w:r>
      <w:r w:rsidRPr="00610904">
        <w:rPr>
          <w:i w:val="0"/>
          <w:noProof w:val="0"/>
          <w:szCs w:val="20"/>
          <w:lang w:val="en-US" w:eastAsia="es-ES"/>
        </w:rPr>
        <w:t xml:space="preserve"> </w:t>
      </w:r>
      <w:r w:rsidR="00795F5F" w:rsidRPr="00610904">
        <w:rPr>
          <w:i w:val="0"/>
          <w:noProof w:val="0"/>
          <w:szCs w:val="20"/>
          <w:lang w:val="en-US" w:eastAsia="es-ES"/>
        </w:rPr>
        <w:t>on April</w:t>
      </w:r>
      <w:r w:rsidRPr="00610904">
        <w:rPr>
          <w:i w:val="0"/>
          <w:noProof w:val="0"/>
          <w:szCs w:val="20"/>
          <w:lang w:val="en-US" w:eastAsia="es-ES"/>
        </w:rPr>
        <w:t xml:space="preserve"> 17 </w:t>
      </w:r>
      <w:r w:rsidR="009F3D78" w:rsidRPr="00610904">
        <w:rPr>
          <w:i w:val="0"/>
          <w:noProof w:val="0"/>
          <w:szCs w:val="20"/>
          <w:lang w:val="en-US" w:eastAsia="es-ES"/>
        </w:rPr>
        <w:t xml:space="preserve">and </w:t>
      </w:r>
      <w:r w:rsidR="00795F5F" w:rsidRPr="00610904">
        <w:rPr>
          <w:i w:val="0"/>
          <w:noProof w:val="0"/>
          <w:szCs w:val="20"/>
          <w:lang w:val="en-US" w:eastAsia="es-ES"/>
        </w:rPr>
        <w:t xml:space="preserve">May 7, </w:t>
      </w:r>
      <w:r w:rsidRPr="00610904">
        <w:rPr>
          <w:i w:val="0"/>
          <w:noProof w:val="0"/>
          <w:szCs w:val="20"/>
          <w:lang w:val="en-US" w:eastAsia="es-ES"/>
        </w:rPr>
        <w:t>2014</w:t>
      </w:r>
      <w:r w:rsidR="00795F5F" w:rsidRPr="00610904">
        <w:rPr>
          <w:i w:val="0"/>
          <w:noProof w:val="0"/>
          <w:szCs w:val="20"/>
          <w:lang w:val="en-US" w:eastAsia="es-ES"/>
        </w:rPr>
        <w:t>,</w:t>
      </w:r>
      <w:r w:rsidRPr="00610904">
        <w:rPr>
          <w:i w:val="0"/>
          <w:noProof w:val="0"/>
          <w:szCs w:val="20"/>
          <w:lang w:val="en-US" w:eastAsia="es-ES"/>
        </w:rPr>
        <w:t xml:space="preserve"> </w:t>
      </w:r>
      <w:r w:rsidR="00A8072E" w:rsidRPr="00610904">
        <w:rPr>
          <w:i w:val="0"/>
          <w:noProof w:val="0"/>
          <w:szCs w:val="20"/>
          <w:lang w:val="en-US" w:eastAsia="es-ES"/>
        </w:rPr>
        <w:t>respectively</w:t>
      </w:r>
      <w:r w:rsidRPr="00610904">
        <w:rPr>
          <w:i w:val="0"/>
          <w:noProof w:val="0"/>
          <w:szCs w:val="20"/>
          <w:lang w:val="en-US" w:eastAsia="es-ES"/>
        </w:rPr>
        <w:t xml:space="preserve">. </w:t>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i w:val="0"/>
          <w:noProof w:val="0"/>
          <w:lang w:val="en-US"/>
        </w:rPr>
      </w:pPr>
      <w:r w:rsidRPr="00610904">
        <w:rPr>
          <w:noProof w:val="0"/>
          <w:szCs w:val="20"/>
          <w:lang w:val="en-US" w:eastAsia="es-ES"/>
        </w:rPr>
        <w:t xml:space="preserve">Brief with pleadings, motions and evidence. </w:t>
      </w:r>
      <w:r w:rsidRPr="00610904">
        <w:rPr>
          <w:i w:val="0"/>
          <w:noProof w:val="0"/>
          <w:szCs w:val="20"/>
          <w:lang w:val="en-US" w:eastAsia="es-ES"/>
        </w:rPr>
        <w:t>On June 10,</w:t>
      </w:r>
      <w:r w:rsidR="00022F5E" w:rsidRPr="00610904">
        <w:rPr>
          <w:i w:val="0"/>
          <w:noProof w:val="0"/>
          <w:szCs w:val="20"/>
          <w:lang w:val="en-US" w:eastAsia="es-ES"/>
        </w:rPr>
        <w:t xml:space="preserve"> 2014</w:t>
      </w:r>
      <w:r w:rsidRPr="00610904">
        <w:rPr>
          <w:i w:val="0"/>
          <w:noProof w:val="0"/>
          <w:szCs w:val="20"/>
          <w:lang w:val="en-US" w:eastAsia="es-ES"/>
        </w:rPr>
        <w:t>,</w:t>
      </w:r>
      <w:r w:rsidR="00022F5E" w:rsidRPr="00610904">
        <w:rPr>
          <w:i w:val="0"/>
          <w:noProof w:val="0"/>
          <w:szCs w:val="20"/>
          <w:lang w:val="en-US" w:eastAsia="es-ES"/>
        </w:rPr>
        <w:t xml:space="preserve"> </w:t>
      </w:r>
      <w:r w:rsidR="009F3D78" w:rsidRPr="00610904">
        <w:rPr>
          <w:i w:val="0"/>
          <w:noProof w:val="0"/>
          <w:szCs w:val="20"/>
          <w:lang w:val="en-US" w:eastAsia="es-ES"/>
        </w:rPr>
        <w:t>the representatives</w:t>
      </w:r>
      <w:r w:rsidR="003309BE" w:rsidRPr="00610904">
        <w:rPr>
          <w:i w:val="0"/>
          <w:noProof w:val="0"/>
          <w:szCs w:val="20"/>
          <w:lang w:val="en-US" w:eastAsia="es-ES"/>
        </w:rPr>
        <w:t xml:space="preserve"> of the </w:t>
      </w:r>
      <w:r w:rsidR="009F3D78" w:rsidRPr="00610904">
        <w:rPr>
          <w:i w:val="0"/>
          <w:noProof w:val="0"/>
          <w:szCs w:val="20"/>
          <w:lang w:val="en-US" w:eastAsia="es-ES"/>
        </w:rPr>
        <w:t>presumed victims</w:t>
      </w:r>
      <w:r w:rsidR="00022F5E" w:rsidRPr="00610904">
        <w:rPr>
          <w:rStyle w:val="FootnoteReference"/>
          <w:i w:val="0"/>
          <w:noProof w:val="0"/>
          <w:lang w:val="en-US" w:eastAsia="es-ES"/>
        </w:rPr>
        <w:footnoteReference w:id="3"/>
      </w:r>
      <w:r w:rsidR="00022F5E" w:rsidRPr="00610904">
        <w:rPr>
          <w:i w:val="0"/>
          <w:noProof w:val="0"/>
          <w:szCs w:val="20"/>
          <w:lang w:val="en-US" w:eastAsia="es-ES"/>
        </w:rPr>
        <w:t xml:space="preserve"> (</w:t>
      </w:r>
      <w:r w:rsidR="009F3D78" w:rsidRPr="00610904">
        <w:rPr>
          <w:i w:val="0"/>
          <w:noProof w:val="0"/>
          <w:szCs w:val="20"/>
          <w:lang w:val="en-US" w:eastAsia="es-ES"/>
        </w:rPr>
        <w:t>hereinafter</w:t>
      </w:r>
      <w:r w:rsidR="00022F5E" w:rsidRPr="00610904">
        <w:rPr>
          <w:i w:val="0"/>
          <w:noProof w:val="0"/>
          <w:szCs w:val="20"/>
          <w:lang w:val="en-US" w:eastAsia="es-ES"/>
        </w:rPr>
        <w:t xml:space="preserve"> “</w:t>
      </w:r>
      <w:r w:rsidR="009F3D78" w:rsidRPr="00610904">
        <w:rPr>
          <w:i w:val="0"/>
          <w:noProof w:val="0"/>
          <w:szCs w:val="20"/>
          <w:lang w:val="en-US" w:eastAsia="es-ES"/>
        </w:rPr>
        <w:t>the representatives</w:t>
      </w:r>
      <w:r w:rsidR="00022F5E" w:rsidRPr="00610904">
        <w:rPr>
          <w:i w:val="0"/>
          <w:noProof w:val="0"/>
          <w:szCs w:val="20"/>
          <w:lang w:val="en-US" w:eastAsia="es-ES"/>
        </w:rPr>
        <w:t>”) present</w:t>
      </w:r>
      <w:r w:rsidRPr="00610904">
        <w:rPr>
          <w:i w:val="0"/>
          <w:noProof w:val="0"/>
          <w:szCs w:val="20"/>
          <w:lang w:val="en-US" w:eastAsia="es-ES"/>
        </w:rPr>
        <w:t xml:space="preserve">ed their brief with pleadings, motions and evidence </w:t>
      </w:r>
      <w:r w:rsidR="00022F5E" w:rsidRPr="00610904">
        <w:rPr>
          <w:i w:val="0"/>
          <w:noProof w:val="0"/>
          <w:szCs w:val="20"/>
          <w:lang w:val="en-US" w:eastAsia="es-ES"/>
        </w:rPr>
        <w:t>(</w:t>
      </w:r>
      <w:r w:rsidR="009F3D78" w:rsidRPr="00610904">
        <w:rPr>
          <w:i w:val="0"/>
          <w:noProof w:val="0"/>
          <w:szCs w:val="20"/>
          <w:lang w:val="en-US" w:eastAsia="es-ES"/>
        </w:rPr>
        <w:t>hereinafter</w:t>
      </w:r>
      <w:r w:rsidR="00022F5E" w:rsidRPr="00610904">
        <w:rPr>
          <w:i w:val="0"/>
          <w:noProof w:val="0"/>
          <w:szCs w:val="20"/>
          <w:lang w:val="en-US" w:eastAsia="es-ES"/>
        </w:rPr>
        <w:t xml:space="preserve"> “</w:t>
      </w:r>
      <w:r w:rsidRPr="00610904">
        <w:rPr>
          <w:i w:val="0"/>
          <w:noProof w:val="0"/>
          <w:szCs w:val="20"/>
          <w:lang w:val="en-US" w:eastAsia="es-ES"/>
        </w:rPr>
        <w:t xml:space="preserve">pleadings and motions brief”) pursuant to </w:t>
      </w:r>
      <w:r w:rsidR="009F3D78" w:rsidRPr="00610904">
        <w:rPr>
          <w:i w:val="0"/>
          <w:noProof w:val="0"/>
          <w:szCs w:val="20"/>
          <w:lang w:val="en-US" w:eastAsia="es-ES"/>
        </w:rPr>
        <w:t>Articles</w:t>
      </w:r>
      <w:r w:rsidR="00022F5E" w:rsidRPr="00610904">
        <w:rPr>
          <w:i w:val="0"/>
          <w:noProof w:val="0"/>
          <w:szCs w:val="20"/>
          <w:lang w:val="en-US" w:eastAsia="es-ES"/>
        </w:rPr>
        <w:t xml:space="preserve"> 25</w:t>
      </w:r>
      <w:r w:rsidR="009F3D78" w:rsidRPr="00610904">
        <w:rPr>
          <w:i w:val="0"/>
          <w:noProof w:val="0"/>
          <w:szCs w:val="20"/>
          <w:lang w:val="en-US" w:eastAsia="es-ES"/>
        </w:rPr>
        <w:t xml:space="preserve"> and </w:t>
      </w:r>
      <w:r w:rsidR="00022F5E" w:rsidRPr="00610904">
        <w:rPr>
          <w:i w:val="0"/>
          <w:noProof w:val="0"/>
          <w:szCs w:val="20"/>
          <w:lang w:val="en-US" w:eastAsia="es-ES"/>
        </w:rPr>
        <w:t>40</w:t>
      </w:r>
      <w:r w:rsidR="009F3D78" w:rsidRPr="00610904">
        <w:rPr>
          <w:i w:val="0"/>
          <w:noProof w:val="0"/>
          <w:szCs w:val="20"/>
          <w:lang w:val="en-US" w:eastAsia="es-ES"/>
        </w:rPr>
        <w:t xml:space="preserve"> of the Court’s Ru</w:t>
      </w:r>
      <w:r w:rsidRPr="00610904">
        <w:rPr>
          <w:i w:val="0"/>
          <w:noProof w:val="0"/>
          <w:szCs w:val="20"/>
          <w:lang w:val="en-US" w:eastAsia="es-ES"/>
        </w:rPr>
        <w:t>les of Procedure</w:t>
      </w:r>
      <w:r w:rsidR="00022F5E" w:rsidRPr="00610904">
        <w:rPr>
          <w:i w:val="0"/>
          <w:noProof w:val="0"/>
          <w:lang w:val="en-US"/>
        </w:rPr>
        <w:t xml:space="preserve">. </w:t>
      </w:r>
      <w:r w:rsidRPr="00610904">
        <w:rPr>
          <w:i w:val="0"/>
          <w:noProof w:val="0"/>
          <w:lang w:val="en-US"/>
        </w:rPr>
        <w:t>In addition</w:t>
      </w:r>
      <w:r w:rsidR="00022F5E" w:rsidRPr="00610904">
        <w:rPr>
          <w:i w:val="0"/>
          <w:noProof w:val="0"/>
          <w:lang w:val="en-US"/>
        </w:rPr>
        <w:t xml:space="preserve">, </w:t>
      </w:r>
      <w:r w:rsidR="009F3D78" w:rsidRPr="00610904">
        <w:rPr>
          <w:i w:val="0"/>
          <w:noProof w:val="0"/>
          <w:lang w:val="en-US"/>
        </w:rPr>
        <w:t>the presumed victims</w:t>
      </w:r>
      <w:r w:rsidR="00022F5E" w:rsidRPr="00610904">
        <w:rPr>
          <w:i w:val="0"/>
          <w:noProof w:val="0"/>
          <w:lang w:val="en-US"/>
        </w:rPr>
        <w:t xml:space="preserve"> </w:t>
      </w:r>
      <w:r w:rsidRPr="00610904">
        <w:rPr>
          <w:i w:val="0"/>
          <w:noProof w:val="0"/>
          <w:lang w:val="en-US"/>
        </w:rPr>
        <w:t xml:space="preserve">asked to access the Victims’ Legal Assistance Fund </w:t>
      </w:r>
      <w:r w:rsidR="009F3D78" w:rsidRPr="00610904">
        <w:rPr>
          <w:i w:val="0"/>
          <w:noProof w:val="0"/>
          <w:lang w:val="en-US"/>
        </w:rPr>
        <w:t>of the Inter-American Court</w:t>
      </w:r>
      <w:r w:rsidR="00022F5E" w:rsidRPr="00610904">
        <w:rPr>
          <w:i w:val="0"/>
          <w:noProof w:val="0"/>
          <w:lang w:val="en-US"/>
        </w:rPr>
        <w:t xml:space="preserve"> (</w:t>
      </w:r>
      <w:r w:rsidR="009F3D78" w:rsidRPr="00610904">
        <w:rPr>
          <w:i w:val="0"/>
          <w:noProof w:val="0"/>
          <w:lang w:val="en-US"/>
        </w:rPr>
        <w:t>hereinafter</w:t>
      </w:r>
      <w:r w:rsidR="00022F5E" w:rsidRPr="00610904">
        <w:rPr>
          <w:i w:val="0"/>
          <w:noProof w:val="0"/>
          <w:lang w:val="en-US"/>
        </w:rPr>
        <w:t xml:space="preserve"> “</w:t>
      </w:r>
      <w:r w:rsidR="003309BE" w:rsidRPr="00610904">
        <w:rPr>
          <w:i w:val="0"/>
          <w:noProof w:val="0"/>
          <w:lang w:val="en-US"/>
        </w:rPr>
        <w:t>the Assistance Fund</w:t>
      </w:r>
      <w:r w:rsidR="00022F5E" w:rsidRPr="00610904">
        <w:rPr>
          <w:i w:val="0"/>
          <w:noProof w:val="0"/>
          <w:lang w:val="en-US"/>
        </w:rPr>
        <w:t xml:space="preserve">”). </w:t>
      </w:r>
    </w:p>
    <w:p w:rsidR="00022F5E" w:rsidRPr="00610904" w:rsidRDefault="00022F5E" w:rsidP="00610904">
      <w:pPr>
        <w:rPr>
          <w:noProof w:val="0"/>
          <w:szCs w:val="20"/>
          <w:lang w:val="en-US" w:eastAsia="es-ES"/>
        </w:rPr>
      </w:pPr>
    </w:p>
    <w:p w:rsidR="00022F5E" w:rsidRPr="00610904" w:rsidRDefault="00A8072E"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noProof w:val="0"/>
          <w:szCs w:val="20"/>
          <w:lang w:val="en-US" w:eastAsia="es-ES"/>
        </w:rPr>
        <w:t>Answering brief</w:t>
      </w:r>
      <w:r w:rsidR="00795F5F" w:rsidRPr="00610904">
        <w:rPr>
          <w:noProof w:val="0"/>
          <w:szCs w:val="20"/>
          <w:lang w:val="en-US" w:eastAsia="es-ES"/>
        </w:rPr>
        <w:t xml:space="preserve">. </w:t>
      </w:r>
      <w:r w:rsidR="00795F5F" w:rsidRPr="00610904">
        <w:rPr>
          <w:i w:val="0"/>
          <w:noProof w:val="0"/>
          <w:szCs w:val="20"/>
          <w:lang w:val="en-US" w:eastAsia="es-ES"/>
        </w:rPr>
        <w:t xml:space="preserve">On </w:t>
      </w:r>
      <w:r w:rsidR="008E668D" w:rsidRPr="00610904">
        <w:rPr>
          <w:rFonts w:eastAsia="Calibri"/>
          <w:i w:val="0"/>
          <w:noProof w:val="0"/>
          <w:szCs w:val="22"/>
          <w:lang w:val="en-US"/>
        </w:rPr>
        <w:t>September 2,</w:t>
      </w:r>
      <w:r w:rsidR="00022F5E" w:rsidRPr="00610904">
        <w:rPr>
          <w:rFonts w:eastAsia="Calibri"/>
          <w:i w:val="0"/>
          <w:noProof w:val="0"/>
          <w:szCs w:val="22"/>
          <w:lang w:val="en-US"/>
        </w:rPr>
        <w:t xml:space="preserve"> 2014</w:t>
      </w:r>
      <w:r w:rsidR="00795F5F" w:rsidRPr="00610904">
        <w:rPr>
          <w:rFonts w:eastAsia="Calibri"/>
          <w:i w:val="0"/>
          <w:noProof w:val="0"/>
          <w:szCs w:val="22"/>
          <w:lang w:val="en-US"/>
        </w:rPr>
        <w:t>,</w:t>
      </w:r>
      <w:r w:rsidR="00022F5E" w:rsidRPr="00610904">
        <w:rPr>
          <w:rFonts w:eastAsia="Calibri"/>
          <w:i w:val="0"/>
          <w:noProof w:val="0"/>
          <w:szCs w:val="22"/>
          <w:lang w:val="en-US"/>
        </w:rPr>
        <w:t xml:space="preserve"> </w:t>
      </w:r>
      <w:r w:rsidR="009F3D78" w:rsidRPr="00610904">
        <w:rPr>
          <w:rFonts w:eastAsia="Calibri"/>
          <w:i w:val="0"/>
          <w:noProof w:val="0"/>
          <w:szCs w:val="22"/>
          <w:lang w:val="en-US"/>
        </w:rPr>
        <w:t>the State</w:t>
      </w:r>
      <w:r w:rsidR="00022F5E" w:rsidRPr="00610904">
        <w:rPr>
          <w:rFonts w:eastAsia="Calibri"/>
          <w:i w:val="0"/>
          <w:noProof w:val="0"/>
          <w:szCs w:val="22"/>
          <w:lang w:val="en-US"/>
        </w:rPr>
        <w:t xml:space="preserve"> </w:t>
      </w:r>
      <w:r w:rsidR="00795F5F" w:rsidRPr="00610904">
        <w:rPr>
          <w:rFonts w:eastAsia="Calibri"/>
          <w:i w:val="0"/>
          <w:noProof w:val="0"/>
          <w:szCs w:val="22"/>
          <w:lang w:val="en-US"/>
        </w:rPr>
        <w:t>submitted to</w:t>
      </w:r>
      <w:r w:rsidR="00022F5E" w:rsidRPr="00610904">
        <w:rPr>
          <w:rFonts w:eastAsia="Calibri"/>
          <w:i w:val="0"/>
          <w:noProof w:val="0"/>
          <w:szCs w:val="22"/>
          <w:lang w:val="en-US"/>
        </w:rPr>
        <w:t xml:space="preserve"> </w:t>
      </w:r>
      <w:r w:rsidR="009F3D78" w:rsidRPr="00610904">
        <w:rPr>
          <w:rFonts w:eastAsia="Calibri"/>
          <w:i w:val="0"/>
          <w:noProof w:val="0"/>
          <w:szCs w:val="22"/>
          <w:lang w:val="en-US"/>
        </w:rPr>
        <w:t>the Court</w:t>
      </w:r>
      <w:r w:rsidR="00022F5E" w:rsidRPr="00610904">
        <w:rPr>
          <w:rFonts w:eastAsia="Calibri"/>
          <w:i w:val="0"/>
          <w:noProof w:val="0"/>
          <w:szCs w:val="22"/>
          <w:lang w:val="en-US"/>
        </w:rPr>
        <w:t xml:space="preserve"> </w:t>
      </w:r>
      <w:r w:rsidR="00795F5F" w:rsidRPr="00610904">
        <w:rPr>
          <w:rFonts w:eastAsia="Calibri"/>
          <w:i w:val="0"/>
          <w:noProof w:val="0"/>
          <w:szCs w:val="22"/>
          <w:lang w:val="en-US"/>
        </w:rPr>
        <w:t xml:space="preserve">its brief filing </w:t>
      </w:r>
      <w:r w:rsidRPr="00610904">
        <w:rPr>
          <w:rFonts w:eastAsia="Calibri"/>
          <w:i w:val="0"/>
          <w:noProof w:val="0"/>
          <w:szCs w:val="22"/>
          <w:lang w:val="en-US"/>
        </w:rPr>
        <w:t>preliminary objections</w:t>
      </w:r>
      <w:r w:rsidR="00795F5F" w:rsidRPr="00610904">
        <w:rPr>
          <w:rFonts w:eastAsia="Calibri"/>
          <w:i w:val="0"/>
          <w:noProof w:val="0"/>
          <w:szCs w:val="22"/>
          <w:lang w:val="en-US"/>
        </w:rPr>
        <w:t>, answering the submission of the case, and with observations on the pleadings and motions brief</w:t>
      </w:r>
      <w:r w:rsidR="00022F5E" w:rsidRPr="00610904">
        <w:rPr>
          <w:rFonts w:eastAsia="Calibri"/>
          <w:i w:val="0"/>
          <w:noProof w:val="0"/>
          <w:szCs w:val="22"/>
          <w:lang w:val="en-US"/>
        </w:rPr>
        <w:t xml:space="preserve"> (</w:t>
      </w:r>
      <w:r w:rsidR="009F3D78" w:rsidRPr="00610904">
        <w:rPr>
          <w:rFonts w:eastAsia="Calibri"/>
          <w:i w:val="0"/>
          <w:noProof w:val="0"/>
          <w:szCs w:val="22"/>
          <w:lang w:val="en-US"/>
        </w:rPr>
        <w:t>hereinafter</w:t>
      </w:r>
      <w:r w:rsidR="00022F5E" w:rsidRPr="00610904">
        <w:rPr>
          <w:rFonts w:eastAsia="Calibri"/>
          <w:i w:val="0"/>
          <w:noProof w:val="0"/>
          <w:szCs w:val="22"/>
          <w:lang w:val="en-US"/>
        </w:rPr>
        <w:t xml:space="preserve"> “</w:t>
      </w:r>
      <w:r w:rsidRPr="00610904">
        <w:rPr>
          <w:rFonts w:eastAsia="Calibri"/>
          <w:i w:val="0"/>
          <w:noProof w:val="0"/>
          <w:szCs w:val="22"/>
          <w:lang w:val="en-US"/>
        </w:rPr>
        <w:t>answering brief</w:t>
      </w:r>
      <w:r w:rsidR="00022F5E" w:rsidRPr="00610904">
        <w:rPr>
          <w:rFonts w:eastAsia="Calibri"/>
          <w:i w:val="0"/>
          <w:noProof w:val="0"/>
          <w:szCs w:val="22"/>
          <w:lang w:val="en-US"/>
        </w:rPr>
        <w:t>”)</w:t>
      </w:r>
      <w:r w:rsidR="00795F5F" w:rsidRPr="00610904">
        <w:rPr>
          <w:rFonts w:eastAsia="Calibri"/>
          <w:i w:val="0"/>
          <w:noProof w:val="0"/>
          <w:szCs w:val="22"/>
          <w:lang w:val="en-US"/>
        </w:rPr>
        <w:t>.</w:t>
      </w:r>
      <w:r w:rsidR="00022F5E" w:rsidRPr="00610904">
        <w:rPr>
          <w:rFonts w:eastAsia="Calibri"/>
          <w:i w:val="0"/>
          <w:noProof w:val="0"/>
          <w:szCs w:val="22"/>
          <w:vertAlign w:val="superscript"/>
          <w:lang w:val="en-US"/>
        </w:rPr>
        <w:footnoteReference w:id="4"/>
      </w:r>
      <w:r w:rsidR="00022F5E" w:rsidRPr="00610904">
        <w:rPr>
          <w:rFonts w:eastAsia="Calibri" w:cs="Verdana"/>
          <w:i w:val="0"/>
          <w:noProof w:val="0"/>
          <w:szCs w:val="22"/>
          <w:lang w:val="en-US"/>
        </w:rPr>
        <w:t xml:space="preserve"> </w:t>
      </w:r>
      <w:r w:rsidR="009F3D78" w:rsidRPr="00610904">
        <w:rPr>
          <w:rFonts w:eastAsia="Calibri"/>
          <w:i w:val="0"/>
          <w:noProof w:val="0"/>
          <w:szCs w:val="22"/>
          <w:lang w:val="en-US"/>
        </w:rPr>
        <w:t>The State</w:t>
      </w:r>
      <w:r w:rsidR="00022F5E" w:rsidRPr="00610904">
        <w:rPr>
          <w:rFonts w:eastAsia="Calibri"/>
          <w:i w:val="0"/>
          <w:noProof w:val="0"/>
          <w:szCs w:val="22"/>
          <w:lang w:val="en-US"/>
        </w:rPr>
        <w:t xml:space="preserve"> </w:t>
      </w:r>
      <w:r w:rsidR="00795F5F" w:rsidRPr="00610904">
        <w:rPr>
          <w:rFonts w:eastAsia="Calibri"/>
          <w:i w:val="0"/>
          <w:noProof w:val="0"/>
          <w:szCs w:val="22"/>
          <w:lang w:val="en-US"/>
        </w:rPr>
        <w:t>filed two</w:t>
      </w:r>
      <w:r w:rsidR="00022F5E" w:rsidRPr="00610904">
        <w:rPr>
          <w:rFonts w:eastAsia="Calibri"/>
          <w:i w:val="0"/>
          <w:noProof w:val="0"/>
          <w:szCs w:val="22"/>
          <w:lang w:val="en-US"/>
        </w:rPr>
        <w:t xml:space="preserve"> </w:t>
      </w:r>
      <w:r w:rsidRPr="00610904">
        <w:rPr>
          <w:rFonts w:eastAsia="Calibri"/>
          <w:i w:val="0"/>
          <w:noProof w:val="0"/>
          <w:szCs w:val="22"/>
          <w:lang w:val="en-US"/>
        </w:rPr>
        <w:t>preliminary objections</w:t>
      </w:r>
      <w:r w:rsidR="009F3D78" w:rsidRPr="00610904">
        <w:rPr>
          <w:rFonts w:eastAsia="Calibri"/>
          <w:i w:val="0"/>
          <w:noProof w:val="0"/>
          <w:szCs w:val="22"/>
          <w:lang w:val="en-US"/>
        </w:rPr>
        <w:t xml:space="preserve"> and </w:t>
      </w:r>
      <w:r w:rsidR="00795F5F" w:rsidRPr="00610904">
        <w:rPr>
          <w:rFonts w:eastAsia="Calibri"/>
          <w:i w:val="0"/>
          <w:noProof w:val="0"/>
          <w:szCs w:val="22"/>
          <w:lang w:val="en-US"/>
        </w:rPr>
        <w:t>contested the violations that had been alleged.</w:t>
      </w:r>
    </w:p>
    <w:p w:rsidR="00022F5E" w:rsidRPr="00610904" w:rsidRDefault="00022F5E" w:rsidP="00610904">
      <w:pPr>
        <w:rPr>
          <w:rFonts w:cs="Verdana"/>
          <w:i/>
          <w:noProof w:val="0"/>
          <w:szCs w:val="20"/>
          <w:lang w:val="en-US"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 xml:space="preserve">Assistance Fund. </w:t>
      </w:r>
      <w:r w:rsidRPr="00610904">
        <w:rPr>
          <w:rFonts w:cs="Verdana"/>
          <w:i w:val="0"/>
          <w:noProof w:val="0"/>
          <w:szCs w:val="20"/>
          <w:lang w:val="en-US" w:eastAsia="es-ES"/>
        </w:rPr>
        <w:t xml:space="preserve">In an order of October 7, </w:t>
      </w:r>
      <w:r w:rsidR="00022F5E" w:rsidRPr="00610904">
        <w:rPr>
          <w:rFonts w:cs="Verdana"/>
          <w:i w:val="0"/>
          <w:noProof w:val="0"/>
          <w:szCs w:val="20"/>
          <w:lang w:val="en-US" w:eastAsia="es-ES"/>
        </w:rPr>
        <w:t>2014</w:t>
      </w:r>
      <w:r w:rsidRPr="00610904">
        <w:rPr>
          <w:rFonts w:cs="Verdana"/>
          <w:i w:val="0"/>
          <w:noProof w:val="0"/>
          <w:szCs w:val="20"/>
          <w:lang w:val="en-US" w:eastAsia="es-ES"/>
        </w:rPr>
        <w: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the President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of the</w:t>
      </w:r>
      <w:r w:rsidR="00A8072E" w:rsidRPr="00610904">
        <w:rPr>
          <w:rFonts w:cs="Verdana"/>
          <w:i w:val="0"/>
          <w:noProof w:val="0"/>
          <w:szCs w:val="20"/>
          <w:lang w:val="en-US" w:eastAsia="es-ES"/>
        </w:rPr>
        <w:t xml:space="preserve"> Court</w:t>
      </w:r>
      <w:r w:rsidR="00022F5E" w:rsidRPr="00610904">
        <w:rPr>
          <w:rFonts w:cs="Verdana"/>
          <w:i w:val="0"/>
          <w:noProof w:val="0"/>
          <w:szCs w:val="20"/>
          <w:lang w:val="en-US" w:eastAsia="es-ES"/>
        </w:rPr>
        <w:t xml:space="preserve"> declar</w:t>
      </w:r>
      <w:r w:rsidRPr="00610904">
        <w:rPr>
          <w:rFonts w:cs="Verdana"/>
          <w:i w:val="0"/>
          <w:noProof w:val="0"/>
          <w:szCs w:val="20"/>
          <w:lang w:val="en-US" w:eastAsia="es-ES"/>
        </w:rPr>
        <w:t xml:space="preserve">ed the request filed by </w:t>
      </w:r>
      <w:r w:rsidR="009F3D78" w:rsidRPr="00610904">
        <w:rPr>
          <w:rFonts w:cs="Verdana"/>
          <w:i w:val="0"/>
          <w:noProof w:val="0"/>
          <w:szCs w:val="20"/>
          <w:lang w:val="en-US" w:eastAsia="es-ES"/>
        </w:rPr>
        <w:t>the presumed victims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through</w:t>
      </w:r>
      <w:r w:rsidR="00022F5E" w:rsidRPr="00610904">
        <w:rPr>
          <w:rFonts w:cs="Verdana"/>
          <w:i w:val="0"/>
          <w:noProof w:val="0"/>
          <w:szCs w:val="20"/>
          <w:lang w:val="en-US" w:eastAsia="es-ES"/>
        </w:rPr>
        <w:t xml:space="preserve"> </w:t>
      </w:r>
      <w:r w:rsidRPr="00610904">
        <w:rPr>
          <w:rFonts w:cs="Verdana"/>
          <w:i w:val="0"/>
          <w:noProof w:val="0"/>
          <w:szCs w:val="20"/>
          <w:lang w:val="en-US" w:eastAsia="es-ES"/>
        </w:rPr>
        <w:t>their representatives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to access the Assistance Fund admissible, and approved the necessary financial assistance for the </w:t>
      </w:r>
      <w:r w:rsidRPr="00610904">
        <w:rPr>
          <w:rFonts w:cs="Verdana"/>
          <w:i w:val="0"/>
          <w:noProof w:val="0"/>
          <w:szCs w:val="20"/>
          <w:lang w:val="en-US" w:eastAsia="es-ES"/>
        </w:rPr>
        <w:lastRenderedPageBreak/>
        <w:t xml:space="preserve">presentation of a maximum of three statements and two expert opinions, and the appearance of one </w:t>
      </w:r>
      <w:r w:rsidR="003309BE" w:rsidRPr="00610904">
        <w:rPr>
          <w:rFonts w:cs="Verdana"/>
          <w:i w:val="0"/>
          <w:noProof w:val="0"/>
          <w:szCs w:val="20"/>
          <w:lang w:val="en-US" w:eastAsia="es-ES"/>
        </w:rPr>
        <w:t xml:space="preserve">of the </w:t>
      </w:r>
      <w:r w:rsidR="009F3D78" w:rsidRPr="00610904">
        <w:rPr>
          <w:rFonts w:cs="Verdana"/>
          <w:i w:val="0"/>
          <w:noProof w:val="0"/>
          <w:szCs w:val="20"/>
          <w:lang w:val="en-US" w:eastAsia="es-ES"/>
        </w:rPr>
        <w:t>representatives</w:t>
      </w:r>
      <w:r w:rsidRPr="00610904">
        <w:rPr>
          <w:rFonts w:cs="Verdana"/>
          <w:i w:val="0"/>
          <w:noProof w:val="0"/>
          <w:szCs w:val="20"/>
          <w:lang w:val="en-US" w:eastAsia="es-ES"/>
        </w:rPr>
        <w:t xml:space="preserve"> at</w:t>
      </w:r>
      <w:r w:rsidR="00022F5E" w:rsidRPr="00610904">
        <w:rPr>
          <w:rFonts w:cs="Verdana"/>
          <w:i w:val="0"/>
          <w:noProof w:val="0"/>
          <w:szCs w:val="20"/>
          <w:lang w:val="en-US" w:eastAsia="es-ES"/>
        </w:rPr>
        <w:t xml:space="preserve"> </w:t>
      </w:r>
      <w:r w:rsidR="00AD687D" w:rsidRPr="00610904">
        <w:rPr>
          <w:rFonts w:cs="Verdana"/>
          <w:i w:val="0"/>
          <w:noProof w:val="0"/>
          <w:szCs w:val="20"/>
          <w:lang w:val="en-US" w:eastAsia="es-ES"/>
        </w:rPr>
        <w:t>the public hearing</w:t>
      </w:r>
      <w:r w:rsidR="00022F5E" w:rsidRPr="00610904">
        <w:rPr>
          <w:rFonts w:cs="Verdana"/>
          <w:i w:val="0"/>
          <w:noProof w:val="0"/>
          <w:szCs w:val="20"/>
          <w:lang w:val="en-US" w:eastAsia="es-ES"/>
        </w:rPr>
        <w:t xml:space="preserve">. </w:t>
      </w:r>
    </w:p>
    <w:p w:rsidR="00022F5E" w:rsidRPr="00610904" w:rsidRDefault="00022F5E" w:rsidP="00610904">
      <w:pPr>
        <w:rPr>
          <w:noProof w:val="0"/>
          <w:szCs w:val="20"/>
          <w:lang w:val="en-US"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noProof w:val="0"/>
          <w:szCs w:val="20"/>
          <w:lang w:val="en-US" w:eastAsia="es-ES"/>
        </w:rPr>
        <w:t>Observations</w:t>
      </w:r>
      <w:r w:rsidR="00022F5E" w:rsidRPr="00610904">
        <w:rPr>
          <w:noProof w:val="0"/>
          <w:szCs w:val="20"/>
          <w:lang w:val="en-US" w:eastAsia="es-ES"/>
        </w:rPr>
        <w:t xml:space="preserve"> </w:t>
      </w:r>
      <w:r w:rsidRPr="00610904">
        <w:rPr>
          <w:noProof w:val="0"/>
          <w:szCs w:val="20"/>
          <w:lang w:val="en-US" w:eastAsia="es-ES"/>
        </w:rPr>
        <w:t>on the</w:t>
      </w:r>
      <w:r w:rsidR="00022F5E" w:rsidRPr="00610904">
        <w:rPr>
          <w:noProof w:val="0"/>
          <w:szCs w:val="20"/>
          <w:lang w:val="en-US" w:eastAsia="es-ES"/>
        </w:rPr>
        <w:t xml:space="preserve"> </w:t>
      </w:r>
      <w:r w:rsidR="00A8072E" w:rsidRPr="00610904">
        <w:rPr>
          <w:noProof w:val="0"/>
          <w:szCs w:val="20"/>
          <w:lang w:val="en-US" w:eastAsia="es-ES"/>
        </w:rPr>
        <w:t>preliminary objections</w:t>
      </w:r>
      <w:r w:rsidRPr="00610904">
        <w:rPr>
          <w:noProof w:val="0"/>
          <w:szCs w:val="20"/>
          <w:lang w:val="en-US" w:eastAsia="es-ES"/>
        </w:rPr>
        <w:t xml:space="preserve">. </w:t>
      </w:r>
      <w:r w:rsidRPr="00610904">
        <w:rPr>
          <w:bCs/>
          <w:i w:val="0"/>
          <w:noProof w:val="0"/>
          <w:szCs w:val="20"/>
          <w:lang w:val="en-US" w:eastAsia="es-ES"/>
        </w:rPr>
        <w:t xml:space="preserve">In briefs received on October </w:t>
      </w:r>
      <w:r w:rsidR="00022F5E" w:rsidRPr="00610904">
        <w:rPr>
          <w:bCs/>
          <w:i w:val="0"/>
          <w:noProof w:val="0"/>
          <w:szCs w:val="20"/>
          <w:lang w:val="en-US" w:eastAsia="es-ES"/>
        </w:rPr>
        <w:t>2</w:t>
      </w:r>
      <w:r w:rsidR="009F3D78" w:rsidRPr="00610904">
        <w:rPr>
          <w:bCs/>
          <w:i w:val="0"/>
          <w:noProof w:val="0"/>
          <w:szCs w:val="20"/>
          <w:lang w:val="en-US" w:eastAsia="es-ES"/>
        </w:rPr>
        <w:t xml:space="preserve"> and </w:t>
      </w:r>
      <w:r w:rsidRPr="00610904">
        <w:rPr>
          <w:bCs/>
          <w:i w:val="0"/>
          <w:noProof w:val="0"/>
          <w:szCs w:val="20"/>
          <w:lang w:val="en-US" w:eastAsia="es-ES"/>
        </w:rPr>
        <w:t xml:space="preserve">11, </w:t>
      </w:r>
      <w:r w:rsidR="00022F5E" w:rsidRPr="00610904">
        <w:rPr>
          <w:bCs/>
          <w:i w:val="0"/>
          <w:noProof w:val="0"/>
          <w:szCs w:val="20"/>
          <w:lang w:val="en-US" w:eastAsia="es-ES"/>
        </w:rPr>
        <w:t xml:space="preserve">2014, </w:t>
      </w:r>
      <w:r w:rsidR="009F3D78" w:rsidRPr="00610904">
        <w:rPr>
          <w:bCs/>
          <w:i w:val="0"/>
          <w:noProof w:val="0"/>
          <w:szCs w:val="20"/>
          <w:lang w:val="en-US" w:eastAsia="es-ES"/>
        </w:rPr>
        <w:t xml:space="preserve">the representatives and </w:t>
      </w:r>
      <w:r w:rsidR="002F5BBA" w:rsidRPr="00610904">
        <w:rPr>
          <w:bCs/>
          <w:i w:val="0"/>
          <w:noProof w:val="0"/>
          <w:szCs w:val="20"/>
          <w:lang w:val="en-US" w:eastAsia="es-ES"/>
        </w:rPr>
        <w:t>the Commission</w:t>
      </w:r>
      <w:r w:rsidR="00022F5E" w:rsidRPr="00610904">
        <w:rPr>
          <w:bCs/>
          <w:i w:val="0"/>
          <w:noProof w:val="0"/>
          <w:szCs w:val="20"/>
          <w:lang w:val="en-US" w:eastAsia="es-ES"/>
        </w:rPr>
        <w:t xml:space="preserve"> presen</w:t>
      </w:r>
      <w:r w:rsidRPr="00610904">
        <w:rPr>
          <w:bCs/>
          <w:i w:val="0"/>
          <w:noProof w:val="0"/>
          <w:szCs w:val="20"/>
          <w:lang w:val="en-US" w:eastAsia="es-ES"/>
        </w:rPr>
        <w:t>ted their observations</w:t>
      </w:r>
      <w:r w:rsidR="00022F5E" w:rsidRPr="00610904">
        <w:rPr>
          <w:bCs/>
          <w:i w:val="0"/>
          <w:noProof w:val="0"/>
          <w:szCs w:val="20"/>
          <w:lang w:val="en-US" w:eastAsia="es-ES"/>
        </w:rPr>
        <w:t xml:space="preserve"> </w:t>
      </w:r>
      <w:r w:rsidRPr="00610904">
        <w:rPr>
          <w:bCs/>
          <w:i w:val="0"/>
          <w:noProof w:val="0"/>
          <w:szCs w:val="20"/>
          <w:lang w:val="en-US" w:eastAsia="es-ES"/>
        </w:rPr>
        <w:t xml:space="preserve">on the </w:t>
      </w:r>
      <w:r w:rsidR="00A8072E" w:rsidRPr="00610904">
        <w:rPr>
          <w:bCs/>
          <w:i w:val="0"/>
          <w:noProof w:val="0"/>
          <w:szCs w:val="20"/>
          <w:lang w:val="en-US" w:eastAsia="es-ES"/>
        </w:rPr>
        <w:t>preliminary objections</w:t>
      </w:r>
      <w:r w:rsidR="00022F5E" w:rsidRPr="00610904">
        <w:rPr>
          <w:bCs/>
          <w:i w:val="0"/>
          <w:noProof w:val="0"/>
          <w:szCs w:val="20"/>
          <w:lang w:val="en-US" w:eastAsia="es-ES"/>
        </w:rPr>
        <w:t xml:space="preserve"> </w:t>
      </w:r>
      <w:r w:rsidRPr="00610904">
        <w:rPr>
          <w:bCs/>
          <w:i w:val="0"/>
          <w:noProof w:val="0"/>
          <w:szCs w:val="20"/>
          <w:lang w:val="en-US" w:eastAsia="es-ES"/>
        </w:rPr>
        <w:t>filed by</w:t>
      </w:r>
      <w:r w:rsidR="00022F5E" w:rsidRPr="00610904">
        <w:rPr>
          <w:bCs/>
          <w:i w:val="0"/>
          <w:noProof w:val="0"/>
          <w:szCs w:val="20"/>
          <w:lang w:val="en-US" w:eastAsia="es-ES"/>
        </w:rPr>
        <w:t xml:space="preserve"> </w:t>
      </w:r>
      <w:r w:rsidR="009F3D78" w:rsidRPr="00610904">
        <w:rPr>
          <w:bCs/>
          <w:i w:val="0"/>
          <w:noProof w:val="0"/>
          <w:szCs w:val="20"/>
          <w:lang w:val="en-US" w:eastAsia="es-ES"/>
        </w:rPr>
        <w:t xml:space="preserve">the State and </w:t>
      </w:r>
      <w:r w:rsidRPr="00610904">
        <w:rPr>
          <w:bCs/>
          <w:i w:val="0"/>
          <w:noProof w:val="0"/>
          <w:szCs w:val="20"/>
          <w:lang w:val="en-US" w:eastAsia="es-ES"/>
        </w:rPr>
        <w:t>asked the Court to reject them.</w:t>
      </w:r>
    </w:p>
    <w:p w:rsidR="00022F5E" w:rsidRPr="00610904" w:rsidRDefault="00022F5E" w:rsidP="00610904">
      <w:pPr>
        <w:rPr>
          <w:rFonts w:cs="Verdana"/>
          <w:i/>
          <w:noProof w:val="0"/>
          <w:szCs w:val="20"/>
          <w:lang w:val="en-US" w:eastAsia="es-ES"/>
        </w:rPr>
      </w:pPr>
    </w:p>
    <w:p w:rsidR="00022F5E" w:rsidRPr="00610904" w:rsidRDefault="00AD687D"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Public hearing</w:t>
      </w:r>
      <w:r w:rsidR="00795F5F" w:rsidRPr="00610904">
        <w:rPr>
          <w:rFonts w:cs="Verdana"/>
          <w:noProof w:val="0"/>
          <w:szCs w:val="20"/>
          <w:lang w:val="en-US" w:eastAsia="es-ES"/>
        </w:rPr>
        <w:t xml:space="preserve">. </w:t>
      </w:r>
      <w:r w:rsidR="00795F5F" w:rsidRPr="00610904">
        <w:rPr>
          <w:rFonts w:cs="Verdana"/>
          <w:i w:val="0"/>
          <w:noProof w:val="0"/>
          <w:szCs w:val="20"/>
          <w:lang w:val="en-US" w:eastAsia="es-ES"/>
        </w:rPr>
        <w:t>In an order of</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January 12,</w:t>
      </w:r>
      <w:r w:rsidR="00022F5E" w:rsidRPr="00610904">
        <w:rPr>
          <w:rFonts w:cs="Verdana"/>
          <w:bCs/>
          <w:i w:val="0"/>
          <w:noProof w:val="0"/>
          <w:szCs w:val="20"/>
          <w:lang w:val="en-US" w:eastAsia="es-ES"/>
        </w:rPr>
        <w:t xml:space="preserve"> 2015</w:t>
      </w:r>
      <w:r w:rsidR="00795F5F" w:rsidRPr="00610904">
        <w:rPr>
          <w:rFonts w:cs="Verdana"/>
          <w:bCs/>
          <w:i w:val="0"/>
          <w:noProof w:val="0"/>
          <w:szCs w:val="20"/>
          <w:lang w:val="en-US" w:eastAsia="es-ES"/>
        </w:rPr>
        <w:t>,</w:t>
      </w:r>
      <w:r w:rsidR="00022F5E" w:rsidRPr="00610904">
        <w:rPr>
          <w:rFonts w:cs="Verdana"/>
          <w:bCs/>
          <w:i w:val="0"/>
          <w:noProof w:val="0"/>
          <w:szCs w:val="20"/>
          <w:vertAlign w:val="superscript"/>
          <w:lang w:val="en-US" w:eastAsia="es-ES"/>
        </w:rPr>
        <w:footnoteReference w:id="5"/>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the President</w:t>
      </w:r>
      <w:r w:rsidR="00022F5E" w:rsidRPr="00610904">
        <w:rPr>
          <w:rFonts w:cs="Verdana"/>
          <w:bCs/>
          <w:i w:val="0"/>
          <w:noProof w:val="0"/>
          <w:szCs w:val="20"/>
          <w:lang w:val="en-US" w:eastAsia="es-ES"/>
        </w:rPr>
        <w:t xml:space="preserve"> </w:t>
      </w:r>
      <w:r w:rsidR="0056398E" w:rsidRPr="00610904">
        <w:rPr>
          <w:rFonts w:cs="Verdana"/>
          <w:bCs/>
          <w:i w:val="0"/>
          <w:noProof w:val="0"/>
          <w:szCs w:val="20"/>
          <w:lang w:val="en-US" w:eastAsia="es-ES"/>
        </w:rPr>
        <w:t>summoned</w:t>
      </w:r>
      <w:r w:rsidR="00795F5F" w:rsidRPr="00610904">
        <w:rPr>
          <w:rFonts w:cs="Verdana"/>
          <w:bCs/>
          <w:i w:val="0"/>
          <w:noProof w:val="0"/>
          <w:szCs w:val="20"/>
          <w:lang w:val="en-US" w:eastAsia="es-ES"/>
        </w:rPr>
        <w:t xml:space="preserve"> the parties to a</w:t>
      </w:r>
      <w:r w:rsidR="00022F5E" w:rsidRPr="00610904">
        <w:rPr>
          <w:rFonts w:cs="Verdana"/>
          <w:bCs/>
          <w:i w:val="0"/>
          <w:noProof w:val="0"/>
          <w:szCs w:val="20"/>
          <w:lang w:val="en-US" w:eastAsia="es-ES"/>
        </w:rPr>
        <w:t xml:space="preserve"> </w:t>
      </w:r>
      <w:r w:rsidRPr="00610904">
        <w:rPr>
          <w:rFonts w:cs="Verdana"/>
          <w:bCs/>
          <w:i w:val="0"/>
          <w:noProof w:val="0"/>
          <w:szCs w:val="20"/>
          <w:lang w:val="en-US" w:eastAsia="es-ES"/>
        </w:rPr>
        <w:t>public hearing</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 xml:space="preserve">to receive their final oral arguments </w:t>
      </w:r>
      <w:r w:rsidR="009F3D78" w:rsidRPr="00610904">
        <w:rPr>
          <w:rFonts w:cs="Verdana"/>
          <w:bCs/>
          <w:i w:val="0"/>
          <w:noProof w:val="0"/>
          <w:szCs w:val="20"/>
          <w:lang w:val="en-US" w:eastAsia="es-ES"/>
        </w:rPr>
        <w:t xml:space="preserve">and </w:t>
      </w:r>
      <w:r w:rsidR="00795F5F" w:rsidRPr="00610904">
        <w:rPr>
          <w:rFonts w:cs="Verdana"/>
          <w:bCs/>
          <w:i w:val="0"/>
          <w:noProof w:val="0"/>
          <w:szCs w:val="20"/>
          <w:lang w:val="en-US" w:eastAsia="es-ES"/>
        </w:rPr>
        <w:t xml:space="preserve">observations on the </w:t>
      </w:r>
      <w:r w:rsidR="00A8072E" w:rsidRPr="00610904">
        <w:rPr>
          <w:rFonts w:cs="Verdana"/>
          <w:bCs/>
          <w:i w:val="0"/>
          <w:noProof w:val="0"/>
          <w:szCs w:val="20"/>
          <w:lang w:val="en-US" w:eastAsia="es-ES"/>
        </w:rPr>
        <w:t>preliminary objections</w:t>
      </w:r>
      <w:r w:rsidR="009F3D78" w:rsidRPr="00610904">
        <w:rPr>
          <w:rFonts w:cs="Verdana"/>
          <w:bCs/>
          <w:i w:val="0"/>
          <w:noProof w:val="0"/>
          <w:szCs w:val="20"/>
          <w:lang w:val="en-US" w:eastAsia="es-ES"/>
        </w:rPr>
        <w:t xml:space="preserve"> and </w:t>
      </w:r>
      <w:r w:rsidR="00795F5F" w:rsidRPr="00610904">
        <w:rPr>
          <w:rFonts w:cs="Verdana"/>
          <w:bCs/>
          <w:i w:val="0"/>
          <w:noProof w:val="0"/>
          <w:szCs w:val="20"/>
          <w:lang w:val="en-US" w:eastAsia="es-ES"/>
        </w:rPr>
        <w:t>on the eventual</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 xml:space="preserve">merits, reparations and costs, as well as to receive the testimony of one presumed victim proposed by </w:t>
      </w:r>
      <w:r w:rsidR="009F3D78" w:rsidRPr="00610904">
        <w:rPr>
          <w:rFonts w:cs="Verdana"/>
          <w:bCs/>
          <w:i w:val="0"/>
          <w:noProof w:val="0"/>
          <w:szCs w:val="20"/>
          <w:lang w:val="en-US" w:eastAsia="es-ES"/>
        </w:rPr>
        <w:t xml:space="preserve">the representatives and </w:t>
      </w:r>
      <w:r w:rsidR="00795F5F" w:rsidRPr="00610904">
        <w:rPr>
          <w:rFonts w:cs="Verdana"/>
          <w:bCs/>
          <w:i w:val="0"/>
          <w:noProof w:val="0"/>
          <w:szCs w:val="20"/>
          <w:lang w:val="en-US" w:eastAsia="es-ES"/>
        </w:rPr>
        <w:t>three</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expert witness</w:t>
      </w:r>
      <w:r w:rsidR="00795F5F" w:rsidRPr="00610904">
        <w:rPr>
          <w:rFonts w:cs="Verdana"/>
          <w:bCs/>
          <w:i w:val="0"/>
          <w:noProof w:val="0"/>
          <w:szCs w:val="20"/>
          <w:lang w:val="en-US" w:eastAsia="es-ES"/>
        </w:rPr>
        <w:t>e</w:t>
      </w:r>
      <w:r w:rsidR="00022F5E" w:rsidRPr="00610904">
        <w:rPr>
          <w:rFonts w:cs="Verdana"/>
          <w:bCs/>
          <w:i w:val="0"/>
          <w:noProof w:val="0"/>
          <w:szCs w:val="20"/>
          <w:lang w:val="en-US" w:eastAsia="es-ES"/>
        </w:rPr>
        <w:t xml:space="preserve">s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2F5BBA" w:rsidRPr="00610904">
        <w:rPr>
          <w:rFonts w:cs="Verdana"/>
          <w:bCs/>
          <w:i w:val="0"/>
          <w:noProof w:val="0"/>
          <w:szCs w:val="20"/>
          <w:lang w:val="en-US" w:eastAsia="es-ES"/>
        </w:rPr>
        <w:t>the Commission</w:t>
      </w:r>
      <w:r w:rsidR="00022F5E" w:rsidRPr="00610904">
        <w:rPr>
          <w:rFonts w:cs="Verdana"/>
          <w:bCs/>
          <w:i w:val="0"/>
          <w:noProof w:val="0"/>
          <w:szCs w:val="20"/>
          <w:lang w:val="en-US" w:eastAsia="es-ES"/>
        </w:rPr>
        <w:t xml:space="preserve">, </w:t>
      </w:r>
      <w:r w:rsidR="009F3D78" w:rsidRPr="00610904">
        <w:rPr>
          <w:rFonts w:cs="Verdana"/>
          <w:bCs/>
          <w:i w:val="0"/>
          <w:noProof w:val="0"/>
          <w:szCs w:val="20"/>
          <w:lang w:val="en-US" w:eastAsia="es-ES"/>
        </w:rPr>
        <w:t>the representatives</w:t>
      </w:r>
      <w:r w:rsidR="00795F5F" w:rsidRPr="00610904">
        <w:rPr>
          <w:rFonts w:cs="Verdana"/>
          <w:bCs/>
          <w:i w:val="0"/>
          <w:noProof w:val="0"/>
          <w:szCs w:val="20"/>
          <w:lang w:val="en-US" w:eastAsia="es-ES"/>
        </w:rPr>
        <w:t>,</w:t>
      </w:r>
      <w:r w:rsidR="00022F5E" w:rsidRPr="00610904">
        <w:rPr>
          <w:rStyle w:val="FootnoteReference"/>
          <w:bCs/>
          <w:i w:val="0"/>
          <w:noProof w:val="0"/>
          <w:lang w:val="en-US" w:eastAsia="es-ES"/>
        </w:rPr>
        <w:footnoteReference w:id="6"/>
      </w:r>
      <w:r w:rsidR="009F3D78" w:rsidRPr="00610904">
        <w:rPr>
          <w:rFonts w:cs="Verdana"/>
          <w:bCs/>
          <w:i w:val="0"/>
          <w:noProof w:val="0"/>
          <w:szCs w:val="20"/>
          <w:lang w:val="en-US" w:eastAsia="es-ES"/>
        </w:rPr>
        <w:t xml:space="preserve"> and the State</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respectively</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 xml:space="preserve">Also, in this order, the President required that affidavits be received from two presumed victims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9F3D78" w:rsidRPr="00610904">
        <w:rPr>
          <w:rFonts w:cs="Verdana"/>
          <w:bCs/>
          <w:i w:val="0"/>
          <w:noProof w:val="0"/>
          <w:szCs w:val="20"/>
          <w:lang w:val="en-US" w:eastAsia="es-ES"/>
        </w:rPr>
        <w:t>the representatives</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two witnesses</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9F3D78" w:rsidRPr="00610904">
        <w:rPr>
          <w:rFonts w:cs="Verdana"/>
          <w:bCs/>
          <w:i w:val="0"/>
          <w:noProof w:val="0"/>
          <w:szCs w:val="20"/>
          <w:lang w:val="en-US" w:eastAsia="es-ES"/>
        </w:rPr>
        <w:t>the representatives</w:t>
      </w:r>
      <w:r w:rsidR="00795F5F" w:rsidRPr="00610904">
        <w:rPr>
          <w:rFonts w:cs="Verdana"/>
          <w:bCs/>
          <w:i w:val="0"/>
          <w:noProof w:val="0"/>
          <w:szCs w:val="20"/>
          <w:lang w:val="en-US" w:eastAsia="es-ES"/>
        </w:rPr>
        <w:t>, two</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expert witness</w:t>
      </w:r>
      <w:r w:rsidR="00795F5F" w:rsidRPr="00610904">
        <w:rPr>
          <w:rFonts w:cs="Verdana"/>
          <w:bCs/>
          <w:i w:val="0"/>
          <w:noProof w:val="0"/>
          <w:szCs w:val="20"/>
          <w:lang w:val="en-US" w:eastAsia="es-ES"/>
        </w:rPr>
        <w:t>e</w:t>
      </w:r>
      <w:r w:rsidR="00022F5E" w:rsidRPr="00610904">
        <w:rPr>
          <w:rFonts w:cs="Verdana"/>
          <w:bCs/>
          <w:i w:val="0"/>
          <w:noProof w:val="0"/>
          <w:szCs w:val="20"/>
          <w:lang w:val="en-US" w:eastAsia="es-ES"/>
        </w:rPr>
        <w:t xml:space="preserve">s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2F5BBA" w:rsidRPr="00610904">
        <w:rPr>
          <w:rFonts w:cs="Verdana"/>
          <w:bCs/>
          <w:i w:val="0"/>
          <w:noProof w:val="0"/>
          <w:szCs w:val="20"/>
          <w:lang w:val="en-US" w:eastAsia="es-ES"/>
        </w:rPr>
        <w:t>the Commission</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eight</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expert witness</w:t>
      </w:r>
      <w:r w:rsidR="00795F5F" w:rsidRPr="00610904">
        <w:rPr>
          <w:rFonts w:cs="Verdana"/>
          <w:bCs/>
          <w:i w:val="0"/>
          <w:noProof w:val="0"/>
          <w:szCs w:val="20"/>
          <w:lang w:val="en-US" w:eastAsia="es-ES"/>
        </w:rPr>
        <w:t>e</w:t>
      </w:r>
      <w:r w:rsidR="00022F5E" w:rsidRPr="00610904">
        <w:rPr>
          <w:rFonts w:cs="Verdana"/>
          <w:bCs/>
          <w:i w:val="0"/>
          <w:noProof w:val="0"/>
          <w:szCs w:val="20"/>
          <w:lang w:val="en-US" w:eastAsia="es-ES"/>
        </w:rPr>
        <w:t xml:space="preserve">s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9F3D78" w:rsidRPr="00610904">
        <w:rPr>
          <w:rFonts w:cs="Verdana"/>
          <w:bCs/>
          <w:i w:val="0"/>
          <w:noProof w:val="0"/>
          <w:szCs w:val="20"/>
          <w:lang w:val="en-US" w:eastAsia="es-ES"/>
        </w:rPr>
        <w:t>the representatives</w:t>
      </w:r>
      <w:r w:rsidR="0056398E" w:rsidRPr="00610904">
        <w:rPr>
          <w:rFonts w:cs="Verdana"/>
          <w:bCs/>
          <w:i w:val="0"/>
          <w:noProof w:val="0"/>
          <w:szCs w:val="20"/>
          <w:lang w:val="en-US" w:eastAsia="es-ES"/>
        </w:rPr>
        <w:t>,</w:t>
      </w:r>
      <w:r w:rsidR="009F3D78" w:rsidRPr="00610904">
        <w:rPr>
          <w:rFonts w:cs="Verdana"/>
          <w:bCs/>
          <w:i w:val="0"/>
          <w:noProof w:val="0"/>
          <w:szCs w:val="20"/>
          <w:lang w:val="en-US" w:eastAsia="es-ES"/>
        </w:rPr>
        <w:t xml:space="preserve"> and </w:t>
      </w:r>
      <w:r w:rsidR="00795F5F" w:rsidRPr="00610904">
        <w:rPr>
          <w:rFonts w:cs="Verdana"/>
          <w:bCs/>
          <w:i w:val="0"/>
          <w:noProof w:val="0"/>
          <w:szCs w:val="20"/>
          <w:lang w:val="en-US" w:eastAsia="es-ES"/>
        </w:rPr>
        <w:t>sixteen</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expert witness</w:t>
      </w:r>
      <w:r w:rsidR="00795F5F" w:rsidRPr="00610904">
        <w:rPr>
          <w:rFonts w:cs="Verdana"/>
          <w:bCs/>
          <w:i w:val="0"/>
          <w:noProof w:val="0"/>
          <w:szCs w:val="20"/>
          <w:lang w:val="en-US" w:eastAsia="es-ES"/>
        </w:rPr>
        <w:t>e</w:t>
      </w:r>
      <w:r w:rsidR="00022F5E" w:rsidRPr="00610904">
        <w:rPr>
          <w:rFonts w:cs="Verdana"/>
          <w:bCs/>
          <w:i w:val="0"/>
          <w:noProof w:val="0"/>
          <w:szCs w:val="20"/>
          <w:lang w:val="en-US" w:eastAsia="es-ES"/>
        </w:rPr>
        <w:t xml:space="preserve">s </w:t>
      </w:r>
      <w:r w:rsidR="00A8072E" w:rsidRPr="00610904">
        <w:rPr>
          <w:rFonts w:cs="Verdana"/>
          <w:bCs/>
          <w:i w:val="0"/>
          <w:noProof w:val="0"/>
          <w:szCs w:val="20"/>
          <w:lang w:val="en-US" w:eastAsia="es-ES"/>
        </w:rPr>
        <w:t>proposed by</w:t>
      </w:r>
      <w:r w:rsidR="00022F5E" w:rsidRPr="00610904">
        <w:rPr>
          <w:rFonts w:cs="Verdana"/>
          <w:bCs/>
          <w:i w:val="0"/>
          <w:noProof w:val="0"/>
          <w:szCs w:val="20"/>
          <w:lang w:val="en-US" w:eastAsia="es-ES"/>
        </w:rPr>
        <w:t xml:space="preserve"> </w:t>
      </w:r>
      <w:r w:rsidR="009F3D78" w:rsidRPr="00610904">
        <w:rPr>
          <w:rFonts w:cs="Verdana"/>
          <w:bCs/>
          <w:i w:val="0"/>
          <w:noProof w:val="0"/>
          <w:szCs w:val="20"/>
          <w:lang w:val="en-US" w:eastAsia="es-ES"/>
        </w:rPr>
        <w:t>the State</w:t>
      </w:r>
      <w:r w:rsidR="00022F5E" w:rsidRPr="00610904">
        <w:rPr>
          <w:rFonts w:cs="Verdana"/>
          <w:bCs/>
          <w:i w:val="0"/>
          <w:noProof w:val="0"/>
          <w:szCs w:val="20"/>
          <w:lang w:val="en-US" w:eastAsia="es-ES"/>
        </w:rPr>
        <w:t xml:space="preserve">. </w:t>
      </w:r>
      <w:r w:rsidRPr="00610904">
        <w:rPr>
          <w:rFonts w:cs="Verdana"/>
          <w:bCs/>
          <w:i w:val="0"/>
          <w:noProof w:val="0"/>
          <w:szCs w:val="20"/>
          <w:lang w:val="en-US" w:eastAsia="es-ES"/>
        </w:rPr>
        <w:t>The public hearing</w:t>
      </w:r>
      <w:r w:rsidR="00022F5E" w:rsidRPr="00610904">
        <w:rPr>
          <w:rFonts w:cs="Verdana"/>
          <w:bCs/>
          <w:i w:val="0"/>
          <w:noProof w:val="0"/>
          <w:szCs w:val="20"/>
          <w:vertAlign w:val="superscript"/>
          <w:lang w:val="en-US" w:eastAsia="es-ES"/>
        </w:rPr>
        <w:footnoteReference w:id="7"/>
      </w:r>
      <w:r w:rsidR="00795F5F" w:rsidRPr="00610904">
        <w:rPr>
          <w:rFonts w:cs="Verdana"/>
          <w:bCs/>
          <w:i w:val="0"/>
          <w:noProof w:val="0"/>
          <w:szCs w:val="20"/>
          <w:lang w:val="en-US" w:eastAsia="es-ES"/>
        </w:rPr>
        <w:t xml:space="preserve"> took place on April</w:t>
      </w:r>
      <w:r w:rsidR="00022F5E" w:rsidRPr="00610904">
        <w:rPr>
          <w:rFonts w:cs="Verdana"/>
          <w:bCs/>
          <w:i w:val="0"/>
          <w:noProof w:val="0"/>
          <w:szCs w:val="20"/>
          <w:lang w:val="en-US" w:eastAsia="es-ES"/>
        </w:rPr>
        <w:t xml:space="preserve"> 20</w:t>
      </w:r>
      <w:r w:rsidR="009F3D78" w:rsidRPr="00610904">
        <w:rPr>
          <w:rFonts w:cs="Verdana"/>
          <w:bCs/>
          <w:i w:val="0"/>
          <w:noProof w:val="0"/>
          <w:szCs w:val="20"/>
          <w:lang w:val="en-US" w:eastAsia="es-ES"/>
        </w:rPr>
        <w:t xml:space="preserve"> and </w:t>
      </w:r>
      <w:r w:rsidR="00795F5F" w:rsidRPr="00610904">
        <w:rPr>
          <w:rFonts w:cs="Verdana"/>
          <w:bCs/>
          <w:i w:val="0"/>
          <w:noProof w:val="0"/>
          <w:szCs w:val="20"/>
          <w:lang w:val="en-US" w:eastAsia="es-ES"/>
        </w:rPr>
        <w:t xml:space="preserve">21, </w:t>
      </w:r>
      <w:r w:rsidR="00022F5E" w:rsidRPr="00610904">
        <w:rPr>
          <w:rFonts w:cs="Verdana"/>
          <w:bCs/>
          <w:i w:val="0"/>
          <w:noProof w:val="0"/>
          <w:szCs w:val="20"/>
          <w:lang w:val="en-US" w:eastAsia="es-ES"/>
        </w:rPr>
        <w:t>2015</w:t>
      </w:r>
      <w:r w:rsidR="00795F5F" w:rsidRPr="00610904">
        <w:rPr>
          <w:rFonts w:cs="Verdana"/>
          <w:bCs/>
          <w:i w:val="0"/>
          <w:noProof w:val="0"/>
          <w:szCs w:val="20"/>
          <w:lang w:val="en-US" w:eastAsia="es-ES"/>
        </w:rPr>
        <w:t xml:space="preserve">, during the Court’s fifty-second special session held in </w:t>
      </w:r>
      <w:r w:rsidR="00022F5E" w:rsidRPr="00610904">
        <w:rPr>
          <w:rFonts w:cs="Verdana"/>
          <w:bCs/>
          <w:i w:val="0"/>
          <w:noProof w:val="0"/>
          <w:szCs w:val="20"/>
          <w:lang w:val="en-US" w:eastAsia="es-ES"/>
        </w:rPr>
        <w:t xml:space="preserve">Cartagena, Colombia. </w:t>
      </w:r>
      <w:r w:rsidR="0056398E" w:rsidRPr="00610904">
        <w:rPr>
          <w:rFonts w:cs="Verdana"/>
          <w:bCs/>
          <w:i w:val="0"/>
          <w:noProof w:val="0"/>
          <w:szCs w:val="20"/>
          <w:lang w:val="en-US" w:eastAsia="es-ES"/>
        </w:rPr>
        <w:t>During the</w:t>
      </w:r>
      <w:r w:rsidR="00795F5F" w:rsidRPr="00610904">
        <w:rPr>
          <w:rFonts w:cs="Verdana"/>
          <w:bCs/>
          <w:i w:val="0"/>
          <w:noProof w:val="0"/>
          <w:szCs w:val="20"/>
          <w:lang w:val="en-US" w:eastAsia="es-ES"/>
        </w:rPr>
        <w:t xml:space="preserve"> hearing, the j</w:t>
      </w:r>
      <w:r w:rsidR="009F3D78" w:rsidRPr="00610904">
        <w:rPr>
          <w:rFonts w:cs="Verdana"/>
          <w:bCs/>
          <w:i w:val="0"/>
          <w:noProof w:val="0"/>
          <w:szCs w:val="20"/>
          <w:lang w:val="en-US" w:eastAsia="es-ES"/>
        </w:rPr>
        <w:t>udges of the Court</w:t>
      </w:r>
      <w:r w:rsidR="00022F5E" w:rsidRPr="00610904">
        <w:rPr>
          <w:rFonts w:cs="Verdana"/>
          <w:bCs/>
          <w:i w:val="0"/>
          <w:noProof w:val="0"/>
          <w:szCs w:val="20"/>
          <w:lang w:val="en-US" w:eastAsia="es-ES"/>
        </w:rPr>
        <w:t xml:space="preserve"> </w:t>
      </w:r>
      <w:r w:rsidR="00795F5F" w:rsidRPr="00610904">
        <w:rPr>
          <w:rFonts w:cs="Verdana"/>
          <w:bCs/>
          <w:i w:val="0"/>
          <w:noProof w:val="0"/>
          <w:szCs w:val="20"/>
          <w:lang w:val="en-US" w:eastAsia="es-ES"/>
        </w:rPr>
        <w:t xml:space="preserve">requested specific additional information and documentation from the parties and the Commission, to be forwarded together with their final written arguments </w:t>
      </w:r>
      <w:r w:rsidR="009F3D78" w:rsidRPr="00610904">
        <w:rPr>
          <w:rFonts w:cs="Verdana"/>
          <w:bCs/>
          <w:i w:val="0"/>
          <w:noProof w:val="0"/>
          <w:szCs w:val="20"/>
          <w:lang w:val="en-US" w:eastAsia="es-ES"/>
        </w:rPr>
        <w:t xml:space="preserve">and </w:t>
      </w:r>
      <w:r w:rsidR="00795F5F" w:rsidRPr="00610904">
        <w:rPr>
          <w:rFonts w:cs="Verdana"/>
          <w:bCs/>
          <w:i w:val="0"/>
          <w:noProof w:val="0"/>
          <w:szCs w:val="20"/>
          <w:lang w:val="en-US" w:eastAsia="es-ES"/>
        </w:rPr>
        <w:t>observations</w:t>
      </w:r>
      <w:r w:rsidR="00022F5E" w:rsidRPr="00610904">
        <w:rPr>
          <w:rFonts w:cs="Verdana"/>
          <w:bCs/>
          <w:i w:val="0"/>
          <w:noProof w:val="0"/>
          <w:szCs w:val="20"/>
          <w:lang w:val="en-US" w:eastAsia="es-ES"/>
        </w:rPr>
        <w:t xml:space="preserve">, </w:t>
      </w:r>
      <w:r w:rsidR="00A8072E" w:rsidRPr="00610904">
        <w:rPr>
          <w:rFonts w:cs="Verdana"/>
          <w:bCs/>
          <w:i w:val="0"/>
          <w:noProof w:val="0"/>
          <w:szCs w:val="20"/>
          <w:lang w:val="en-US" w:eastAsia="es-ES"/>
        </w:rPr>
        <w:t>respectively</w:t>
      </w:r>
      <w:r w:rsidR="00022F5E" w:rsidRPr="00610904">
        <w:rPr>
          <w:rFonts w:cs="Verdana"/>
          <w:bCs/>
          <w:i w:val="0"/>
          <w:noProof w:val="0"/>
          <w:szCs w:val="20"/>
          <w:lang w:val="en-US" w:eastAsia="es-ES"/>
        </w:rPr>
        <w:t>.</w:t>
      </w:r>
    </w:p>
    <w:p w:rsidR="00022F5E" w:rsidRPr="00610904" w:rsidRDefault="00022F5E" w:rsidP="00610904">
      <w:pPr>
        <w:rPr>
          <w:rFonts w:cs="Verdana"/>
          <w:i/>
          <w:noProof w:val="0"/>
          <w:szCs w:val="20"/>
          <w:lang w:val="en-US" w:eastAsia="es-ES"/>
        </w:rPr>
      </w:pPr>
    </w:p>
    <w:p w:rsidR="00022F5E" w:rsidRPr="00B31E31"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s-CR" w:eastAsia="es-ES"/>
        </w:rPr>
      </w:pPr>
      <w:r w:rsidRPr="00B31E31">
        <w:rPr>
          <w:rFonts w:cs="Verdana"/>
          <w:noProof w:val="0"/>
          <w:szCs w:val="20"/>
          <w:lang w:val="es-CR" w:eastAsia="es-ES"/>
        </w:rPr>
        <w:t xml:space="preserve">Amici curiae. </w:t>
      </w:r>
      <w:r w:rsidRPr="00B31E31">
        <w:rPr>
          <w:rFonts w:cs="Verdana"/>
          <w:i w:val="0"/>
          <w:noProof w:val="0"/>
          <w:szCs w:val="20"/>
          <w:lang w:val="es-CR" w:eastAsia="es-ES"/>
        </w:rPr>
        <w:t>The</w:t>
      </w:r>
      <w:r w:rsidR="00A8072E" w:rsidRPr="00B31E31">
        <w:rPr>
          <w:rFonts w:cs="Verdana"/>
          <w:i w:val="0"/>
          <w:noProof w:val="0"/>
          <w:szCs w:val="20"/>
          <w:lang w:val="es-CR" w:eastAsia="es-ES"/>
        </w:rPr>
        <w:t xml:space="preserve"> Court</w:t>
      </w:r>
      <w:r w:rsidRPr="00B31E31">
        <w:rPr>
          <w:rFonts w:cs="Verdana"/>
          <w:i w:val="0"/>
          <w:noProof w:val="0"/>
          <w:szCs w:val="20"/>
          <w:lang w:val="es-CR" w:eastAsia="es-ES"/>
        </w:rPr>
        <w:t xml:space="preserve"> received</w:t>
      </w:r>
      <w:r w:rsidR="00022F5E" w:rsidRPr="00B31E31">
        <w:rPr>
          <w:rFonts w:cs="Verdana"/>
          <w:i w:val="0"/>
          <w:noProof w:val="0"/>
          <w:szCs w:val="20"/>
          <w:lang w:val="es-CR" w:eastAsia="es-ES"/>
        </w:rPr>
        <w:t xml:space="preserve"> 17 </w:t>
      </w:r>
      <w:r w:rsidR="00022F5E" w:rsidRPr="00B31E31">
        <w:rPr>
          <w:rFonts w:cs="Verdana"/>
          <w:noProof w:val="0"/>
          <w:szCs w:val="20"/>
          <w:lang w:val="es-CR" w:eastAsia="es-ES"/>
        </w:rPr>
        <w:t>amicus curiae</w:t>
      </w:r>
      <w:r w:rsidR="00022F5E" w:rsidRPr="00B31E31">
        <w:rPr>
          <w:rFonts w:cs="Verdana"/>
          <w:i w:val="0"/>
          <w:noProof w:val="0"/>
          <w:szCs w:val="20"/>
          <w:lang w:val="es-CR" w:eastAsia="es-ES"/>
        </w:rPr>
        <w:t xml:space="preserve"> </w:t>
      </w:r>
      <w:r w:rsidRPr="00B31E31">
        <w:rPr>
          <w:rFonts w:cs="Verdana"/>
          <w:i w:val="0"/>
          <w:noProof w:val="0"/>
          <w:szCs w:val="20"/>
          <w:lang w:val="es-CR" w:eastAsia="es-ES"/>
        </w:rPr>
        <w:t xml:space="preserve">briefs presented by: 1) </w:t>
      </w:r>
      <w:r w:rsidR="00022F5E" w:rsidRPr="00B31E31">
        <w:rPr>
          <w:rFonts w:eastAsia="Cambria" w:cs="Verdana"/>
          <w:i w:val="0"/>
          <w:noProof w:val="0"/>
          <w:szCs w:val="20"/>
          <w:lang w:val="es-CR"/>
        </w:rPr>
        <w:t>José Paul Heraldo Gallardo Echeverría; 2) Ximena Casas Isaza, Viviana Bohórquez Monsalve, Ariadna Tovar Martínez, Ma. José Barajas de la Vega</w:t>
      </w:r>
      <w:r w:rsidR="009F3D78" w:rsidRPr="00B31E31">
        <w:rPr>
          <w:rFonts w:eastAsia="Cambria" w:cs="Verdana"/>
          <w:i w:val="0"/>
          <w:noProof w:val="0"/>
          <w:szCs w:val="20"/>
          <w:lang w:val="es-CR"/>
        </w:rPr>
        <w:t xml:space="preserve"> and </w:t>
      </w:r>
      <w:r w:rsidR="00022F5E" w:rsidRPr="00B31E31">
        <w:rPr>
          <w:rFonts w:eastAsia="Cambria" w:cs="Verdana"/>
          <w:i w:val="0"/>
          <w:noProof w:val="0"/>
          <w:szCs w:val="20"/>
          <w:lang w:val="es-CR"/>
        </w:rPr>
        <w:t xml:space="preserve">Susana Chávez Alvarado, </w:t>
      </w:r>
      <w:r w:rsidRPr="00B31E31">
        <w:rPr>
          <w:rFonts w:eastAsia="Cambria" w:cs="Verdana"/>
          <w:i w:val="0"/>
          <w:noProof w:val="0"/>
          <w:szCs w:val="20"/>
          <w:lang w:val="es-CR"/>
        </w:rPr>
        <w:t xml:space="preserve">on behalf of the </w:t>
      </w:r>
      <w:r w:rsidR="00022F5E" w:rsidRPr="00B31E31">
        <w:rPr>
          <w:rFonts w:eastAsia="Cambria" w:cs="Verdana"/>
          <w:noProof w:val="0"/>
          <w:szCs w:val="20"/>
          <w:lang w:val="es-CR"/>
        </w:rPr>
        <w:t>Consorcio Latinoamericano Contra el Aborto Inseguro</w:t>
      </w:r>
      <w:r w:rsidR="00022F5E" w:rsidRPr="00B31E31">
        <w:rPr>
          <w:rFonts w:eastAsia="Cambria" w:cs="Verdana"/>
          <w:i w:val="0"/>
          <w:noProof w:val="0"/>
          <w:szCs w:val="20"/>
          <w:lang w:val="es-CR"/>
        </w:rPr>
        <w:t xml:space="preserve"> (CLACAI)</w:t>
      </w:r>
      <w:r w:rsidRPr="00B31E31">
        <w:rPr>
          <w:rFonts w:eastAsia="Cambria" w:cs="Verdana"/>
          <w:i w:val="0"/>
          <w:noProof w:val="0"/>
          <w:szCs w:val="20"/>
          <w:lang w:val="es-CR"/>
        </w:rPr>
        <w:t>;</w:t>
      </w:r>
      <w:r w:rsidR="00022F5E" w:rsidRPr="00610904">
        <w:rPr>
          <w:rFonts w:eastAsia="Cambria" w:cs="Verdana"/>
          <w:i w:val="0"/>
          <w:noProof w:val="0"/>
          <w:szCs w:val="20"/>
          <w:vertAlign w:val="superscript"/>
          <w:lang w:val="en-US"/>
        </w:rPr>
        <w:footnoteReference w:id="8"/>
      </w:r>
      <w:r w:rsidR="00022F5E" w:rsidRPr="00B31E31">
        <w:rPr>
          <w:rFonts w:eastAsia="Cambria" w:cs="Verdana"/>
          <w:i w:val="0"/>
          <w:noProof w:val="0"/>
          <w:szCs w:val="20"/>
          <w:lang w:val="es-CR"/>
        </w:rPr>
        <w:t xml:space="preserve"> 3) </w:t>
      </w:r>
      <w:r w:rsidR="00022F5E" w:rsidRPr="00B31E31">
        <w:rPr>
          <w:rFonts w:eastAsia="Cambria" w:cs="Verdana"/>
          <w:noProof w:val="0"/>
          <w:szCs w:val="20"/>
          <w:lang w:val="es-CR"/>
        </w:rPr>
        <w:t>Centro de Estudios de Derecho, Justicia</w:t>
      </w:r>
      <w:r w:rsidR="009F3D78" w:rsidRPr="00B31E31">
        <w:rPr>
          <w:rFonts w:eastAsia="Cambria" w:cs="Verdana"/>
          <w:noProof w:val="0"/>
          <w:szCs w:val="20"/>
          <w:lang w:val="es-CR"/>
        </w:rPr>
        <w:t xml:space="preserve"> and </w:t>
      </w:r>
      <w:r w:rsidR="00022F5E" w:rsidRPr="00B31E31">
        <w:rPr>
          <w:rFonts w:eastAsia="Cambria" w:cs="Verdana"/>
          <w:noProof w:val="0"/>
          <w:szCs w:val="20"/>
          <w:lang w:val="es-CR"/>
        </w:rPr>
        <w:t xml:space="preserve">Sociedad </w:t>
      </w:r>
      <w:r w:rsidR="00022F5E" w:rsidRPr="00B31E31">
        <w:rPr>
          <w:rFonts w:eastAsia="Cambria" w:cs="Verdana"/>
          <w:i w:val="0"/>
          <w:noProof w:val="0"/>
          <w:szCs w:val="20"/>
          <w:lang w:val="es-CR"/>
        </w:rPr>
        <w:t>(Dejusticia)</w:t>
      </w:r>
      <w:r w:rsidRPr="00B31E31">
        <w:rPr>
          <w:rFonts w:eastAsia="Cambria" w:cs="Verdana"/>
          <w:i w:val="0"/>
          <w:noProof w:val="0"/>
          <w:szCs w:val="20"/>
          <w:lang w:val="es-CR"/>
        </w:rPr>
        <w:t>;</w:t>
      </w:r>
      <w:r w:rsidR="00022F5E" w:rsidRPr="00610904">
        <w:rPr>
          <w:rFonts w:eastAsia="Cambria" w:cs="Verdana"/>
          <w:i w:val="0"/>
          <w:noProof w:val="0"/>
          <w:szCs w:val="20"/>
          <w:vertAlign w:val="superscript"/>
          <w:lang w:val="en-US"/>
        </w:rPr>
        <w:footnoteReference w:id="9"/>
      </w:r>
      <w:r w:rsidR="00022F5E" w:rsidRPr="00B31E31">
        <w:rPr>
          <w:rFonts w:eastAsia="Cambria" w:cs="Verdana"/>
          <w:i w:val="0"/>
          <w:noProof w:val="0"/>
          <w:szCs w:val="20"/>
          <w:lang w:val="es-CR"/>
        </w:rPr>
        <w:t xml:space="preserve"> 4) </w:t>
      </w:r>
      <w:r w:rsidR="00022F5E" w:rsidRPr="00B31E31">
        <w:rPr>
          <w:rFonts w:eastAsia="Cambria" w:cs="Verdana"/>
          <w:noProof w:val="0"/>
          <w:szCs w:val="20"/>
          <w:lang w:val="es-CR"/>
        </w:rPr>
        <w:t xml:space="preserve">Fundación Regional de Asesoría en Derechos Humanos </w:t>
      </w:r>
      <w:r w:rsidR="00022F5E" w:rsidRPr="00B31E31">
        <w:rPr>
          <w:rFonts w:eastAsia="Cambria" w:cs="Verdana"/>
          <w:i w:val="0"/>
          <w:noProof w:val="0"/>
          <w:szCs w:val="20"/>
          <w:lang w:val="es-CR"/>
        </w:rPr>
        <w:t>(INREDH)</w:t>
      </w:r>
      <w:r w:rsidRPr="00B31E31">
        <w:rPr>
          <w:rFonts w:eastAsia="Cambria" w:cs="Verdana"/>
          <w:i w:val="0"/>
          <w:noProof w:val="0"/>
          <w:szCs w:val="20"/>
          <w:lang w:val="es-CR"/>
        </w:rPr>
        <w:t>;</w:t>
      </w:r>
      <w:r w:rsidR="00022F5E" w:rsidRPr="00610904">
        <w:rPr>
          <w:rFonts w:eastAsia="Cambria" w:cs="Verdana"/>
          <w:i w:val="0"/>
          <w:noProof w:val="0"/>
          <w:szCs w:val="20"/>
          <w:vertAlign w:val="superscript"/>
          <w:lang w:val="en-US"/>
        </w:rPr>
        <w:footnoteReference w:id="10"/>
      </w:r>
      <w:r w:rsidR="00022F5E" w:rsidRPr="00B31E31">
        <w:rPr>
          <w:rFonts w:eastAsia="Cambria" w:cs="Verdana"/>
          <w:i w:val="0"/>
          <w:noProof w:val="0"/>
          <w:szCs w:val="20"/>
          <w:lang w:val="es-CR"/>
        </w:rPr>
        <w:t xml:space="preserve"> 5) Judith Salgado Álvarez</w:t>
      </w:r>
      <w:r w:rsidRPr="00B31E31">
        <w:rPr>
          <w:rFonts w:eastAsia="Cambria" w:cs="Verdana"/>
          <w:i w:val="0"/>
          <w:noProof w:val="0"/>
          <w:szCs w:val="20"/>
          <w:lang w:val="es-CR"/>
        </w:rPr>
        <w:t>;</w:t>
      </w:r>
      <w:r w:rsidR="00022F5E" w:rsidRPr="00610904">
        <w:rPr>
          <w:rFonts w:eastAsia="Cambria" w:cs="Verdana"/>
          <w:i w:val="0"/>
          <w:noProof w:val="0"/>
          <w:szCs w:val="20"/>
          <w:vertAlign w:val="superscript"/>
          <w:lang w:val="en-US"/>
        </w:rPr>
        <w:footnoteReference w:id="11"/>
      </w:r>
      <w:r w:rsidR="00022F5E" w:rsidRPr="00B31E31">
        <w:rPr>
          <w:rFonts w:eastAsia="Cambria" w:cs="Verdana"/>
          <w:i w:val="0"/>
          <w:noProof w:val="0"/>
          <w:szCs w:val="20"/>
          <w:lang w:val="es-CR"/>
        </w:rPr>
        <w:t xml:space="preserve"> 6) </w:t>
      </w:r>
      <w:r w:rsidR="00022F5E" w:rsidRPr="00B31E31">
        <w:rPr>
          <w:rFonts w:eastAsia="Cambria" w:cs="Verdana"/>
          <w:noProof w:val="0"/>
          <w:szCs w:val="20"/>
          <w:lang w:val="es-CR"/>
        </w:rPr>
        <w:t>Programa de Acción por la Igualdad</w:t>
      </w:r>
      <w:r w:rsidR="009F3D78" w:rsidRPr="00B31E31">
        <w:rPr>
          <w:rFonts w:eastAsia="Cambria" w:cs="Verdana"/>
          <w:noProof w:val="0"/>
          <w:szCs w:val="20"/>
          <w:lang w:val="es-CR"/>
        </w:rPr>
        <w:t xml:space="preserve"> and </w:t>
      </w:r>
      <w:r w:rsidR="00022F5E" w:rsidRPr="00B31E31">
        <w:rPr>
          <w:rFonts w:eastAsia="Cambria" w:cs="Verdana"/>
          <w:noProof w:val="0"/>
          <w:szCs w:val="20"/>
          <w:lang w:val="es-CR"/>
        </w:rPr>
        <w:lastRenderedPageBreak/>
        <w:t>la Inclusión Social</w:t>
      </w:r>
      <w:r w:rsidRPr="00B31E31">
        <w:rPr>
          <w:rFonts w:eastAsia="Cambria" w:cs="Verdana"/>
          <w:i w:val="0"/>
          <w:noProof w:val="0"/>
          <w:szCs w:val="20"/>
          <w:vertAlign w:val="superscript"/>
          <w:lang w:val="es-CR"/>
        </w:rPr>
        <w:t>;</w:t>
      </w:r>
      <w:r w:rsidR="00022F5E" w:rsidRPr="00610904">
        <w:rPr>
          <w:rFonts w:eastAsia="Cambria" w:cs="Verdana"/>
          <w:i w:val="0"/>
          <w:noProof w:val="0"/>
          <w:szCs w:val="20"/>
          <w:vertAlign w:val="superscript"/>
          <w:lang w:val="en-US"/>
        </w:rPr>
        <w:footnoteReference w:id="12"/>
      </w:r>
      <w:r w:rsidR="00022F5E" w:rsidRPr="00B31E31">
        <w:rPr>
          <w:rFonts w:eastAsia="Cambria" w:cs="Verdana"/>
          <w:i w:val="0"/>
          <w:noProof w:val="0"/>
          <w:szCs w:val="20"/>
          <w:lang w:val="es-CR"/>
        </w:rPr>
        <w:t xml:space="preserve"> 7) María Dolores Miño Buitrón, </w:t>
      </w:r>
      <w:r w:rsidRPr="00B31E31">
        <w:rPr>
          <w:rFonts w:eastAsia="Cambria" w:cs="Verdana"/>
          <w:i w:val="0"/>
          <w:noProof w:val="0"/>
          <w:szCs w:val="20"/>
          <w:lang w:val="es-CR"/>
        </w:rPr>
        <w:t xml:space="preserve">Director </w:t>
      </w:r>
      <w:r w:rsidR="0056398E" w:rsidRPr="00B31E31">
        <w:rPr>
          <w:rFonts w:eastAsia="Cambria" w:cs="Verdana"/>
          <w:i w:val="0"/>
          <w:noProof w:val="0"/>
          <w:szCs w:val="20"/>
          <w:lang w:val="es-CR"/>
        </w:rPr>
        <w:t xml:space="preserve">of Legal Affairs </w:t>
      </w:r>
      <w:r w:rsidRPr="00B31E31">
        <w:rPr>
          <w:rFonts w:eastAsia="Cambria" w:cs="Verdana"/>
          <w:i w:val="0"/>
          <w:noProof w:val="0"/>
          <w:szCs w:val="20"/>
          <w:lang w:val="es-CR"/>
        </w:rPr>
        <w:t xml:space="preserve">of the </w:t>
      </w:r>
      <w:r w:rsidR="00022F5E" w:rsidRPr="00B31E31">
        <w:rPr>
          <w:rFonts w:eastAsia="Cambria" w:cs="Verdana"/>
          <w:i w:val="0"/>
          <w:noProof w:val="0"/>
          <w:szCs w:val="20"/>
          <w:lang w:val="es-CR"/>
        </w:rPr>
        <w:t>Human Rights for All</w:t>
      </w:r>
      <w:r w:rsidRPr="00B31E31">
        <w:rPr>
          <w:rFonts w:eastAsia="Cambria" w:cs="Verdana"/>
          <w:i w:val="0"/>
          <w:noProof w:val="0"/>
          <w:szCs w:val="20"/>
          <w:lang w:val="es-CR"/>
        </w:rPr>
        <w:t xml:space="preserve"> Lawyers’ Association</w:t>
      </w:r>
      <w:r w:rsidR="00022F5E" w:rsidRPr="00B31E31">
        <w:rPr>
          <w:rFonts w:eastAsia="Cambria" w:cs="Verdana"/>
          <w:i w:val="0"/>
          <w:noProof w:val="0"/>
          <w:szCs w:val="20"/>
          <w:lang w:val="es-CR"/>
        </w:rPr>
        <w:t>; 8) Na</w:t>
      </w:r>
      <w:r w:rsidRPr="00B31E31">
        <w:rPr>
          <w:rFonts w:eastAsia="Cambria" w:cs="Verdana"/>
          <w:i w:val="0"/>
          <w:noProof w:val="0"/>
          <w:szCs w:val="20"/>
          <w:lang w:val="es-CR"/>
        </w:rPr>
        <w:t>t</w:t>
      </w:r>
      <w:r w:rsidR="00022F5E" w:rsidRPr="00B31E31">
        <w:rPr>
          <w:rFonts w:eastAsia="Cambria" w:cs="Verdana"/>
          <w:i w:val="0"/>
          <w:noProof w:val="0"/>
          <w:szCs w:val="20"/>
          <w:lang w:val="es-CR"/>
        </w:rPr>
        <w:t>alía Torres Zuñiga; 9) Víctor Abramovich</w:t>
      </w:r>
      <w:r w:rsidR="009F3D78" w:rsidRPr="00B31E31">
        <w:rPr>
          <w:rFonts w:eastAsia="Cambria" w:cs="Verdana"/>
          <w:i w:val="0"/>
          <w:noProof w:val="0"/>
          <w:szCs w:val="20"/>
          <w:lang w:val="es-CR"/>
        </w:rPr>
        <w:t xml:space="preserve"> and </w:t>
      </w:r>
      <w:r w:rsidR="00022F5E" w:rsidRPr="00B31E31">
        <w:rPr>
          <w:rFonts w:eastAsia="Cambria" w:cs="Verdana"/>
          <w:i w:val="0"/>
          <w:noProof w:val="0"/>
          <w:szCs w:val="20"/>
          <w:lang w:val="es-CR"/>
        </w:rPr>
        <w:t>Julieta Rossi</w:t>
      </w:r>
      <w:r w:rsidRPr="00B31E31">
        <w:rPr>
          <w:rFonts w:eastAsia="Cambria" w:cs="Verdana"/>
          <w:i w:val="0"/>
          <w:noProof w:val="0"/>
          <w:szCs w:val="20"/>
          <w:lang w:val="es-CR"/>
        </w:rPr>
        <w:t>;</w:t>
      </w:r>
      <w:r w:rsidR="00022F5E" w:rsidRPr="00610904">
        <w:rPr>
          <w:rFonts w:eastAsia="Cambria" w:cs="Verdana"/>
          <w:i w:val="0"/>
          <w:noProof w:val="0"/>
          <w:szCs w:val="20"/>
          <w:vertAlign w:val="superscript"/>
          <w:lang w:val="en-US"/>
        </w:rPr>
        <w:footnoteReference w:id="13"/>
      </w:r>
      <w:r w:rsidR="00022F5E" w:rsidRPr="00B31E31">
        <w:rPr>
          <w:rFonts w:eastAsia="Cambria" w:cs="Verdana"/>
          <w:i w:val="0"/>
          <w:noProof w:val="0"/>
          <w:szCs w:val="20"/>
          <w:lang w:val="es-CR"/>
        </w:rPr>
        <w:t xml:space="preserve"> 10) </w:t>
      </w:r>
      <w:r w:rsidRPr="00B31E31">
        <w:rPr>
          <w:rFonts w:eastAsia="Cambria"/>
          <w:i w:val="0"/>
          <w:noProof w:val="0"/>
          <w:szCs w:val="20"/>
          <w:lang w:val="es-CR"/>
        </w:rPr>
        <w:t xml:space="preserve">Mónica Arango Olaya, Director for Latin America and the Caribbean of the </w:t>
      </w:r>
      <w:r w:rsidR="00022F5E" w:rsidRPr="00B31E31">
        <w:rPr>
          <w:rFonts w:eastAsia="Cambria"/>
          <w:i w:val="0"/>
          <w:noProof w:val="0"/>
          <w:szCs w:val="20"/>
          <w:lang w:val="es-CR"/>
        </w:rPr>
        <w:t>Cent</w:t>
      </w:r>
      <w:r w:rsidRPr="00B31E31">
        <w:rPr>
          <w:rFonts w:eastAsia="Cambria"/>
          <w:i w:val="0"/>
          <w:noProof w:val="0"/>
          <w:szCs w:val="20"/>
          <w:lang w:val="es-CR"/>
        </w:rPr>
        <w:t xml:space="preserve">er for Reproductive Rights, </w:t>
      </w:r>
      <w:r w:rsidR="009F3D78" w:rsidRPr="00B31E31">
        <w:rPr>
          <w:rFonts w:eastAsia="Cambria"/>
          <w:i w:val="0"/>
          <w:noProof w:val="0"/>
          <w:szCs w:val="20"/>
          <w:lang w:val="es-CR"/>
        </w:rPr>
        <w:t xml:space="preserve">and </w:t>
      </w:r>
      <w:r w:rsidR="00022F5E" w:rsidRPr="00B31E31">
        <w:rPr>
          <w:rFonts w:eastAsia="Cambria"/>
          <w:i w:val="0"/>
          <w:noProof w:val="0"/>
          <w:szCs w:val="20"/>
          <w:lang w:val="es-CR"/>
        </w:rPr>
        <w:t xml:space="preserve">Catalina Martínez Coral, </w:t>
      </w:r>
      <w:r w:rsidRPr="00B31E31">
        <w:rPr>
          <w:rFonts w:eastAsia="Cambria"/>
          <w:i w:val="0"/>
          <w:noProof w:val="0"/>
          <w:szCs w:val="20"/>
          <w:lang w:val="es-CR"/>
        </w:rPr>
        <w:t>Regional Manager of the Center</w:t>
      </w:r>
      <w:r w:rsidR="00022F5E" w:rsidRPr="00B31E31">
        <w:rPr>
          <w:rFonts w:eastAsia="Cambria"/>
          <w:i w:val="0"/>
          <w:noProof w:val="0"/>
          <w:szCs w:val="20"/>
          <w:lang w:val="es-CR"/>
        </w:rPr>
        <w:t xml:space="preserve">; </w:t>
      </w:r>
      <w:r w:rsidR="00022F5E" w:rsidRPr="00B31E31">
        <w:rPr>
          <w:rFonts w:eastAsia="Cambria" w:cs="Verdana"/>
          <w:i w:val="0"/>
          <w:noProof w:val="0"/>
          <w:szCs w:val="20"/>
          <w:lang w:val="es-CR"/>
        </w:rPr>
        <w:t xml:space="preserve">11) </w:t>
      </w:r>
      <w:r w:rsidRPr="00B31E31">
        <w:rPr>
          <w:rFonts w:eastAsia="Cambria" w:cs="Verdana"/>
          <w:i w:val="0"/>
          <w:noProof w:val="0"/>
          <w:szCs w:val="20"/>
          <w:lang w:val="es-CR"/>
        </w:rPr>
        <w:t xml:space="preserve">Public Interest Legal Clinic of the Law School of the </w:t>
      </w:r>
      <w:r w:rsidR="00022F5E" w:rsidRPr="00B31E31">
        <w:rPr>
          <w:rFonts w:eastAsia="Cambria"/>
          <w:i w:val="0"/>
          <w:noProof w:val="0"/>
          <w:szCs w:val="20"/>
          <w:lang w:val="es-CR"/>
        </w:rPr>
        <w:t>Universidad de Palermo</w:t>
      </w:r>
      <w:r w:rsidRPr="00B31E31">
        <w:rPr>
          <w:rFonts w:eastAsia="Cambria"/>
          <w:i w:val="0"/>
          <w:noProof w:val="0"/>
          <w:szCs w:val="20"/>
          <w:lang w:val="es-CR"/>
        </w:rPr>
        <w:t>;</w:t>
      </w:r>
      <w:r w:rsidR="00022F5E" w:rsidRPr="00610904">
        <w:rPr>
          <w:rFonts w:eastAsia="Cambria"/>
          <w:i w:val="0"/>
          <w:noProof w:val="0"/>
          <w:szCs w:val="20"/>
          <w:vertAlign w:val="superscript"/>
          <w:lang w:val="en-US"/>
        </w:rPr>
        <w:footnoteReference w:id="14"/>
      </w:r>
      <w:r w:rsidR="00022F5E" w:rsidRPr="00B31E31">
        <w:rPr>
          <w:rFonts w:eastAsia="Cambria"/>
          <w:i w:val="0"/>
          <w:noProof w:val="0"/>
          <w:szCs w:val="20"/>
          <w:lang w:val="es-CR"/>
        </w:rPr>
        <w:t xml:space="preserve"> </w:t>
      </w:r>
      <w:r w:rsidR="00022F5E" w:rsidRPr="00B31E31">
        <w:rPr>
          <w:rFonts w:eastAsia="Cambria" w:cs="Verdana"/>
          <w:i w:val="0"/>
          <w:noProof w:val="0"/>
          <w:szCs w:val="20"/>
          <w:lang w:val="es-CR"/>
        </w:rPr>
        <w:t xml:space="preserve">12) </w:t>
      </w:r>
      <w:r w:rsidR="00022F5E" w:rsidRPr="00B31E31">
        <w:rPr>
          <w:rFonts w:eastAsia="Cambria"/>
          <w:noProof w:val="0"/>
          <w:szCs w:val="20"/>
          <w:lang w:val="es-CR"/>
        </w:rPr>
        <w:t>ELEMENTA Consultoría en Derechos</w:t>
      </w:r>
      <w:r w:rsidRPr="00B31E31">
        <w:rPr>
          <w:rFonts w:eastAsia="Cambria"/>
          <w:i w:val="0"/>
          <w:noProof w:val="0"/>
          <w:szCs w:val="20"/>
          <w:lang w:val="es-CR"/>
        </w:rPr>
        <w:t>;</w:t>
      </w:r>
      <w:r w:rsidR="00022F5E" w:rsidRPr="00610904">
        <w:rPr>
          <w:rFonts w:eastAsia="Cambria"/>
          <w:i w:val="0"/>
          <w:noProof w:val="0"/>
          <w:szCs w:val="20"/>
          <w:vertAlign w:val="superscript"/>
          <w:lang w:val="en-US"/>
        </w:rPr>
        <w:footnoteReference w:id="15"/>
      </w:r>
      <w:r w:rsidR="00022F5E" w:rsidRPr="00B31E31">
        <w:rPr>
          <w:rFonts w:eastAsia="Cambria"/>
          <w:i w:val="0"/>
          <w:noProof w:val="0"/>
          <w:szCs w:val="20"/>
          <w:lang w:val="es-CR"/>
        </w:rPr>
        <w:t xml:space="preserve"> </w:t>
      </w:r>
      <w:r w:rsidR="00022F5E" w:rsidRPr="00B31E31">
        <w:rPr>
          <w:rFonts w:eastAsia="Cambria" w:cs="Verdana"/>
          <w:i w:val="0"/>
          <w:noProof w:val="0"/>
          <w:szCs w:val="20"/>
          <w:lang w:val="es-CR"/>
        </w:rPr>
        <w:t xml:space="preserve">13) </w:t>
      </w:r>
      <w:r w:rsidR="00022F5E" w:rsidRPr="00B31E31">
        <w:rPr>
          <w:rFonts w:eastAsia="Cambria"/>
          <w:i w:val="0"/>
          <w:noProof w:val="0"/>
          <w:szCs w:val="20"/>
          <w:lang w:val="es-CR"/>
        </w:rPr>
        <w:t>Laura Pautassi, Laura Elisa Pérez</w:t>
      </w:r>
      <w:r w:rsidR="009F3D78" w:rsidRPr="00B31E31">
        <w:rPr>
          <w:rFonts w:eastAsia="Cambria"/>
          <w:i w:val="0"/>
          <w:noProof w:val="0"/>
          <w:szCs w:val="20"/>
          <w:lang w:val="es-CR"/>
        </w:rPr>
        <w:t xml:space="preserve"> and </w:t>
      </w:r>
      <w:r w:rsidR="00022F5E" w:rsidRPr="00B31E31">
        <w:rPr>
          <w:rFonts w:eastAsia="Cambria"/>
          <w:i w:val="0"/>
          <w:noProof w:val="0"/>
          <w:szCs w:val="20"/>
          <w:lang w:val="es-CR"/>
        </w:rPr>
        <w:t>Flavia Piovesan</w:t>
      </w:r>
      <w:r w:rsidRPr="00B31E31">
        <w:rPr>
          <w:rFonts w:eastAsia="Cambria"/>
          <w:i w:val="0"/>
          <w:noProof w:val="0"/>
          <w:szCs w:val="20"/>
          <w:lang w:val="es-CR"/>
        </w:rPr>
        <w:t>;</w:t>
      </w:r>
      <w:r w:rsidR="00022F5E" w:rsidRPr="00610904">
        <w:rPr>
          <w:rFonts w:eastAsia="Cambria"/>
          <w:i w:val="0"/>
          <w:noProof w:val="0"/>
          <w:szCs w:val="20"/>
          <w:vertAlign w:val="superscript"/>
          <w:lang w:val="en-US"/>
        </w:rPr>
        <w:footnoteReference w:id="16"/>
      </w:r>
      <w:r w:rsidR="00022F5E" w:rsidRPr="00B31E31">
        <w:rPr>
          <w:rFonts w:eastAsia="Cambria"/>
          <w:i w:val="0"/>
          <w:noProof w:val="0"/>
          <w:szCs w:val="20"/>
          <w:lang w:val="es-CR"/>
        </w:rPr>
        <w:t xml:space="preserve"> </w:t>
      </w:r>
      <w:r w:rsidR="00022F5E" w:rsidRPr="00B31E31">
        <w:rPr>
          <w:rFonts w:eastAsia="Cambria" w:cs="Verdana"/>
          <w:i w:val="0"/>
          <w:noProof w:val="0"/>
          <w:szCs w:val="20"/>
          <w:lang w:val="es-CR"/>
        </w:rPr>
        <w:t xml:space="preserve">14) </w:t>
      </w:r>
      <w:r w:rsidR="00022F5E" w:rsidRPr="00B31E31">
        <w:rPr>
          <w:rFonts w:eastAsia="Cambria"/>
          <w:noProof w:val="0"/>
          <w:szCs w:val="20"/>
          <w:lang w:val="es-CR"/>
        </w:rPr>
        <w:t>Asociación Civil por la Igualdad</w:t>
      </w:r>
      <w:r w:rsidR="009F3D78" w:rsidRPr="00B31E31">
        <w:rPr>
          <w:rFonts w:eastAsia="Cambria"/>
          <w:noProof w:val="0"/>
          <w:szCs w:val="20"/>
          <w:lang w:val="es-CR"/>
        </w:rPr>
        <w:t xml:space="preserve"> and </w:t>
      </w:r>
      <w:r w:rsidR="00022F5E" w:rsidRPr="00B31E31">
        <w:rPr>
          <w:rFonts w:eastAsia="Cambria"/>
          <w:noProof w:val="0"/>
          <w:szCs w:val="20"/>
          <w:lang w:val="es-CR"/>
        </w:rPr>
        <w:t xml:space="preserve">la Justicia </w:t>
      </w:r>
      <w:r w:rsidRPr="00B31E31">
        <w:rPr>
          <w:rFonts w:eastAsia="Cambria"/>
          <w:i w:val="0"/>
          <w:noProof w:val="0"/>
          <w:szCs w:val="20"/>
          <w:lang w:val="es-CR"/>
        </w:rPr>
        <w:t>(ACIJ</w:t>
      </w:r>
      <w:r w:rsidR="00562663" w:rsidRPr="00B31E31">
        <w:rPr>
          <w:rFonts w:eastAsia="Cambria"/>
          <w:i w:val="0"/>
          <w:noProof w:val="0"/>
          <w:szCs w:val="20"/>
          <w:lang w:val="es-CR"/>
        </w:rPr>
        <w:t>)</w:t>
      </w:r>
      <w:r w:rsidRPr="00B31E31">
        <w:rPr>
          <w:rFonts w:eastAsia="Cambria"/>
          <w:i w:val="0"/>
          <w:noProof w:val="0"/>
          <w:szCs w:val="20"/>
          <w:lang w:val="es-CR"/>
        </w:rPr>
        <w:t xml:space="preserve">, signed by Dalile Antunez, Co-Director of the Association; </w:t>
      </w:r>
      <w:r w:rsidR="00022F5E" w:rsidRPr="00B31E31">
        <w:rPr>
          <w:rFonts w:eastAsia="Cambria" w:cs="Verdana"/>
          <w:i w:val="0"/>
          <w:noProof w:val="0"/>
          <w:szCs w:val="20"/>
          <w:lang w:val="es-CR"/>
        </w:rPr>
        <w:t xml:space="preserve">15) </w:t>
      </w:r>
      <w:r w:rsidRPr="00B31E31">
        <w:rPr>
          <w:rFonts w:eastAsia="Cambria" w:cs="Verdana"/>
          <w:i w:val="0"/>
          <w:noProof w:val="0"/>
          <w:szCs w:val="20"/>
          <w:lang w:val="es-CR"/>
        </w:rPr>
        <w:t xml:space="preserve">Several professors of the </w:t>
      </w:r>
      <w:r w:rsidR="00022F5E" w:rsidRPr="00B31E31">
        <w:rPr>
          <w:rFonts w:eastAsia="Cambria"/>
          <w:i w:val="0"/>
          <w:noProof w:val="0"/>
          <w:szCs w:val="20"/>
          <w:lang w:val="es-CR"/>
        </w:rPr>
        <w:t>Pontificia Universidad Católica</w:t>
      </w:r>
      <w:r w:rsidRPr="00B31E31">
        <w:rPr>
          <w:rFonts w:eastAsia="Cambria"/>
          <w:i w:val="0"/>
          <w:noProof w:val="0"/>
          <w:szCs w:val="20"/>
          <w:lang w:val="es-CR"/>
        </w:rPr>
        <w:t xml:space="preserve"> de</w:t>
      </w:r>
      <w:r w:rsidR="00A8072E" w:rsidRPr="00B31E31">
        <w:rPr>
          <w:rFonts w:eastAsia="Cambria"/>
          <w:i w:val="0"/>
          <w:noProof w:val="0"/>
          <w:szCs w:val="20"/>
          <w:lang w:val="es-CR"/>
        </w:rPr>
        <w:t xml:space="preserve"> Ecuador</w:t>
      </w:r>
      <w:r w:rsidRPr="00B31E31">
        <w:rPr>
          <w:rFonts w:eastAsia="Cambria"/>
          <w:i w:val="0"/>
          <w:noProof w:val="0"/>
          <w:szCs w:val="20"/>
          <w:lang w:val="es-CR"/>
        </w:rPr>
        <w:t xml:space="preserve">, </w:t>
      </w:r>
      <w:r w:rsidR="00022F5E" w:rsidRPr="00B31E31">
        <w:rPr>
          <w:rFonts w:eastAsia="Cambria"/>
          <w:i w:val="0"/>
          <w:noProof w:val="0"/>
          <w:szCs w:val="20"/>
          <w:lang w:val="es-CR"/>
        </w:rPr>
        <w:t>Ambato</w:t>
      </w:r>
      <w:r w:rsidRPr="00B31E31">
        <w:rPr>
          <w:rFonts w:eastAsia="Cambria"/>
          <w:i w:val="0"/>
          <w:noProof w:val="0"/>
          <w:szCs w:val="20"/>
          <w:lang w:val="es-CR"/>
        </w:rPr>
        <w:t xml:space="preserve"> campus</w:t>
      </w:r>
      <w:r w:rsidR="00022F5E" w:rsidRPr="00B31E31">
        <w:rPr>
          <w:rFonts w:eastAsia="Cambria"/>
          <w:i w:val="0"/>
          <w:noProof w:val="0"/>
          <w:szCs w:val="20"/>
          <w:lang w:val="es-CR"/>
        </w:rPr>
        <w:t xml:space="preserve">, </w:t>
      </w:r>
      <w:r w:rsidRPr="00B31E31">
        <w:rPr>
          <w:rFonts w:eastAsia="Cambria"/>
          <w:i w:val="0"/>
          <w:noProof w:val="0"/>
          <w:szCs w:val="20"/>
          <w:lang w:val="es-CR"/>
        </w:rPr>
        <w:t>School of Jurisprudence;</w:t>
      </w:r>
      <w:r w:rsidR="00022F5E" w:rsidRPr="00610904">
        <w:rPr>
          <w:rFonts w:eastAsia="Cambria"/>
          <w:i w:val="0"/>
          <w:noProof w:val="0"/>
          <w:szCs w:val="20"/>
          <w:vertAlign w:val="superscript"/>
          <w:lang w:val="en-US"/>
        </w:rPr>
        <w:footnoteReference w:id="17"/>
      </w:r>
      <w:r w:rsidR="00022F5E" w:rsidRPr="00B31E31">
        <w:rPr>
          <w:rFonts w:eastAsia="Cambria"/>
          <w:i w:val="0"/>
          <w:noProof w:val="0"/>
          <w:szCs w:val="20"/>
          <w:lang w:val="es-CR"/>
        </w:rPr>
        <w:t xml:space="preserve"> </w:t>
      </w:r>
      <w:r w:rsidR="00022F5E" w:rsidRPr="00B31E31">
        <w:rPr>
          <w:rFonts w:eastAsia="Cambria" w:cs="Verdana"/>
          <w:i w:val="0"/>
          <w:noProof w:val="0"/>
          <w:szCs w:val="20"/>
          <w:lang w:val="es-CR"/>
        </w:rPr>
        <w:t xml:space="preserve">16) </w:t>
      </w:r>
      <w:r w:rsidRPr="00B31E31">
        <w:rPr>
          <w:rFonts w:eastAsia="Cambria"/>
          <w:i w:val="0"/>
          <w:noProof w:val="0"/>
          <w:szCs w:val="20"/>
          <w:lang w:val="es-CR"/>
        </w:rPr>
        <w:t>the Office of th</w:t>
      </w:r>
      <w:r w:rsidR="00562663" w:rsidRPr="00B31E31">
        <w:rPr>
          <w:rFonts w:eastAsia="Cambria"/>
          <w:i w:val="0"/>
          <w:noProof w:val="0"/>
          <w:szCs w:val="20"/>
          <w:lang w:val="es-CR"/>
        </w:rPr>
        <w:t>e</w:t>
      </w:r>
      <w:r w:rsidRPr="00B31E31">
        <w:rPr>
          <w:rFonts w:eastAsia="Cambria"/>
          <w:i w:val="0"/>
          <w:noProof w:val="0"/>
          <w:szCs w:val="20"/>
          <w:lang w:val="es-CR"/>
        </w:rPr>
        <w:t xml:space="preserve"> Ombudsman of </w:t>
      </w:r>
      <w:r w:rsidR="00022F5E" w:rsidRPr="00B31E31">
        <w:rPr>
          <w:rFonts w:eastAsia="Cambria"/>
          <w:i w:val="0"/>
          <w:noProof w:val="0"/>
          <w:szCs w:val="20"/>
          <w:lang w:val="es-CR"/>
        </w:rPr>
        <w:t>Ecuador</w:t>
      </w:r>
      <w:r w:rsidRPr="00B31E31">
        <w:rPr>
          <w:rFonts w:eastAsia="Cambria"/>
          <w:i w:val="0"/>
          <w:noProof w:val="0"/>
          <w:szCs w:val="20"/>
          <w:lang w:val="es-CR"/>
        </w:rPr>
        <w:t>,</w:t>
      </w:r>
      <w:r w:rsidR="00022F5E" w:rsidRPr="00610904">
        <w:rPr>
          <w:rFonts w:eastAsia="Cambria"/>
          <w:i w:val="0"/>
          <w:noProof w:val="0"/>
          <w:szCs w:val="20"/>
          <w:vertAlign w:val="superscript"/>
          <w:lang w:val="en-US"/>
        </w:rPr>
        <w:footnoteReference w:id="18"/>
      </w:r>
      <w:r w:rsidR="009F3D78" w:rsidRPr="00B31E31">
        <w:rPr>
          <w:rFonts w:eastAsia="Cambria"/>
          <w:i w:val="0"/>
          <w:noProof w:val="0"/>
          <w:szCs w:val="20"/>
          <w:lang w:val="es-CR"/>
        </w:rPr>
        <w:t xml:space="preserve"> and </w:t>
      </w:r>
      <w:r w:rsidR="00022F5E" w:rsidRPr="00B31E31">
        <w:rPr>
          <w:rFonts w:eastAsia="Cambria" w:cs="Verdana"/>
          <w:i w:val="0"/>
          <w:noProof w:val="0"/>
          <w:szCs w:val="20"/>
          <w:lang w:val="es-CR"/>
        </w:rPr>
        <w:t xml:space="preserve">17) </w:t>
      </w:r>
      <w:r w:rsidR="00022F5E" w:rsidRPr="00B31E31">
        <w:rPr>
          <w:rFonts w:eastAsia="Cambria"/>
          <w:i w:val="0"/>
          <w:noProof w:val="0"/>
          <w:szCs w:val="20"/>
          <w:lang w:val="es-CR"/>
        </w:rPr>
        <w:t xml:space="preserve">Siro L. De Martini, Director </w:t>
      </w:r>
      <w:r w:rsidRPr="00B31E31">
        <w:rPr>
          <w:rFonts w:eastAsia="Cambria"/>
          <w:i w:val="0"/>
          <w:noProof w:val="0"/>
          <w:szCs w:val="20"/>
          <w:lang w:val="es-CR"/>
        </w:rPr>
        <w:t xml:space="preserve">of the Center for Research on the Inter-American System for the Protection of Human Rights of the Law School of the </w:t>
      </w:r>
      <w:r w:rsidR="00022F5E" w:rsidRPr="00B31E31">
        <w:rPr>
          <w:rFonts w:eastAsia="Cambria"/>
          <w:i w:val="0"/>
          <w:noProof w:val="0"/>
          <w:szCs w:val="20"/>
          <w:lang w:val="es-CR"/>
        </w:rPr>
        <w:t>Pontificia Universidad Católica de Argentina (UCA)</w:t>
      </w:r>
      <w:r w:rsidR="009F3D78" w:rsidRPr="00B31E31">
        <w:rPr>
          <w:rFonts w:eastAsia="Cambria"/>
          <w:i w:val="0"/>
          <w:noProof w:val="0"/>
          <w:szCs w:val="20"/>
          <w:lang w:val="es-CR"/>
        </w:rPr>
        <w:t xml:space="preserve"> and </w:t>
      </w:r>
      <w:r w:rsidR="00022F5E" w:rsidRPr="00B31E31">
        <w:rPr>
          <w:rFonts w:eastAsia="Cambria"/>
          <w:i w:val="0"/>
          <w:noProof w:val="0"/>
          <w:szCs w:val="20"/>
          <w:lang w:val="es-CR"/>
        </w:rPr>
        <w:t xml:space="preserve">Ludovic Hennebel, Director </w:t>
      </w:r>
      <w:r w:rsidRPr="00B31E31">
        <w:rPr>
          <w:rFonts w:eastAsia="Cambria"/>
          <w:i w:val="0"/>
          <w:noProof w:val="0"/>
          <w:szCs w:val="20"/>
          <w:lang w:val="es-CR"/>
        </w:rPr>
        <w:t xml:space="preserve">of the International Human Rights Law Clinic of </w:t>
      </w:r>
      <w:r w:rsidR="00022F5E" w:rsidRPr="00B31E31">
        <w:rPr>
          <w:rFonts w:eastAsia="Cambria"/>
          <w:i w:val="0"/>
          <w:noProof w:val="0"/>
          <w:szCs w:val="20"/>
          <w:lang w:val="es-CR"/>
        </w:rPr>
        <w:t>Aix-Marseille Université, France</w:t>
      </w:r>
      <w:r w:rsidRPr="00B31E31">
        <w:rPr>
          <w:rFonts w:eastAsia="Cambria"/>
          <w:i w:val="0"/>
          <w:noProof w:val="0"/>
          <w:szCs w:val="20"/>
          <w:lang w:val="es-CR"/>
        </w:rPr>
        <w:t>.</w:t>
      </w:r>
      <w:r w:rsidR="00022F5E" w:rsidRPr="00610904">
        <w:rPr>
          <w:rFonts w:eastAsia="Cambria"/>
          <w:i w:val="0"/>
          <w:noProof w:val="0"/>
          <w:szCs w:val="20"/>
          <w:vertAlign w:val="superscript"/>
          <w:lang w:val="en-US"/>
        </w:rPr>
        <w:footnoteReference w:id="19"/>
      </w:r>
    </w:p>
    <w:p w:rsidR="00022F5E" w:rsidRPr="00B31E31" w:rsidRDefault="00022F5E" w:rsidP="00610904">
      <w:pPr>
        <w:rPr>
          <w:rFonts w:cs="Verdana"/>
          <w:i/>
          <w:noProof w:val="0"/>
          <w:szCs w:val="20"/>
          <w:lang w:val="es-CR"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 xml:space="preserve">Final written arguments </w:t>
      </w:r>
      <w:r w:rsidR="009F3D78" w:rsidRPr="00610904">
        <w:rPr>
          <w:rFonts w:cs="Verdana"/>
          <w:noProof w:val="0"/>
          <w:szCs w:val="20"/>
          <w:lang w:val="en-US" w:eastAsia="es-ES"/>
        </w:rPr>
        <w:t xml:space="preserve">and </w:t>
      </w:r>
      <w:r w:rsidRPr="00610904">
        <w:rPr>
          <w:rFonts w:cs="Verdana"/>
          <w:noProof w:val="0"/>
          <w:szCs w:val="20"/>
          <w:lang w:val="en-US" w:eastAsia="es-ES"/>
        </w:rPr>
        <w:t>observations.</w:t>
      </w:r>
      <w:r w:rsidR="00022F5E" w:rsidRPr="00610904">
        <w:rPr>
          <w:rFonts w:cs="Verdana"/>
          <w:noProof w:val="0"/>
          <w:szCs w:val="20"/>
          <w:lang w:val="en-US" w:eastAsia="es-ES"/>
        </w:rPr>
        <w:t xml:space="preserve"> </w:t>
      </w:r>
      <w:r w:rsidRPr="00610904">
        <w:rPr>
          <w:rFonts w:cs="Verdana"/>
          <w:i w:val="0"/>
          <w:noProof w:val="0"/>
          <w:szCs w:val="20"/>
          <w:lang w:val="en-US" w:eastAsia="es-ES"/>
        </w:rPr>
        <w:t>On May</w:t>
      </w:r>
      <w:r w:rsidR="00022F5E" w:rsidRPr="00610904">
        <w:rPr>
          <w:rFonts w:cs="Verdana"/>
          <w:i w:val="0"/>
          <w:noProof w:val="0"/>
          <w:szCs w:val="20"/>
          <w:lang w:val="en-US" w:eastAsia="es-ES"/>
        </w:rPr>
        <w:t xml:space="preserve"> 20</w:t>
      </w:r>
      <w:r w:rsidR="009F3D78" w:rsidRPr="00610904">
        <w:rPr>
          <w:rFonts w:cs="Verdana"/>
          <w:i w:val="0"/>
          <w:noProof w:val="0"/>
          <w:szCs w:val="20"/>
          <w:lang w:val="en-US" w:eastAsia="es-ES"/>
        </w:rPr>
        <w:t xml:space="preserve"> and </w:t>
      </w:r>
      <w:r w:rsidRPr="00610904">
        <w:rPr>
          <w:rFonts w:cs="Verdana"/>
          <w:i w:val="0"/>
          <w:noProof w:val="0"/>
          <w:szCs w:val="20"/>
          <w:lang w:val="en-US" w:eastAsia="es-ES"/>
        </w:rPr>
        <w:t xml:space="preserve">21, </w:t>
      </w:r>
      <w:r w:rsidR="00022F5E" w:rsidRPr="00610904">
        <w:rPr>
          <w:rFonts w:cs="Verdana"/>
          <w:i w:val="0"/>
          <w:noProof w:val="0"/>
          <w:szCs w:val="20"/>
          <w:lang w:val="en-US" w:eastAsia="es-ES"/>
        </w:rPr>
        <w:t>2015</w:t>
      </w:r>
      <w:r w:rsidRPr="00610904">
        <w:rPr>
          <w:rFonts w:cs="Verdana"/>
          <w:i w:val="0"/>
          <w:noProof w:val="0"/>
          <w:szCs w:val="20"/>
          <w:lang w:val="en-US" w:eastAsia="es-ES"/>
        </w:rPr>
        <w:t xml:space="preserve">, the parties </w:t>
      </w:r>
      <w:r w:rsidR="009F3D78" w:rsidRPr="00610904">
        <w:rPr>
          <w:rFonts w:cs="Verdana"/>
          <w:i w:val="0"/>
          <w:noProof w:val="0"/>
          <w:szCs w:val="20"/>
          <w:lang w:val="en-US" w:eastAsia="es-ES"/>
        </w:rPr>
        <w:t xml:space="preserve">and </w:t>
      </w:r>
      <w:r w:rsidR="002F5BBA" w:rsidRPr="00610904">
        <w:rPr>
          <w:rFonts w:cs="Verdana"/>
          <w:i w:val="0"/>
          <w:noProof w:val="0"/>
          <w:szCs w:val="20"/>
          <w:lang w:val="en-US" w:eastAsia="es-ES"/>
        </w:rPr>
        <w:t>the Commission</w:t>
      </w:r>
      <w:r w:rsidR="00022F5E" w:rsidRPr="00610904">
        <w:rPr>
          <w:rFonts w:cs="Verdana"/>
          <w:i w:val="0"/>
          <w:noProof w:val="0"/>
          <w:szCs w:val="20"/>
          <w:lang w:val="en-US" w:eastAsia="es-ES"/>
        </w:rPr>
        <w:t xml:space="preserve"> present</w:t>
      </w:r>
      <w:r w:rsidRPr="00610904">
        <w:rPr>
          <w:rFonts w:cs="Verdana"/>
          <w:i w:val="0"/>
          <w:noProof w:val="0"/>
          <w:szCs w:val="20"/>
          <w:lang w:val="en-US" w:eastAsia="es-ES"/>
        </w:rPr>
        <w:t xml:space="preserve">ed their final written arguments </w:t>
      </w:r>
      <w:r w:rsidR="009F3D78" w:rsidRPr="00610904">
        <w:rPr>
          <w:rFonts w:cs="Verdana"/>
          <w:i w:val="0"/>
          <w:noProof w:val="0"/>
          <w:szCs w:val="20"/>
          <w:lang w:val="en-US" w:eastAsia="es-ES"/>
        </w:rPr>
        <w:t xml:space="preserve">and </w:t>
      </w:r>
      <w:r w:rsidRPr="00610904">
        <w:rPr>
          <w:rFonts w:cs="Verdana"/>
          <w:i w:val="0"/>
          <w:noProof w:val="0"/>
          <w:szCs w:val="20"/>
          <w:lang w:val="en-US" w:eastAsia="es-ES"/>
        </w:rPr>
        <w:t>observations</w:t>
      </w:r>
      <w:r w:rsidR="00022F5E" w:rsidRPr="00610904">
        <w:rPr>
          <w:rFonts w:cs="Verdana"/>
          <w:i w:val="0"/>
          <w:noProof w:val="0"/>
          <w:szCs w:val="20"/>
          <w:lang w:val="en-US" w:eastAsia="es-ES"/>
        </w:rPr>
        <w:t xml:space="preserve">, </w:t>
      </w:r>
      <w:r w:rsidR="00A8072E" w:rsidRPr="00610904">
        <w:rPr>
          <w:rFonts w:cs="Verdana"/>
          <w:i w:val="0"/>
          <w:noProof w:val="0"/>
          <w:szCs w:val="20"/>
          <w:lang w:val="en-US" w:eastAsia="es-ES"/>
        </w:rPr>
        <w:t>respectively</w:t>
      </w:r>
      <w:r w:rsidR="00022F5E" w:rsidRPr="00610904">
        <w:rPr>
          <w:rFonts w:cs="Verdana"/>
          <w:i w:val="0"/>
          <w:noProof w:val="0"/>
          <w:szCs w:val="20"/>
          <w:lang w:val="en-US" w:eastAsia="es-ES"/>
        </w:rPr>
        <w:t xml:space="preserve">. </w:t>
      </w:r>
      <w:r w:rsidR="009F3D78" w:rsidRPr="00610904">
        <w:rPr>
          <w:rFonts w:cs="Verdana"/>
          <w:i w:val="0"/>
          <w:noProof w:val="0"/>
          <w:szCs w:val="20"/>
          <w:lang w:val="en-US" w:eastAsia="es-ES"/>
        </w:rPr>
        <w:t>The State and the representatives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forwarded various documents with their briefs. On June</w:t>
      </w:r>
      <w:r w:rsidR="00022F5E" w:rsidRPr="00610904">
        <w:rPr>
          <w:rFonts w:cs="Verdana"/>
          <w:i w:val="0"/>
          <w:noProof w:val="0"/>
          <w:szCs w:val="20"/>
          <w:lang w:val="en-US" w:eastAsia="es-ES"/>
        </w:rPr>
        <w:t xml:space="preserve"> 1</w:t>
      </w:r>
      <w:r w:rsidR="009F3D78" w:rsidRPr="00610904">
        <w:rPr>
          <w:rFonts w:cs="Verdana"/>
          <w:i w:val="0"/>
          <w:noProof w:val="0"/>
          <w:szCs w:val="20"/>
          <w:lang w:val="en-US" w:eastAsia="es-ES"/>
        </w:rPr>
        <w:t xml:space="preserve"> and </w:t>
      </w:r>
      <w:r w:rsidRPr="00610904">
        <w:rPr>
          <w:rFonts w:cs="Verdana"/>
          <w:i w:val="0"/>
          <w:noProof w:val="0"/>
          <w:szCs w:val="20"/>
          <w:lang w:val="en-US" w:eastAsia="es-ES"/>
        </w:rPr>
        <w:t xml:space="preserve">5, </w:t>
      </w:r>
      <w:r w:rsidR="00022F5E" w:rsidRPr="00610904">
        <w:rPr>
          <w:rFonts w:cs="Verdana"/>
          <w:i w:val="0"/>
          <w:noProof w:val="0"/>
          <w:szCs w:val="20"/>
          <w:lang w:val="en-US" w:eastAsia="es-ES"/>
        </w:rPr>
        <w:t>2015</w:t>
      </w:r>
      <w:r w:rsidRPr="00610904">
        <w:rPr>
          <w:rFonts w:cs="Verdana"/>
          <w:i w:val="0"/>
          <w:noProof w:val="0"/>
          <w:szCs w:val="20"/>
          <w:lang w:val="en-US" w:eastAsia="es-ES"/>
        </w:rPr>
        <w:t>, the parties</w:t>
      </w:r>
      <w:r w:rsidR="00022F5E" w:rsidRPr="00610904">
        <w:rPr>
          <w:rFonts w:cs="Verdana"/>
          <w:i w:val="0"/>
          <w:noProof w:val="0"/>
          <w:szCs w:val="20"/>
          <w:lang w:val="en-US" w:eastAsia="es-ES"/>
        </w:rPr>
        <w:t xml:space="preserve"> </w:t>
      </w:r>
      <w:r w:rsidR="009F3D78" w:rsidRPr="00610904">
        <w:rPr>
          <w:rFonts w:cs="Verdana"/>
          <w:i w:val="0"/>
          <w:noProof w:val="0"/>
          <w:szCs w:val="20"/>
          <w:lang w:val="en-US" w:eastAsia="es-ES"/>
        </w:rPr>
        <w:t xml:space="preserve">and </w:t>
      </w:r>
      <w:r w:rsidR="002F5BBA" w:rsidRPr="00610904">
        <w:rPr>
          <w:rFonts w:cs="Verdana"/>
          <w:i w:val="0"/>
          <w:noProof w:val="0"/>
          <w:szCs w:val="20"/>
          <w:lang w:val="en-US" w:eastAsia="es-ES"/>
        </w:rPr>
        <w:t>the Commission</w:t>
      </w:r>
      <w:r w:rsidR="00022F5E" w:rsidRPr="00610904">
        <w:rPr>
          <w:rFonts w:cs="Verdana"/>
          <w:i w:val="0"/>
          <w:noProof w:val="0"/>
          <w:szCs w:val="20"/>
          <w:lang w:val="en-US" w:eastAsia="es-ES"/>
        </w:rPr>
        <w:t xml:space="preserve">, </w:t>
      </w:r>
      <w:r w:rsidR="00A8072E" w:rsidRPr="00610904">
        <w:rPr>
          <w:rFonts w:cs="Verdana"/>
          <w:i w:val="0"/>
          <w:noProof w:val="0"/>
          <w:szCs w:val="20"/>
          <w:lang w:val="en-US" w:eastAsia="es-ES"/>
        </w:rPr>
        <w:t>respectively</w:t>
      </w:r>
      <w:r w:rsidR="00022F5E" w:rsidRPr="00610904">
        <w:rPr>
          <w:rFonts w:cs="Verdana"/>
          <w:i w:val="0"/>
          <w:noProof w:val="0"/>
          <w:szCs w:val="20"/>
          <w:lang w:val="en-US" w:eastAsia="es-ES"/>
        </w:rPr>
        <w:t>, present</w:t>
      </w:r>
      <w:r w:rsidRPr="00610904">
        <w:rPr>
          <w:rFonts w:cs="Verdana"/>
          <w:i w:val="0"/>
          <w:noProof w:val="0"/>
          <w:szCs w:val="20"/>
          <w:lang w:val="en-US" w:eastAsia="es-ES"/>
        </w:rPr>
        <w:t>ed their observations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on the attachments to the </w:t>
      </w:r>
      <w:r w:rsidR="00A8072E" w:rsidRPr="00610904">
        <w:rPr>
          <w:rFonts w:cs="Verdana"/>
          <w:i w:val="0"/>
          <w:noProof w:val="0"/>
          <w:szCs w:val="20"/>
          <w:lang w:val="en-US" w:eastAsia="es-ES"/>
        </w:rPr>
        <w:t>final written arguments</w:t>
      </w:r>
      <w:r w:rsidR="00022F5E" w:rsidRPr="00610904">
        <w:rPr>
          <w:rFonts w:cs="Verdana"/>
          <w:i w:val="0"/>
          <w:noProof w:val="0"/>
          <w:szCs w:val="20"/>
          <w:lang w:val="en-US" w:eastAsia="es-ES"/>
        </w:rPr>
        <w:t xml:space="preserve"> present</w:t>
      </w:r>
      <w:r w:rsidRPr="00610904">
        <w:rPr>
          <w:rFonts w:cs="Verdana"/>
          <w:i w:val="0"/>
          <w:noProof w:val="0"/>
          <w:szCs w:val="20"/>
          <w:lang w:val="en-US" w:eastAsia="es-ES"/>
        </w:rPr>
        <w:t xml:space="preserve">ed by the parties, as well as the answers to the questions posed by the </w:t>
      </w:r>
      <w:r w:rsidR="009F3D78" w:rsidRPr="00610904">
        <w:rPr>
          <w:rFonts w:cs="Verdana"/>
          <w:i w:val="0"/>
          <w:noProof w:val="0"/>
          <w:szCs w:val="20"/>
          <w:lang w:val="en-US" w:eastAsia="es-ES"/>
        </w:rPr>
        <w:t>judges of the Court</w:t>
      </w:r>
      <w:r w:rsidRPr="00610904">
        <w:rPr>
          <w:rFonts w:cs="Verdana"/>
          <w:i w:val="0"/>
          <w:noProof w:val="0"/>
          <w:szCs w:val="20"/>
          <w:lang w:val="en-US" w:eastAsia="es-ES"/>
        </w:rPr>
        <w:t xml:space="preserve"> during</w:t>
      </w:r>
      <w:r w:rsidR="00022F5E" w:rsidRPr="00610904">
        <w:rPr>
          <w:rFonts w:cs="Verdana"/>
          <w:i w:val="0"/>
          <w:noProof w:val="0"/>
          <w:szCs w:val="20"/>
          <w:lang w:val="en-US" w:eastAsia="es-ES"/>
        </w:rPr>
        <w:t xml:space="preserve"> </w:t>
      </w:r>
      <w:r w:rsidR="00AD687D" w:rsidRPr="00610904">
        <w:rPr>
          <w:rFonts w:cs="Verdana"/>
          <w:i w:val="0"/>
          <w:noProof w:val="0"/>
          <w:szCs w:val="20"/>
          <w:lang w:val="en-US" w:eastAsia="es-ES"/>
        </w:rPr>
        <w:t>the public hearing</w:t>
      </w:r>
      <w:r w:rsidR="00022F5E" w:rsidRPr="00610904">
        <w:rPr>
          <w:rFonts w:cs="Verdana"/>
          <w:i w:val="0"/>
          <w:noProof w:val="0"/>
          <w:szCs w:val="20"/>
          <w:lang w:val="en-US" w:eastAsia="es-ES"/>
        </w:rPr>
        <w:t xml:space="preserve">.   </w:t>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 xml:space="preserve">Supervening evidence and helpful evidence. </w:t>
      </w:r>
      <w:r w:rsidRPr="00610904">
        <w:rPr>
          <w:rFonts w:cs="Verdana"/>
          <w:i w:val="0"/>
          <w:noProof w:val="0"/>
          <w:szCs w:val="20"/>
          <w:lang w:val="en-US" w:eastAsia="es-ES"/>
        </w:rPr>
        <w:t>On</w:t>
      </w:r>
      <w:r w:rsidR="00022F5E" w:rsidRPr="00610904">
        <w:rPr>
          <w:rFonts w:cs="Verdana"/>
          <w:i w:val="0"/>
          <w:noProof w:val="0"/>
          <w:szCs w:val="20"/>
          <w:lang w:val="en-US" w:eastAsia="es-ES"/>
        </w:rPr>
        <w:t xml:space="preserve"> </w:t>
      </w:r>
      <w:r w:rsidR="008E668D" w:rsidRPr="00610904">
        <w:rPr>
          <w:rFonts w:cs="Verdana"/>
          <w:i w:val="0"/>
          <w:noProof w:val="0"/>
          <w:szCs w:val="20"/>
          <w:lang w:val="en-US" w:eastAsia="es-ES"/>
        </w:rPr>
        <w:t>July 14,</w:t>
      </w:r>
      <w:r w:rsidR="00022F5E" w:rsidRPr="00610904">
        <w:rPr>
          <w:rFonts w:cs="Verdana"/>
          <w:i w:val="0"/>
          <w:noProof w:val="0"/>
          <w:szCs w:val="20"/>
          <w:lang w:val="en-US" w:eastAsia="es-ES"/>
        </w:rPr>
        <w:t xml:space="preserve"> 2015</w:t>
      </w:r>
      <w:r w:rsidRPr="00610904">
        <w:rPr>
          <w:rFonts w:cs="Verdana"/>
          <w:i w:val="0"/>
          <w:noProof w:val="0"/>
          <w:szCs w:val="20"/>
          <w:lang w:val="en-US" w:eastAsia="es-ES"/>
        </w:rPr>
        <w: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the President</w:t>
      </w:r>
      <w:r w:rsidR="009F3D78" w:rsidRPr="00610904">
        <w:rPr>
          <w:rFonts w:cs="Verdana"/>
          <w:i w:val="0"/>
          <w:noProof w:val="0"/>
          <w:szCs w:val="20"/>
          <w:lang w:val="en-US" w:eastAsia="es-ES"/>
        </w:rPr>
        <w:t xml:space="preserve"> of the Court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asked the State to provide, as helpful evidence, the</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Manual for Blood Banks and </w:t>
      </w:r>
      <w:r w:rsidR="00DC1BDA" w:rsidRPr="00610904">
        <w:rPr>
          <w:rFonts w:cs="Verdana"/>
          <w:i w:val="0"/>
          <w:noProof w:val="0"/>
          <w:szCs w:val="20"/>
          <w:lang w:val="en-US" w:eastAsia="es-ES"/>
        </w:rPr>
        <w:t>Storage Places</w:t>
      </w:r>
      <w:r w:rsidRPr="00610904">
        <w:rPr>
          <w:rFonts w:cs="Verdana"/>
          <w:i w:val="0"/>
          <w:noProof w:val="0"/>
          <w:szCs w:val="20"/>
          <w:lang w:val="en-US" w:eastAsia="es-ES"/>
        </w:rPr>
        <w:t>, and Transfu</w:t>
      </w:r>
      <w:r w:rsidR="00DC1BDA" w:rsidRPr="00610904">
        <w:rPr>
          <w:rFonts w:cs="Verdana"/>
          <w:i w:val="0"/>
          <w:noProof w:val="0"/>
          <w:szCs w:val="20"/>
          <w:lang w:val="en-US" w:eastAsia="es-ES"/>
        </w:rPr>
        <w:t>sion Services”</w:t>
      </w:r>
      <w:r w:rsidRPr="00610904">
        <w:rPr>
          <w:rFonts w:cs="Verdana"/>
          <w:i w:val="0"/>
          <w:noProof w:val="0"/>
          <w:szCs w:val="20"/>
          <w:lang w:val="en-US" w:eastAsia="es-ES"/>
        </w:rPr>
        <w:t xml:space="preserve"> mentioned in a report issued by the prosecutor who intervened in the criminal proceedings in this case. This document was forwarded on July 20, </w:t>
      </w:r>
      <w:r w:rsidR="00022F5E" w:rsidRPr="00610904">
        <w:rPr>
          <w:rFonts w:cs="Verdana"/>
          <w:i w:val="0"/>
          <w:noProof w:val="0"/>
          <w:szCs w:val="20"/>
          <w:lang w:val="en-US" w:eastAsia="es-ES"/>
        </w:rPr>
        <w:t xml:space="preserve">2015. </w:t>
      </w:r>
    </w:p>
    <w:p w:rsidR="00022F5E" w:rsidRPr="00610904" w:rsidRDefault="00022F5E" w:rsidP="00610904">
      <w:pPr>
        <w:rPr>
          <w:rFonts w:cs="Verdana"/>
          <w:i/>
          <w:noProof w:val="0"/>
          <w:szCs w:val="20"/>
          <w:lang w:val="en-US" w:eastAsia="es-ES"/>
        </w:rPr>
      </w:pPr>
    </w:p>
    <w:p w:rsidR="00022F5E" w:rsidRPr="00610904" w:rsidRDefault="00795F5F"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t>Request for</w:t>
      </w:r>
      <w:r w:rsidR="00022F5E" w:rsidRPr="00610904">
        <w:rPr>
          <w:rFonts w:cs="Verdana"/>
          <w:noProof w:val="0"/>
          <w:szCs w:val="20"/>
          <w:lang w:val="en-US" w:eastAsia="es-ES"/>
        </w:rPr>
        <w:t xml:space="preserve"> </w:t>
      </w:r>
      <w:r w:rsidR="00A8072E" w:rsidRPr="00610904">
        <w:rPr>
          <w:rFonts w:cs="Verdana"/>
          <w:noProof w:val="0"/>
          <w:szCs w:val="20"/>
          <w:lang w:val="en-US" w:eastAsia="es-ES"/>
        </w:rPr>
        <w:t>provisional measures</w:t>
      </w:r>
      <w:r w:rsidRPr="00610904">
        <w:rPr>
          <w:rFonts w:cs="Verdana"/>
          <w:noProof w:val="0"/>
          <w:szCs w:val="20"/>
          <w:lang w:val="en-US" w:eastAsia="es-ES"/>
        </w:rPr>
        <w:t xml:space="preserve">. </w:t>
      </w:r>
      <w:r w:rsidRPr="00610904">
        <w:rPr>
          <w:rFonts w:cs="Verdana"/>
          <w:i w:val="0"/>
          <w:noProof w:val="0"/>
          <w:szCs w:val="20"/>
          <w:lang w:val="en-US" w:eastAsia="es-ES"/>
        </w:rPr>
        <w:t>On July 16,</w:t>
      </w:r>
      <w:r w:rsidR="00022F5E" w:rsidRPr="00610904">
        <w:rPr>
          <w:rFonts w:cs="Verdana"/>
          <w:i w:val="0"/>
          <w:noProof w:val="0"/>
          <w:szCs w:val="20"/>
          <w:lang w:val="en-US" w:eastAsia="es-ES"/>
        </w:rPr>
        <w:t xml:space="preserve"> 2015</w:t>
      </w:r>
      <w:r w:rsidRPr="00610904">
        <w:rPr>
          <w:rFonts w:cs="Verdana"/>
          <w:i w:val="0"/>
          <w:noProof w:val="0"/>
          <w:szCs w:val="20"/>
          <w:lang w:val="en-US" w:eastAsia="es-ES"/>
        </w:rPr>
        <w:t>,</w:t>
      </w:r>
      <w:r w:rsidR="00022F5E" w:rsidRPr="00610904">
        <w:rPr>
          <w:rFonts w:cs="Verdana"/>
          <w:i w:val="0"/>
          <w:noProof w:val="0"/>
          <w:szCs w:val="20"/>
          <w:lang w:val="en-US" w:eastAsia="es-ES"/>
        </w:rPr>
        <w:t xml:space="preserve"> </w:t>
      </w:r>
      <w:r w:rsidR="009F3D78" w:rsidRPr="00610904">
        <w:rPr>
          <w:rFonts w:cs="Verdana"/>
          <w:i w:val="0"/>
          <w:noProof w:val="0"/>
          <w:szCs w:val="20"/>
          <w:lang w:val="en-US" w:eastAsia="es-ES"/>
        </w:rPr>
        <w:t>the representatives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asked</w:t>
      </w:r>
      <w:r w:rsidR="00022F5E" w:rsidRPr="00610904">
        <w:rPr>
          <w:rFonts w:cs="Verdana"/>
          <w:i w:val="0"/>
          <w:noProof w:val="0"/>
          <w:szCs w:val="20"/>
          <w:lang w:val="en-US" w:eastAsia="es-ES"/>
        </w:rPr>
        <w:t xml:space="preserve"> </w:t>
      </w:r>
      <w:r w:rsidR="009F3D78" w:rsidRPr="00610904">
        <w:rPr>
          <w:rFonts w:cs="Verdana"/>
          <w:i w:val="0"/>
          <w:noProof w:val="0"/>
          <w:szCs w:val="20"/>
          <w:lang w:val="en-US" w:eastAsia="es-ES"/>
        </w:rPr>
        <w:t>the Court</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to order the State to adopt </w:t>
      </w:r>
      <w:r w:rsidR="00A8072E" w:rsidRPr="00610904">
        <w:rPr>
          <w:rFonts w:cs="Verdana"/>
          <w:i w:val="0"/>
          <w:noProof w:val="0"/>
          <w:szCs w:val="20"/>
          <w:lang w:val="en-US" w:eastAsia="es-ES"/>
        </w:rPr>
        <w:t>provisional measures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 xml:space="preserve">to ensure immediate health care for </w:t>
      </w:r>
      <w:r w:rsidR="00022F5E" w:rsidRPr="00610904">
        <w:rPr>
          <w:rFonts w:cs="Verdana"/>
          <w:i w:val="0"/>
          <w:noProof w:val="0"/>
          <w:szCs w:val="20"/>
          <w:lang w:val="en-US" w:eastAsia="es-ES"/>
        </w:rPr>
        <w:t>Talía</w:t>
      </w:r>
      <w:r w:rsidRPr="00610904">
        <w:rPr>
          <w:rFonts w:cs="Verdana"/>
          <w:i w:val="0"/>
          <w:noProof w:val="0"/>
          <w:szCs w:val="20"/>
          <w:lang w:val="en-US" w:eastAsia="es-ES"/>
        </w:rPr>
        <w:t xml:space="preserve"> Gonzales Lluy, including the possibility of having recourse to private health services and being able to c</w:t>
      </w:r>
      <w:r w:rsidR="00562663" w:rsidRPr="00610904">
        <w:rPr>
          <w:rFonts w:cs="Verdana"/>
          <w:i w:val="0"/>
          <w:noProof w:val="0"/>
          <w:szCs w:val="20"/>
          <w:lang w:val="en-US" w:eastAsia="es-ES"/>
        </w:rPr>
        <w:t>ount on the appropriate medication</w:t>
      </w:r>
      <w:r w:rsidRPr="00610904">
        <w:rPr>
          <w:rFonts w:cs="Verdana"/>
          <w:i w:val="0"/>
          <w:noProof w:val="0"/>
          <w:szCs w:val="20"/>
          <w:lang w:val="en-US" w:eastAsia="es-ES"/>
        </w:rPr>
        <w:t xml:space="preserve"> for her health, because the state of her health had worsened. On July 23,</w:t>
      </w:r>
      <w:r w:rsidR="00022F5E" w:rsidRPr="00610904">
        <w:rPr>
          <w:rFonts w:cs="Verdana"/>
          <w:i w:val="0"/>
          <w:noProof w:val="0"/>
          <w:szCs w:val="20"/>
          <w:lang w:val="en-US" w:eastAsia="es-ES"/>
        </w:rPr>
        <w:t xml:space="preserve"> 2015</w:t>
      </w:r>
      <w:r w:rsidRPr="00610904">
        <w:rPr>
          <w:rFonts w:cs="Verdana"/>
          <w:i w:val="0"/>
          <w:noProof w:val="0"/>
          <w:szCs w:val="20"/>
          <w:lang w:val="en-US" w:eastAsia="es-ES"/>
        </w:rPr>
        <w:t>,</w:t>
      </w:r>
      <w:r w:rsidR="00022F5E" w:rsidRPr="00610904">
        <w:rPr>
          <w:rFonts w:cs="Verdana"/>
          <w:i w:val="0"/>
          <w:noProof w:val="0"/>
          <w:szCs w:val="20"/>
          <w:lang w:val="en-US" w:eastAsia="es-ES"/>
        </w:rPr>
        <w:t xml:space="preserve"> </w:t>
      </w:r>
      <w:r w:rsidR="009F3D78" w:rsidRPr="00610904">
        <w:rPr>
          <w:rFonts w:cs="Verdana"/>
          <w:i w:val="0"/>
          <w:noProof w:val="0"/>
          <w:szCs w:val="20"/>
          <w:lang w:val="en-US" w:eastAsia="es-ES"/>
        </w:rPr>
        <w:t xml:space="preserve">the State and </w:t>
      </w:r>
      <w:r w:rsidR="002F5BBA" w:rsidRPr="00610904">
        <w:rPr>
          <w:rFonts w:cs="Verdana"/>
          <w:i w:val="0"/>
          <w:noProof w:val="0"/>
          <w:szCs w:val="20"/>
          <w:lang w:val="en-US" w:eastAsia="es-ES"/>
        </w:rPr>
        <w:t>the Commission</w:t>
      </w:r>
      <w:r w:rsidR="00022F5E" w:rsidRPr="00610904">
        <w:rPr>
          <w:rFonts w:cs="Verdana"/>
          <w:i w:val="0"/>
          <w:noProof w:val="0"/>
          <w:szCs w:val="20"/>
          <w:lang w:val="en-US" w:eastAsia="es-ES"/>
        </w:rPr>
        <w:t xml:space="preserve"> present</w:t>
      </w:r>
      <w:r w:rsidRPr="00610904">
        <w:rPr>
          <w:rFonts w:cs="Verdana"/>
          <w:i w:val="0"/>
          <w:noProof w:val="0"/>
          <w:szCs w:val="20"/>
          <w:lang w:val="en-US" w:eastAsia="es-ES"/>
        </w:rPr>
        <w:t>ed their observations</w:t>
      </w:r>
      <w:r w:rsidR="00022F5E" w:rsidRPr="00610904">
        <w:rPr>
          <w:rFonts w:cs="Verdana"/>
          <w:i w:val="0"/>
          <w:noProof w:val="0"/>
          <w:szCs w:val="20"/>
          <w:lang w:val="en-US" w:eastAsia="es-ES"/>
        </w:rPr>
        <w:t xml:space="preserve">. </w:t>
      </w:r>
      <w:r w:rsidRPr="00610904">
        <w:rPr>
          <w:rFonts w:cs="Verdana"/>
          <w:i w:val="0"/>
          <w:noProof w:val="0"/>
          <w:szCs w:val="20"/>
          <w:lang w:val="en-US" w:eastAsia="es-ES"/>
        </w:rPr>
        <w:t>On July 28,</w:t>
      </w:r>
      <w:r w:rsidR="009F3D78" w:rsidRPr="00610904">
        <w:rPr>
          <w:rFonts w:cs="Verdana"/>
          <w:i w:val="0"/>
          <w:noProof w:val="0"/>
          <w:szCs w:val="20"/>
          <w:lang w:val="en-US" w:eastAsia="es-ES"/>
        </w:rPr>
        <w:t xml:space="preserve"> and </w:t>
      </w:r>
      <w:r w:rsidRPr="00610904">
        <w:rPr>
          <w:rFonts w:cs="Verdana"/>
          <w:i w:val="0"/>
          <w:noProof w:val="0"/>
          <w:szCs w:val="20"/>
          <w:lang w:val="en-US" w:eastAsia="es-ES"/>
        </w:rPr>
        <w:t xml:space="preserve">on August </w:t>
      </w:r>
      <w:r w:rsidR="00022F5E" w:rsidRPr="00610904">
        <w:rPr>
          <w:rFonts w:cs="Verdana"/>
          <w:i w:val="0"/>
          <w:noProof w:val="0"/>
          <w:szCs w:val="20"/>
          <w:lang w:val="en-US" w:eastAsia="es-ES"/>
        </w:rPr>
        <w:t>5, 12, 27</w:t>
      </w:r>
      <w:r w:rsidR="009F3D78" w:rsidRPr="00610904">
        <w:rPr>
          <w:rFonts w:cs="Verdana"/>
          <w:i w:val="0"/>
          <w:noProof w:val="0"/>
          <w:szCs w:val="20"/>
          <w:lang w:val="en-US" w:eastAsia="es-ES"/>
        </w:rPr>
        <w:t xml:space="preserve"> and </w:t>
      </w:r>
      <w:r w:rsidRPr="00610904">
        <w:rPr>
          <w:rFonts w:cs="Verdana"/>
          <w:i w:val="0"/>
          <w:noProof w:val="0"/>
          <w:szCs w:val="20"/>
          <w:lang w:val="en-US" w:eastAsia="es-ES"/>
        </w:rPr>
        <w:t xml:space="preserve">31, </w:t>
      </w:r>
      <w:r w:rsidR="00022F5E" w:rsidRPr="00610904">
        <w:rPr>
          <w:rFonts w:cs="Verdana"/>
          <w:i w:val="0"/>
          <w:noProof w:val="0"/>
          <w:szCs w:val="20"/>
          <w:lang w:val="en-US" w:eastAsia="es-ES"/>
        </w:rPr>
        <w:t>2015</w:t>
      </w:r>
      <w:r w:rsidRPr="00610904">
        <w:rPr>
          <w:rFonts w:cs="Verdana"/>
          <w:i w:val="0"/>
          <w:noProof w:val="0"/>
          <w:szCs w:val="20"/>
          <w:lang w:val="en-US" w:eastAsia="es-ES"/>
        </w:rPr>
        <w:t xml:space="preserve">, the parties presented additional information in relation to this request for </w:t>
      </w:r>
      <w:r w:rsidR="00A8072E" w:rsidRPr="00610904">
        <w:rPr>
          <w:rFonts w:cs="Verdana"/>
          <w:i w:val="0"/>
          <w:noProof w:val="0"/>
          <w:szCs w:val="20"/>
          <w:lang w:val="en-US" w:eastAsia="es-ES"/>
        </w:rPr>
        <w:t>provisional measures</w:t>
      </w:r>
      <w:r w:rsidR="00022F5E" w:rsidRPr="00610904">
        <w:rPr>
          <w:rFonts w:cs="Verdana"/>
          <w:i w:val="0"/>
          <w:noProof w:val="0"/>
          <w:szCs w:val="20"/>
          <w:lang w:val="en-US" w:eastAsia="es-ES"/>
        </w:rPr>
        <w:t>.</w:t>
      </w:r>
      <w:r w:rsidR="00022F5E" w:rsidRPr="00610904">
        <w:rPr>
          <w:rFonts w:cs="Verdana"/>
          <w:b/>
          <w:i w:val="0"/>
          <w:noProof w:val="0"/>
          <w:szCs w:val="20"/>
          <w:lang w:val="en-US" w:eastAsia="es-ES"/>
        </w:rPr>
        <w:t xml:space="preserve"> </w:t>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022F5E" w:rsidP="00610904">
      <w:pPr>
        <w:pStyle w:val="Estilo1"/>
        <w:numPr>
          <w:ilvl w:val="0"/>
          <w:numId w:val="1"/>
        </w:numPr>
        <w:tabs>
          <w:tab w:val="left" w:pos="567"/>
          <w:tab w:val="left" w:pos="1134"/>
        </w:tabs>
        <w:autoSpaceDE w:val="0"/>
        <w:autoSpaceDN w:val="0"/>
        <w:adjustRightInd w:val="0"/>
        <w:spacing w:after="0"/>
        <w:ind w:right="0"/>
        <w:rPr>
          <w:rFonts w:cs="Verdana"/>
          <w:i w:val="0"/>
          <w:noProof w:val="0"/>
          <w:szCs w:val="20"/>
          <w:lang w:val="en-US" w:eastAsia="es-ES"/>
        </w:rPr>
      </w:pPr>
      <w:r w:rsidRPr="00610904">
        <w:rPr>
          <w:rFonts w:cs="Verdana"/>
          <w:noProof w:val="0"/>
          <w:szCs w:val="20"/>
          <w:lang w:val="en-US" w:eastAsia="es-ES"/>
        </w:rPr>
        <w:lastRenderedPageBreak/>
        <w:t>Delibera</w:t>
      </w:r>
      <w:r w:rsidR="00795F5F" w:rsidRPr="00610904">
        <w:rPr>
          <w:rFonts w:cs="Verdana"/>
          <w:noProof w:val="0"/>
          <w:szCs w:val="20"/>
          <w:lang w:val="en-US" w:eastAsia="es-ES"/>
        </w:rPr>
        <w:t xml:space="preserve">tion of the case. </w:t>
      </w:r>
      <w:r w:rsidR="009F3D78" w:rsidRPr="00610904">
        <w:rPr>
          <w:rFonts w:cs="Verdana"/>
          <w:i w:val="0"/>
          <w:noProof w:val="0"/>
          <w:szCs w:val="20"/>
          <w:lang w:val="en-US" w:eastAsia="es-ES"/>
        </w:rPr>
        <w:t>The Court</w:t>
      </w:r>
      <w:r w:rsidRPr="00610904">
        <w:rPr>
          <w:rFonts w:cs="Verdana"/>
          <w:i w:val="0"/>
          <w:noProof w:val="0"/>
          <w:szCs w:val="20"/>
          <w:lang w:val="en-US" w:eastAsia="es-ES"/>
        </w:rPr>
        <w:t xml:space="preserve"> ini</w:t>
      </w:r>
      <w:r w:rsidR="00795F5F" w:rsidRPr="00610904">
        <w:rPr>
          <w:rFonts w:cs="Verdana"/>
          <w:i w:val="0"/>
          <w:noProof w:val="0"/>
          <w:szCs w:val="20"/>
          <w:lang w:val="en-US" w:eastAsia="es-ES"/>
        </w:rPr>
        <w:t xml:space="preserve">tiated the deliberation of this Judgment on August 26, </w:t>
      </w:r>
      <w:r w:rsidRPr="00610904">
        <w:rPr>
          <w:rFonts w:cs="Verdana"/>
          <w:i w:val="0"/>
          <w:noProof w:val="0"/>
          <w:szCs w:val="20"/>
          <w:lang w:val="en-US" w:eastAsia="es-ES"/>
        </w:rPr>
        <w:t>2015.</w:t>
      </w:r>
    </w:p>
    <w:p w:rsidR="00022F5E" w:rsidRPr="00610904" w:rsidRDefault="00022F5E" w:rsidP="00610904">
      <w:pPr>
        <w:pStyle w:val="Estilo1"/>
        <w:tabs>
          <w:tab w:val="left" w:pos="567"/>
          <w:tab w:val="left" w:pos="1134"/>
        </w:tabs>
        <w:autoSpaceDE w:val="0"/>
        <w:autoSpaceDN w:val="0"/>
        <w:adjustRightInd w:val="0"/>
        <w:spacing w:after="0"/>
        <w:ind w:left="0" w:right="0" w:firstLine="0"/>
        <w:rPr>
          <w:rFonts w:cs="Verdana"/>
          <w:i w:val="0"/>
          <w:noProof w:val="0"/>
          <w:szCs w:val="20"/>
          <w:lang w:val="en-US" w:eastAsia="es-ES"/>
        </w:rPr>
      </w:pPr>
    </w:p>
    <w:p w:rsidR="00022F5E" w:rsidRPr="00610904" w:rsidRDefault="00022F5E" w:rsidP="00610904">
      <w:pPr>
        <w:pStyle w:val="Heading1"/>
        <w:spacing w:before="0" w:after="0"/>
        <w:rPr>
          <w:caps w:val="0"/>
          <w:noProof w:val="0"/>
          <w:lang w:val="en-US"/>
        </w:rPr>
      </w:pPr>
      <w:bookmarkStart w:id="23" w:name="_Toc404770056"/>
      <w:bookmarkStart w:id="24" w:name="_Toc416164786"/>
      <w:bookmarkStart w:id="25" w:name="_Toc443399073"/>
      <w:bookmarkStart w:id="26" w:name="_Toc315133576"/>
      <w:bookmarkStart w:id="27" w:name="_Toc316919761"/>
      <w:bookmarkStart w:id="28" w:name="_Toc329703866"/>
      <w:bookmarkStart w:id="29" w:name="_Toc336638903"/>
      <w:bookmarkStart w:id="30" w:name="_Toc359314423"/>
      <w:bookmarkStart w:id="31" w:name="_Toc361671573"/>
      <w:bookmarkStart w:id="32" w:name="_Toc361671993"/>
      <w:bookmarkStart w:id="33" w:name="_Toc361732790"/>
      <w:bookmarkStart w:id="34" w:name="_Toc361732833"/>
      <w:bookmarkStart w:id="35" w:name="_Toc362456864"/>
      <w:bookmarkStart w:id="36" w:name="_Toc365021393"/>
      <w:bookmarkStart w:id="37" w:name="_Toc369076779"/>
      <w:bookmarkStart w:id="38" w:name="_Toc369989363"/>
      <w:bookmarkStart w:id="39" w:name="_Toc369989450"/>
      <w:bookmarkStart w:id="40" w:name="_Toc369989731"/>
      <w:r w:rsidRPr="00610904">
        <w:rPr>
          <w:caps w:val="0"/>
          <w:noProof w:val="0"/>
          <w:lang w:val="en-US"/>
        </w:rPr>
        <w:t>III</w:t>
      </w:r>
      <w:r w:rsidRPr="00610904">
        <w:rPr>
          <w:caps w:val="0"/>
          <w:noProof w:val="0"/>
          <w:lang w:val="en-US"/>
        </w:rPr>
        <w:br/>
      </w:r>
      <w:r w:rsidR="00A8072E" w:rsidRPr="00610904">
        <w:rPr>
          <w:caps w:val="0"/>
          <w:noProof w:val="0"/>
          <w:lang w:val="en-US"/>
        </w:rPr>
        <w:t>JURISDICTION</w:t>
      </w:r>
      <w:bookmarkEnd w:id="23"/>
      <w:bookmarkEnd w:id="24"/>
      <w:bookmarkEnd w:id="25"/>
    </w:p>
    <w:p w:rsidR="00022F5E" w:rsidRPr="00610904" w:rsidRDefault="00022F5E" w:rsidP="00610904">
      <w:pPr>
        <w:rPr>
          <w:noProof w:val="0"/>
          <w:lang w:val="en-US" w:eastAsia="es-ES"/>
        </w:rPr>
      </w:pPr>
    </w:p>
    <w:p w:rsidR="00022F5E" w:rsidRPr="00610904" w:rsidRDefault="009F3D78" w:rsidP="00610904">
      <w:pPr>
        <w:numPr>
          <w:ilvl w:val="0"/>
          <w:numId w:val="1"/>
        </w:numPr>
        <w:rPr>
          <w:noProof w:val="0"/>
          <w:lang w:val="en-US"/>
        </w:rPr>
      </w:pPr>
      <w:r w:rsidRPr="00610904">
        <w:rPr>
          <w:noProof w:val="0"/>
          <w:lang w:val="en-US"/>
        </w:rPr>
        <w:t>The Court</w:t>
      </w:r>
      <w:r w:rsidR="00022F5E" w:rsidRPr="00610904">
        <w:rPr>
          <w:noProof w:val="0"/>
          <w:lang w:val="en-US"/>
        </w:rPr>
        <w:t xml:space="preserve"> </w:t>
      </w:r>
      <w:r w:rsidR="00795F5F" w:rsidRPr="00610904">
        <w:rPr>
          <w:noProof w:val="0"/>
          <w:lang w:val="en-US"/>
        </w:rPr>
        <w:t xml:space="preserve">has jurisdiction to hear this case pursuant to </w:t>
      </w:r>
      <w:r w:rsidR="006E502B" w:rsidRPr="00610904">
        <w:rPr>
          <w:noProof w:val="0"/>
          <w:lang w:val="en-US"/>
        </w:rPr>
        <w:t>Article</w:t>
      </w:r>
      <w:r w:rsidR="00022F5E" w:rsidRPr="00610904">
        <w:rPr>
          <w:noProof w:val="0"/>
          <w:lang w:val="en-US"/>
        </w:rPr>
        <w:t xml:space="preserve"> </w:t>
      </w:r>
      <w:r w:rsidRPr="00610904">
        <w:rPr>
          <w:noProof w:val="0"/>
          <w:lang w:val="en-US"/>
        </w:rPr>
        <w:t>62(3) of the Convention</w:t>
      </w:r>
      <w:r w:rsidR="00022F5E" w:rsidRPr="00610904">
        <w:rPr>
          <w:noProof w:val="0"/>
          <w:lang w:val="en-US"/>
        </w:rPr>
        <w:t xml:space="preserve">, </w:t>
      </w:r>
      <w:r w:rsidR="00795F5F" w:rsidRPr="00610904">
        <w:rPr>
          <w:noProof w:val="0"/>
          <w:lang w:val="en-US"/>
        </w:rPr>
        <w:t xml:space="preserve">because </w:t>
      </w:r>
      <w:r w:rsidR="00A8072E" w:rsidRPr="00610904">
        <w:rPr>
          <w:noProof w:val="0"/>
          <w:lang w:val="en-US"/>
        </w:rPr>
        <w:t>Ecuador</w:t>
      </w:r>
      <w:r w:rsidR="00022F5E" w:rsidRPr="00610904">
        <w:rPr>
          <w:noProof w:val="0"/>
          <w:lang w:val="en-US"/>
        </w:rPr>
        <w:t xml:space="preserve"> </w:t>
      </w:r>
      <w:r w:rsidR="00795F5F" w:rsidRPr="00610904">
        <w:rPr>
          <w:noProof w:val="0"/>
          <w:lang w:val="en-US"/>
        </w:rPr>
        <w:t xml:space="preserve">has been a State Party to </w:t>
      </w:r>
      <w:r w:rsidRPr="00610904">
        <w:rPr>
          <w:noProof w:val="0"/>
          <w:lang w:val="en-US"/>
        </w:rPr>
        <w:t>the American Convention</w:t>
      </w:r>
      <w:r w:rsidR="00022F5E" w:rsidRPr="00610904">
        <w:rPr>
          <w:noProof w:val="0"/>
          <w:lang w:val="en-US"/>
        </w:rPr>
        <w:t xml:space="preserve"> </w:t>
      </w:r>
      <w:r w:rsidR="00795F5F" w:rsidRPr="00610904">
        <w:rPr>
          <w:noProof w:val="0"/>
          <w:lang w:val="en-US"/>
        </w:rPr>
        <w:t>since December</w:t>
      </w:r>
      <w:r w:rsidR="00022F5E" w:rsidRPr="00610904">
        <w:rPr>
          <w:noProof w:val="0"/>
          <w:lang w:val="en-US"/>
        </w:rPr>
        <w:t xml:space="preserve"> </w:t>
      </w:r>
      <w:r w:rsidR="00795F5F" w:rsidRPr="00610904">
        <w:rPr>
          <w:noProof w:val="0"/>
          <w:lang w:val="en-US"/>
        </w:rPr>
        <w:t xml:space="preserve">28, </w:t>
      </w:r>
      <w:r w:rsidR="00022F5E" w:rsidRPr="00610904">
        <w:rPr>
          <w:noProof w:val="0"/>
          <w:lang w:val="en-US"/>
        </w:rPr>
        <w:t>1977</w:t>
      </w:r>
      <w:r w:rsidR="00795F5F" w:rsidRPr="00610904">
        <w:rPr>
          <w:noProof w:val="0"/>
          <w:lang w:val="en-US"/>
        </w:rPr>
        <w:t>, and accepted the contentious jurisdiction</w:t>
      </w:r>
      <w:r w:rsidRPr="00610904">
        <w:rPr>
          <w:noProof w:val="0"/>
          <w:lang w:val="en-US"/>
        </w:rPr>
        <w:t xml:space="preserve"> of the Court</w:t>
      </w:r>
      <w:r w:rsidR="00022F5E" w:rsidRPr="00610904">
        <w:rPr>
          <w:noProof w:val="0"/>
          <w:lang w:val="en-US"/>
        </w:rPr>
        <w:t xml:space="preserve"> </w:t>
      </w:r>
      <w:r w:rsidR="00795F5F" w:rsidRPr="00610904">
        <w:rPr>
          <w:noProof w:val="0"/>
          <w:lang w:val="en-US"/>
        </w:rPr>
        <w:t>on July 24,</w:t>
      </w:r>
      <w:r w:rsidR="00022F5E" w:rsidRPr="00610904">
        <w:rPr>
          <w:noProof w:val="0"/>
          <w:lang w:val="en-US"/>
        </w:rPr>
        <w:t xml:space="preserve"> 1984. </w:t>
      </w:r>
    </w:p>
    <w:p w:rsidR="00022F5E" w:rsidRPr="00610904" w:rsidRDefault="00022F5E" w:rsidP="00610904">
      <w:pPr>
        <w:rPr>
          <w:noProof w:val="0"/>
          <w:lang w:val="en-US"/>
        </w:rPr>
      </w:pPr>
    </w:p>
    <w:p w:rsidR="00022F5E" w:rsidRPr="00610904" w:rsidRDefault="00022F5E" w:rsidP="00610904">
      <w:pPr>
        <w:pStyle w:val="Heading1"/>
        <w:spacing w:before="0" w:after="0"/>
        <w:rPr>
          <w:caps w:val="0"/>
          <w:noProof w:val="0"/>
          <w:lang w:val="en-US"/>
        </w:rPr>
      </w:pPr>
      <w:bookmarkStart w:id="41" w:name="_Toc416164787"/>
      <w:bookmarkStart w:id="42" w:name="_Toc443399074"/>
      <w:r w:rsidRPr="00610904">
        <w:rPr>
          <w:caps w:val="0"/>
          <w:noProof w:val="0"/>
          <w:lang w:val="en-US"/>
        </w:rPr>
        <w:t>IV</w:t>
      </w:r>
      <w:r w:rsidRPr="00610904">
        <w:rPr>
          <w:caps w:val="0"/>
          <w:noProof w:val="0"/>
          <w:lang w:val="en-US"/>
        </w:rPr>
        <w:br/>
      </w:r>
      <w:r w:rsidR="00A8072E" w:rsidRPr="00610904">
        <w:rPr>
          <w:caps w:val="0"/>
          <w:noProof w:val="0"/>
          <w:lang w:val="en-US"/>
        </w:rPr>
        <w:t>PRELIMINARY OBJECTION</w:t>
      </w:r>
      <w:bookmarkEnd w:id="41"/>
      <w:bookmarkEnd w:id="42"/>
    </w:p>
    <w:p w:rsidR="00022F5E" w:rsidRPr="00610904" w:rsidRDefault="00022F5E" w:rsidP="00610904">
      <w:pPr>
        <w:rPr>
          <w:noProof w:val="0"/>
          <w:lang w:val="en-US" w:eastAsia="es-ES"/>
        </w:rPr>
      </w:pPr>
    </w:p>
    <w:p w:rsidR="00022F5E" w:rsidRPr="00610904" w:rsidRDefault="00795F5F" w:rsidP="00610904">
      <w:pPr>
        <w:numPr>
          <w:ilvl w:val="0"/>
          <w:numId w:val="1"/>
        </w:numPr>
        <w:rPr>
          <w:noProof w:val="0"/>
          <w:lang w:val="en-US" w:eastAsia="es-ES"/>
        </w:rPr>
      </w:pPr>
      <w:r w:rsidRPr="00610904">
        <w:rPr>
          <w:noProof w:val="0"/>
          <w:lang w:val="en-US"/>
        </w:rPr>
        <w:t>In its</w:t>
      </w:r>
      <w:r w:rsidR="00022F5E" w:rsidRPr="00610904">
        <w:rPr>
          <w:noProof w:val="0"/>
          <w:lang w:val="en-US"/>
        </w:rPr>
        <w:t xml:space="preserve"> </w:t>
      </w:r>
      <w:r w:rsidR="00A8072E" w:rsidRPr="00610904">
        <w:rPr>
          <w:noProof w:val="0"/>
          <w:lang w:val="en-US"/>
        </w:rPr>
        <w:t>answering brief</w:t>
      </w:r>
      <w:r w:rsidRPr="00610904">
        <w:rPr>
          <w:noProof w:val="0"/>
          <w:lang w:val="en-US"/>
        </w:rPr>
        <w:t>,</w:t>
      </w:r>
      <w:r w:rsidR="00A8072E" w:rsidRPr="00610904">
        <w:rPr>
          <w:noProof w:val="0"/>
          <w:lang w:val="en-US"/>
        </w:rPr>
        <w:t xml:space="preserve"> Ecuador</w:t>
      </w:r>
      <w:r w:rsidRPr="00610904">
        <w:rPr>
          <w:noProof w:val="0"/>
          <w:lang w:val="en-US"/>
        </w:rPr>
        <w:t xml:space="preserve"> presented two arguments, which it called </w:t>
      </w:r>
      <w:r w:rsidR="00A8072E" w:rsidRPr="00610904">
        <w:rPr>
          <w:noProof w:val="0"/>
          <w:lang w:val="en-US"/>
        </w:rPr>
        <w:t>preliminary objections</w:t>
      </w:r>
      <w:r w:rsidR="00022F5E" w:rsidRPr="00610904">
        <w:rPr>
          <w:noProof w:val="0"/>
          <w:lang w:val="en-US"/>
        </w:rPr>
        <w:t xml:space="preserve">, </w:t>
      </w:r>
      <w:r w:rsidRPr="00610904">
        <w:rPr>
          <w:noProof w:val="0"/>
          <w:lang w:val="en-US"/>
        </w:rPr>
        <w:t>with regard to</w:t>
      </w:r>
      <w:r w:rsidR="00022F5E" w:rsidRPr="00610904">
        <w:rPr>
          <w:noProof w:val="0"/>
          <w:lang w:val="en-US"/>
        </w:rPr>
        <w:t xml:space="preserve">: </w:t>
      </w:r>
      <w:r w:rsidRPr="00610904">
        <w:rPr>
          <w:noProof w:val="0"/>
          <w:lang w:val="en-US"/>
        </w:rPr>
        <w:t>(</w:t>
      </w:r>
      <w:r w:rsidR="00022F5E" w:rsidRPr="00610904">
        <w:rPr>
          <w:noProof w:val="0"/>
          <w:lang w:val="en-US"/>
        </w:rPr>
        <w:t xml:space="preserve">i) </w:t>
      </w:r>
      <w:r w:rsidRPr="00610904">
        <w:rPr>
          <w:noProof w:val="0"/>
          <w:lang w:val="en-US"/>
        </w:rPr>
        <w:t xml:space="preserve">the alleged partial lack of competence of the Court to </w:t>
      </w:r>
      <w:r w:rsidR="0051351F">
        <w:rPr>
          <w:noProof w:val="0"/>
          <w:lang w:val="en-US"/>
        </w:rPr>
        <w:t>examine</w:t>
      </w:r>
      <w:r w:rsidRPr="00610904">
        <w:rPr>
          <w:noProof w:val="0"/>
          <w:lang w:val="en-US"/>
        </w:rPr>
        <w:t xml:space="preserve"> facts </w:t>
      </w:r>
      <w:r w:rsidR="0051351F">
        <w:rPr>
          <w:noProof w:val="0"/>
          <w:lang w:val="en-US"/>
        </w:rPr>
        <w:t>that exceed</w:t>
      </w:r>
      <w:r w:rsidRPr="00610904">
        <w:rPr>
          <w:noProof w:val="0"/>
          <w:lang w:val="en-US"/>
        </w:rPr>
        <w:t>e</w:t>
      </w:r>
      <w:r w:rsidR="0051351F">
        <w:rPr>
          <w:noProof w:val="0"/>
          <w:lang w:val="en-US"/>
        </w:rPr>
        <w:t>d</w:t>
      </w:r>
      <w:r w:rsidRPr="00610904">
        <w:rPr>
          <w:noProof w:val="0"/>
          <w:lang w:val="en-US"/>
        </w:rPr>
        <w:t xml:space="preserve"> the factual fram</w:t>
      </w:r>
      <w:r w:rsidR="00562663" w:rsidRPr="00610904">
        <w:rPr>
          <w:noProof w:val="0"/>
          <w:lang w:val="en-US"/>
        </w:rPr>
        <w:t>e</w:t>
      </w:r>
      <w:r w:rsidRPr="00610904">
        <w:rPr>
          <w:noProof w:val="0"/>
          <w:lang w:val="en-US"/>
        </w:rPr>
        <w:t>work</w:t>
      </w:r>
      <w:r w:rsidR="00562663" w:rsidRPr="00610904">
        <w:rPr>
          <w:noProof w:val="0"/>
          <w:lang w:val="en-US"/>
        </w:rPr>
        <w:t>,</w:t>
      </w:r>
      <w:r w:rsidRPr="00610904">
        <w:rPr>
          <w:noProof w:val="0"/>
          <w:lang w:val="en-US"/>
        </w:rPr>
        <w:t xml:space="preserve"> and presumed violations of rights</w:t>
      </w:r>
      <w:r w:rsidR="00022F5E" w:rsidRPr="00610904">
        <w:rPr>
          <w:noProof w:val="0"/>
          <w:lang w:val="en-US"/>
        </w:rPr>
        <w:t xml:space="preserve"> </w:t>
      </w:r>
      <w:r w:rsidR="00A8072E" w:rsidRPr="00610904">
        <w:rPr>
          <w:noProof w:val="0"/>
          <w:lang w:val="en-US"/>
        </w:rPr>
        <w:t>other than those established by the Commission in its reports</w:t>
      </w:r>
      <w:r w:rsidRPr="00610904">
        <w:rPr>
          <w:noProof w:val="0"/>
          <w:lang w:val="en-US"/>
        </w:rPr>
        <w:t>,</w:t>
      </w:r>
      <w:r w:rsidR="009F3D78" w:rsidRPr="00610904">
        <w:rPr>
          <w:noProof w:val="0"/>
          <w:lang w:val="en-US"/>
        </w:rPr>
        <w:t xml:space="preserve"> and </w:t>
      </w:r>
      <w:r w:rsidRPr="00610904">
        <w:rPr>
          <w:noProof w:val="0"/>
          <w:lang w:val="en-US"/>
        </w:rPr>
        <w:t>(</w:t>
      </w:r>
      <w:r w:rsidR="00022F5E" w:rsidRPr="00610904">
        <w:rPr>
          <w:noProof w:val="0"/>
          <w:lang w:val="en-US"/>
        </w:rPr>
        <w:t xml:space="preserve">ii) </w:t>
      </w:r>
      <w:r w:rsidRPr="00610904">
        <w:rPr>
          <w:noProof w:val="0"/>
          <w:lang w:val="en-US"/>
        </w:rPr>
        <w:t xml:space="preserve">the alleged failure to exhaust domestic remedies. </w:t>
      </w:r>
    </w:p>
    <w:p w:rsidR="00022F5E" w:rsidRPr="00610904" w:rsidRDefault="00022F5E" w:rsidP="00610904">
      <w:pPr>
        <w:rPr>
          <w:noProof w:val="0"/>
          <w:lang w:val="en-US" w:eastAsia="es-ES"/>
        </w:rPr>
      </w:pPr>
    </w:p>
    <w:p w:rsidR="00022F5E" w:rsidRPr="00610904" w:rsidRDefault="009F3D78" w:rsidP="00610904">
      <w:pPr>
        <w:numPr>
          <w:ilvl w:val="0"/>
          <w:numId w:val="1"/>
        </w:numPr>
        <w:rPr>
          <w:noProof w:val="0"/>
          <w:lang w:val="en-US" w:eastAsia="es-ES"/>
        </w:rPr>
      </w:pPr>
      <w:r w:rsidRPr="00610904">
        <w:rPr>
          <w:noProof w:val="0"/>
          <w:lang w:val="en-US" w:eastAsia="es-ES"/>
        </w:rPr>
        <w:t>The Court</w:t>
      </w:r>
      <w:r w:rsidR="00022F5E" w:rsidRPr="00610904">
        <w:rPr>
          <w:noProof w:val="0"/>
          <w:lang w:val="en-US" w:eastAsia="es-ES"/>
        </w:rPr>
        <w:t xml:space="preserve"> </w:t>
      </w:r>
      <w:r w:rsidR="001936B3" w:rsidRPr="00610904">
        <w:rPr>
          <w:noProof w:val="0"/>
          <w:lang w:val="en-US" w:eastAsia="es-ES"/>
        </w:rPr>
        <w:t xml:space="preserve">will consider as </w:t>
      </w:r>
      <w:r w:rsidR="00A8072E" w:rsidRPr="00610904">
        <w:rPr>
          <w:noProof w:val="0"/>
          <w:lang w:val="en-US" w:eastAsia="es-ES"/>
        </w:rPr>
        <w:t>preliminary objections</w:t>
      </w:r>
      <w:r w:rsidR="00022F5E" w:rsidRPr="00610904">
        <w:rPr>
          <w:noProof w:val="0"/>
          <w:lang w:val="en-US" w:eastAsia="es-ES"/>
        </w:rPr>
        <w:t xml:space="preserve"> </w:t>
      </w:r>
      <w:r w:rsidR="001936B3" w:rsidRPr="00610904">
        <w:rPr>
          <w:noProof w:val="0"/>
          <w:lang w:val="en-US" w:eastAsia="es-ES"/>
        </w:rPr>
        <w:t>only those arguments that are</w:t>
      </w:r>
      <w:r w:rsidR="00223622" w:rsidRPr="00610904">
        <w:rPr>
          <w:noProof w:val="0"/>
          <w:lang w:val="en-US" w:eastAsia="es-ES"/>
        </w:rPr>
        <w:t>,</w:t>
      </w:r>
      <w:r w:rsidR="001936B3" w:rsidRPr="00610904">
        <w:rPr>
          <w:noProof w:val="0"/>
          <w:lang w:val="en-US" w:eastAsia="es-ES"/>
        </w:rPr>
        <w:t xml:space="preserve"> or could be</w:t>
      </w:r>
      <w:r w:rsidR="00223622" w:rsidRPr="00610904">
        <w:rPr>
          <w:noProof w:val="0"/>
          <w:lang w:val="en-US" w:eastAsia="es-ES"/>
        </w:rPr>
        <w:t>,</w:t>
      </w:r>
      <w:r w:rsidR="00562663" w:rsidRPr="00610904">
        <w:rPr>
          <w:noProof w:val="0"/>
          <w:lang w:val="en-US" w:eastAsia="es-ES"/>
        </w:rPr>
        <w:t xml:space="preserve"> of </w:t>
      </w:r>
      <w:r w:rsidR="0051351F">
        <w:rPr>
          <w:noProof w:val="0"/>
          <w:lang w:val="en-US" w:eastAsia="es-ES"/>
        </w:rPr>
        <w:t>such a</w:t>
      </w:r>
      <w:r w:rsidR="00562663" w:rsidRPr="00610904">
        <w:rPr>
          <w:noProof w:val="0"/>
          <w:lang w:val="en-US" w:eastAsia="es-ES"/>
        </w:rPr>
        <w:t xml:space="preserve"> nature</w:t>
      </w:r>
      <w:r w:rsidR="001936B3" w:rsidRPr="00610904">
        <w:rPr>
          <w:noProof w:val="0"/>
          <w:lang w:val="en-US" w:eastAsia="es-ES"/>
        </w:rPr>
        <w:t xml:space="preserve"> based on their content and purpose; that is, if t</w:t>
      </w:r>
      <w:r w:rsidR="00223622" w:rsidRPr="00610904">
        <w:rPr>
          <w:noProof w:val="0"/>
          <w:lang w:val="en-US" w:eastAsia="es-ES"/>
        </w:rPr>
        <w:t>hey we</w:t>
      </w:r>
      <w:r w:rsidR="001936B3" w:rsidRPr="00610904">
        <w:rPr>
          <w:noProof w:val="0"/>
          <w:lang w:val="en-US" w:eastAsia="es-ES"/>
        </w:rPr>
        <w:t>re decided favorably, they would prevent the proceedings from continuing or a ruling being made on the merits.</w:t>
      </w:r>
      <w:r w:rsidR="00022F5E" w:rsidRPr="00610904">
        <w:rPr>
          <w:rStyle w:val="FootnoteReference"/>
          <w:noProof w:val="0"/>
          <w:lang w:val="en-US"/>
        </w:rPr>
        <w:footnoteReference w:id="20"/>
      </w:r>
      <w:r w:rsidR="001936B3" w:rsidRPr="00610904">
        <w:rPr>
          <w:noProof w:val="0"/>
          <w:szCs w:val="20"/>
          <w:lang w:val="en-US"/>
        </w:rPr>
        <w:t xml:space="preserve"> It has been the Court’s consistent opinion that the purpose of a </w:t>
      </w:r>
      <w:r w:rsidR="00A8072E" w:rsidRPr="00610904">
        <w:rPr>
          <w:noProof w:val="0"/>
          <w:szCs w:val="20"/>
          <w:lang w:val="en-US"/>
        </w:rPr>
        <w:t>preliminary objection</w:t>
      </w:r>
      <w:r w:rsidR="00022F5E" w:rsidRPr="00610904">
        <w:rPr>
          <w:noProof w:val="0"/>
          <w:szCs w:val="20"/>
          <w:lang w:val="en-US"/>
        </w:rPr>
        <w:t xml:space="preserve"> </w:t>
      </w:r>
      <w:r w:rsidR="001936B3" w:rsidRPr="00610904">
        <w:rPr>
          <w:noProof w:val="0"/>
          <w:szCs w:val="20"/>
          <w:lang w:val="en-US"/>
        </w:rPr>
        <w:t>is to present objections related to the admissibility of a case</w:t>
      </w:r>
      <w:r w:rsidR="00223622" w:rsidRPr="00610904">
        <w:rPr>
          <w:noProof w:val="0"/>
          <w:szCs w:val="20"/>
          <w:lang w:val="en-US"/>
        </w:rPr>
        <w:t>,</w:t>
      </w:r>
      <w:r w:rsidR="001936B3" w:rsidRPr="00610904">
        <w:rPr>
          <w:noProof w:val="0"/>
          <w:szCs w:val="20"/>
          <w:lang w:val="en-US"/>
        </w:rPr>
        <w:t xml:space="preserve"> or </w:t>
      </w:r>
      <w:r w:rsidR="00223622" w:rsidRPr="00610904">
        <w:rPr>
          <w:noProof w:val="0"/>
          <w:szCs w:val="20"/>
          <w:lang w:val="en-US"/>
        </w:rPr>
        <w:t xml:space="preserve">to </w:t>
      </w:r>
      <w:r w:rsidR="001936B3" w:rsidRPr="00610904">
        <w:rPr>
          <w:noProof w:val="0"/>
          <w:szCs w:val="20"/>
          <w:lang w:val="en-US"/>
        </w:rPr>
        <w:t>the competence of the Court to examine a specific case or any of its a</w:t>
      </w:r>
      <w:r w:rsidR="00223622" w:rsidRPr="00610904">
        <w:rPr>
          <w:noProof w:val="0"/>
          <w:szCs w:val="20"/>
          <w:lang w:val="en-US"/>
        </w:rPr>
        <w:t>spects</w:t>
      </w:r>
      <w:r w:rsidR="001936B3" w:rsidRPr="00610904">
        <w:rPr>
          <w:noProof w:val="0"/>
          <w:szCs w:val="20"/>
          <w:lang w:val="en-US"/>
        </w:rPr>
        <w:t xml:space="preserve"> due </w:t>
      </w:r>
      <w:r w:rsidR="00223622" w:rsidRPr="00610904">
        <w:rPr>
          <w:noProof w:val="0"/>
          <w:szCs w:val="20"/>
          <w:lang w:val="en-US"/>
        </w:rPr>
        <w:t xml:space="preserve">to </w:t>
      </w:r>
      <w:proofErr w:type="gramStart"/>
      <w:r w:rsidR="00223622" w:rsidRPr="00610904">
        <w:rPr>
          <w:noProof w:val="0"/>
          <w:szCs w:val="20"/>
          <w:lang w:val="en-US"/>
        </w:rPr>
        <w:t>either</w:t>
      </w:r>
      <w:r w:rsidR="001936B3" w:rsidRPr="00610904">
        <w:rPr>
          <w:noProof w:val="0"/>
          <w:szCs w:val="20"/>
          <w:lang w:val="en-US"/>
        </w:rPr>
        <w:t xml:space="preserve"> the</w:t>
      </w:r>
      <w:proofErr w:type="gramEnd"/>
      <w:r w:rsidR="001936B3" w:rsidRPr="00610904">
        <w:rPr>
          <w:noProof w:val="0"/>
          <w:szCs w:val="20"/>
          <w:lang w:val="en-US"/>
        </w:rPr>
        <w:t xml:space="preserve"> person, the matter, the time or </w:t>
      </w:r>
      <w:r w:rsidR="00223622" w:rsidRPr="00610904">
        <w:rPr>
          <w:noProof w:val="0"/>
          <w:szCs w:val="20"/>
          <w:lang w:val="en-US"/>
        </w:rPr>
        <w:t xml:space="preserve">the </w:t>
      </w:r>
      <w:r w:rsidR="001936B3" w:rsidRPr="00610904">
        <w:rPr>
          <w:noProof w:val="0"/>
          <w:szCs w:val="20"/>
          <w:lang w:val="en-US"/>
        </w:rPr>
        <w:t>place.</w:t>
      </w:r>
      <w:r w:rsidR="00022F5E" w:rsidRPr="00610904">
        <w:rPr>
          <w:noProof w:val="0"/>
          <w:szCs w:val="20"/>
          <w:vertAlign w:val="superscript"/>
          <w:lang w:val="en-US"/>
        </w:rPr>
        <w:footnoteReference w:id="21"/>
      </w:r>
      <w:r w:rsidR="00022F5E" w:rsidRPr="00610904">
        <w:rPr>
          <w:noProof w:val="0"/>
          <w:szCs w:val="20"/>
          <w:lang w:val="en-US"/>
        </w:rPr>
        <w:t xml:space="preserve"> </w:t>
      </w:r>
      <w:r w:rsidR="001936B3" w:rsidRPr="00610904">
        <w:rPr>
          <w:noProof w:val="0"/>
          <w:szCs w:val="20"/>
          <w:lang w:val="en-US"/>
        </w:rPr>
        <w:t>Consequently, regardless of whether</w:t>
      </w:r>
      <w:r w:rsidR="00562663" w:rsidRPr="00610904">
        <w:rPr>
          <w:noProof w:val="0"/>
          <w:szCs w:val="20"/>
          <w:lang w:val="en-US"/>
        </w:rPr>
        <w:t xml:space="preserve"> </w:t>
      </w:r>
      <w:r w:rsidR="001936B3" w:rsidRPr="00610904">
        <w:rPr>
          <w:noProof w:val="0"/>
          <w:szCs w:val="20"/>
          <w:lang w:val="en-US"/>
        </w:rPr>
        <w:t xml:space="preserve">the State has defined an assertion as a </w:t>
      </w:r>
      <w:r w:rsidR="00022F5E" w:rsidRPr="00610904">
        <w:rPr>
          <w:noProof w:val="0"/>
          <w:szCs w:val="20"/>
          <w:lang w:val="en-US"/>
        </w:rPr>
        <w:t>“</w:t>
      </w:r>
      <w:r w:rsidR="00A8072E" w:rsidRPr="00610904">
        <w:rPr>
          <w:noProof w:val="0"/>
          <w:szCs w:val="20"/>
          <w:lang w:val="en-US"/>
        </w:rPr>
        <w:t>preliminary objection</w:t>
      </w:r>
      <w:r w:rsidR="001936B3" w:rsidRPr="00610904">
        <w:rPr>
          <w:noProof w:val="0"/>
          <w:szCs w:val="20"/>
          <w:lang w:val="en-US"/>
        </w:rPr>
        <w:t>,”</w:t>
      </w:r>
      <w:r w:rsidR="00022F5E" w:rsidRPr="00610904">
        <w:rPr>
          <w:noProof w:val="0"/>
          <w:szCs w:val="20"/>
          <w:lang w:val="en-US"/>
        </w:rPr>
        <w:t xml:space="preserve"> </w:t>
      </w:r>
      <w:r w:rsidR="00223622" w:rsidRPr="00610904">
        <w:rPr>
          <w:noProof w:val="0"/>
          <w:szCs w:val="20"/>
          <w:lang w:val="en-US"/>
        </w:rPr>
        <w:t xml:space="preserve">if, when analyzing </w:t>
      </w:r>
      <w:r w:rsidR="00562663" w:rsidRPr="00610904">
        <w:rPr>
          <w:noProof w:val="0"/>
          <w:szCs w:val="20"/>
          <w:lang w:val="en-US"/>
        </w:rPr>
        <w:t>this, it</w:t>
      </w:r>
      <w:r w:rsidR="00223622" w:rsidRPr="00610904">
        <w:rPr>
          <w:noProof w:val="0"/>
          <w:szCs w:val="20"/>
          <w:lang w:val="en-US"/>
        </w:rPr>
        <w:t xml:space="preserve"> </w:t>
      </w:r>
      <w:r w:rsidR="001936B3" w:rsidRPr="00610904">
        <w:rPr>
          <w:noProof w:val="0"/>
          <w:szCs w:val="20"/>
          <w:lang w:val="en-US"/>
        </w:rPr>
        <w:t>becomes necessary</w:t>
      </w:r>
      <w:r w:rsidR="00562663" w:rsidRPr="00610904">
        <w:rPr>
          <w:noProof w:val="0"/>
          <w:szCs w:val="20"/>
          <w:lang w:val="en-US"/>
        </w:rPr>
        <w:t>, first,</w:t>
      </w:r>
      <w:r w:rsidR="001936B3" w:rsidRPr="00610904">
        <w:rPr>
          <w:noProof w:val="0"/>
          <w:szCs w:val="20"/>
          <w:lang w:val="en-US"/>
        </w:rPr>
        <w:t xml:space="preserve"> to con</w:t>
      </w:r>
      <w:r w:rsidR="00223622" w:rsidRPr="00610904">
        <w:rPr>
          <w:noProof w:val="0"/>
          <w:szCs w:val="20"/>
          <w:lang w:val="en-US"/>
        </w:rPr>
        <w:t>sider the merits of a case, the assertion</w:t>
      </w:r>
      <w:r w:rsidR="001936B3" w:rsidRPr="00610904">
        <w:rPr>
          <w:noProof w:val="0"/>
          <w:szCs w:val="20"/>
          <w:lang w:val="en-US"/>
        </w:rPr>
        <w:t xml:space="preserve"> cease</w:t>
      </w:r>
      <w:r w:rsidR="00223622" w:rsidRPr="00610904">
        <w:rPr>
          <w:noProof w:val="0"/>
          <w:szCs w:val="20"/>
          <w:lang w:val="en-US"/>
        </w:rPr>
        <w:t>s</w:t>
      </w:r>
      <w:r w:rsidR="001936B3" w:rsidRPr="00610904">
        <w:rPr>
          <w:noProof w:val="0"/>
          <w:szCs w:val="20"/>
          <w:lang w:val="en-US"/>
        </w:rPr>
        <w:t xml:space="preserve"> to be preliminary and cannot be analyzed as a </w:t>
      </w:r>
      <w:r w:rsidR="00A8072E" w:rsidRPr="00610904">
        <w:rPr>
          <w:noProof w:val="0"/>
          <w:szCs w:val="20"/>
          <w:lang w:val="en-US"/>
        </w:rPr>
        <w:t>preliminary objection</w:t>
      </w:r>
      <w:r w:rsidR="001936B3" w:rsidRPr="00610904">
        <w:rPr>
          <w:noProof w:val="0"/>
          <w:szCs w:val="20"/>
          <w:lang w:val="en-US"/>
        </w:rPr>
        <w:t>.</w:t>
      </w:r>
      <w:r w:rsidR="00022F5E" w:rsidRPr="00610904">
        <w:rPr>
          <w:noProof w:val="0"/>
          <w:szCs w:val="20"/>
          <w:vertAlign w:val="superscript"/>
          <w:lang w:val="en-US"/>
        </w:rPr>
        <w:footnoteReference w:id="22"/>
      </w:r>
    </w:p>
    <w:p w:rsidR="00022F5E" w:rsidRPr="00610904" w:rsidRDefault="00022F5E" w:rsidP="00610904">
      <w:pPr>
        <w:rPr>
          <w:noProof w:val="0"/>
          <w:lang w:val="en-US" w:eastAsia="es-ES"/>
        </w:rPr>
      </w:pPr>
    </w:p>
    <w:p w:rsidR="00022F5E" w:rsidRPr="00610904" w:rsidRDefault="00223622" w:rsidP="00610904">
      <w:pPr>
        <w:numPr>
          <w:ilvl w:val="0"/>
          <w:numId w:val="1"/>
        </w:numPr>
        <w:rPr>
          <w:noProof w:val="0"/>
          <w:lang w:val="en-US" w:eastAsia="es-ES"/>
        </w:rPr>
      </w:pPr>
      <w:r w:rsidRPr="00610904">
        <w:rPr>
          <w:noProof w:val="0"/>
          <w:lang w:val="en-US" w:eastAsia="es-ES"/>
        </w:rPr>
        <w:t xml:space="preserve">Based on these criteria, the Court considers that the argument presented as a </w:t>
      </w:r>
      <w:r w:rsidR="00A8072E" w:rsidRPr="00610904">
        <w:rPr>
          <w:noProof w:val="0"/>
          <w:lang w:val="en-US" w:eastAsia="es-ES"/>
        </w:rPr>
        <w:t>preliminary objection</w:t>
      </w:r>
      <w:r w:rsidR="00022F5E" w:rsidRPr="00610904">
        <w:rPr>
          <w:noProof w:val="0"/>
          <w:lang w:val="en-US" w:eastAsia="es-ES"/>
        </w:rPr>
        <w:t xml:space="preserve"> rela</w:t>
      </w:r>
      <w:r w:rsidRPr="00610904">
        <w:rPr>
          <w:noProof w:val="0"/>
          <w:lang w:val="en-US" w:eastAsia="es-ES"/>
        </w:rPr>
        <w:t xml:space="preserve">ted to the Court’s supposed partial lack of competence to examine rights outside the factual framework of the case and presumed violations of rights </w:t>
      </w:r>
      <w:r w:rsidR="00A8072E" w:rsidRPr="00610904">
        <w:rPr>
          <w:noProof w:val="0"/>
          <w:lang w:val="en-US" w:eastAsia="es-ES"/>
        </w:rPr>
        <w:t>other than those established by the Commission in its reports</w:t>
      </w:r>
      <w:r w:rsidR="00022F5E" w:rsidRPr="00610904">
        <w:rPr>
          <w:noProof w:val="0"/>
          <w:lang w:val="en-US" w:eastAsia="es-ES"/>
        </w:rPr>
        <w:t xml:space="preserve">, </w:t>
      </w:r>
      <w:r w:rsidRPr="00610904">
        <w:rPr>
          <w:noProof w:val="0"/>
          <w:lang w:val="en-US" w:eastAsia="es-ES"/>
        </w:rPr>
        <w:t>is not related to a matter of admissibility or the competence of</w:t>
      </w:r>
      <w:r w:rsidR="00022F5E" w:rsidRPr="00610904">
        <w:rPr>
          <w:noProof w:val="0"/>
          <w:lang w:val="en-US" w:eastAsia="es-ES"/>
        </w:rPr>
        <w:t xml:space="preserve"> </w:t>
      </w:r>
      <w:r w:rsidR="00A8072E" w:rsidRPr="00610904">
        <w:rPr>
          <w:noProof w:val="0"/>
          <w:lang w:val="en-US" w:eastAsia="es-ES"/>
        </w:rPr>
        <w:t>this Court</w:t>
      </w:r>
      <w:r w:rsidRPr="00610904">
        <w:rPr>
          <w:noProof w:val="0"/>
          <w:lang w:val="en-US" w:eastAsia="es-ES"/>
        </w:rPr>
        <w:t>.</w:t>
      </w:r>
      <w:r w:rsidR="00022F5E" w:rsidRPr="00610904">
        <w:rPr>
          <w:rStyle w:val="FootnoteReference"/>
          <w:noProof w:val="0"/>
          <w:lang w:val="en-US"/>
        </w:rPr>
        <w:footnoteReference w:id="23"/>
      </w:r>
      <w:r w:rsidR="00022F5E" w:rsidRPr="00610904">
        <w:rPr>
          <w:noProof w:val="0"/>
          <w:lang w:val="en-US"/>
        </w:rPr>
        <w:t xml:space="preserve"> </w:t>
      </w:r>
      <w:r w:rsidRPr="00610904">
        <w:rPr>
          <w:noProof w:val="0"/>
          <w:lang w:val="en-US"/>
        </w:rPr>
        <w:t>Therefore, these aspects will be examined in the following chapter on preliminary considerations,</w:t>
      </w:r>
      <w:r w:rsidR="00022F5E" w:rsidRPr="00610904">
        <w:rPr>
          <w:noProof w:val="0"/>
          <w:szCs w:val="20"/>
          <w:vertAlign w:val="superscript"/>
          <w:lang w:val="en-US"/>
        </w:rPr>
        <w:footnoteReference w:id="24"/>
      </w:r>
      <w:r w:rsidR="00022F5E" w:rsidRPr="00610904">
        <w:rPr>
          <w:noProof w:val="0"/>
          <w:szCs w:val="20"/>
          <w:lang w:val="en-US"/>
        </w:rPr>
        <w:t xml:space="preserve"> </w:t>
      </w:r>
      <w:r w:rsidRPr="00610904">
        <w:rPr>
          <w:noProof w:val="0"/>
          <w:szCs w:val="20"/>
          <w:lang w:val="en-US"/>
        </w:rPr>
        <w:t>when referring</w:t>
      </w:r>
      <w:r w:rsidR="00022F5E" w:rsidRPr="00610904">
        <w:rPr>
          <w:noProof w:val="0"/>
          <w:szCs w:val="20"/>
          <w:lang w:val="en-US"/>
        </w:rPr>
        <w:t xml:space="preserve"> </w:t>
      </w:r>
      <w:r w:rsidRPr="00610904">
        <w:rPr>
          <w:noProof w:val="0"/>
          <w:szCs w:val="20"/>
          <w:lang w:val="en-US"/>
        </w:rPr>
        <w:t>to the factual framework</w:t>
      </w:r>
      <w:r w:rsidR="00022F5E" w:rsidRPr="00610904">
        <w:rPr>
          <w:noProof w:val="0"/>
          <w:szCs w:val="20"/>
          <w:lang w:val="en-US"/>
        </w:rPr>
        <w:t xml:space="preserve"> </w:t>
      </w:r>
      <w:r w:rsidRPr="00610904">
        <w:rPr>
          <w:noProof w:val="0"/>
          <w:szCs w:val="20"/>
          <w:lang w:val="en-US"/>
        </w:rPr>
        <w:t>of the case</w:t>
      </w:r>
      <w:r w:rsidR="00022F5E" w:rsidRPr="00610904">
        <w:rPr>
          <w:noProof w:val="0"/>
          <w:szCs w:val="20"/>
          <w:lang w:val="en-US"/>
        </w:rPr>
        <w:t>.</w:t>
      </w:r>
    </w:p>
    <w:p w:rsidR="00022F5E" w:rsidRPr="00610904" w:rsidRDefault="00022F5E" w:rsidP="00610904">
      <w:pPr>
        <w:rPr>
          <w:noProof w:val="0"/>
          <w:lang w:val="en-US" w:eastAsia="es-ES"/>
        </w:rPr>
      </w:pPr>
    </w:p>
    <w:p w:rsidR="00022F5E" w:rsidRPr="00610904" w:rsidRDefault="00856968" w:rsidP="00610904">
      <w:pPr>
        <w:numPr>
          <w:ilvl w:val="0"/>
          <w:numId w:val="1"/>
        </w:numPr>
        <w:rPr>
          <w:noProof w:val="0"/>
          <w:lang w:val="en-US" w:eastAsia="es-ES"/>
        </w:rPr>
      </w:pPr>
      <w:r w:rsidRPr="00610904">
        <w:rPr>
          <w:noProof w:val="0"/>
          <w:lang w:val="en-US" w:eastAsia="es-ES"/>
        </w:rPr>
        <w:t>Nevertheless</w:t>
      </w:r>
      <w:r w:rsidR="00223622" w:rsidRPr="00610904">
        <w:rPr>
          <w:noProof w:val="0"/>
          <w:lang w:val="en-US" w:eastAsia="es-ES"/>
        </w:rPr>
        <w:t xml:space="preserve">, the Court will now decide the </w:t>
      </w:r>
      <w:r w:rsidR="00A8072E" w:rsidRPr="00610904">
        <w:rPr>
          <w:noProof w:val="0"/>
          <w:lang w:val="en-US" w:eastAsia="es-ES"/>
        </w:rPr>
        <w:t>preliminary objection</w:t>
      </w:r>
      <w:r w:rsidR="00022F5E" w:rsidRPr="00610904">
        <w:rPr>
          <w:noProof w:val="0"/>
          <w:lang w:val="en-US" w:eastAsia="es-ES"/>
        </w:rPr>
        <w:t xml:space="preserve"> </w:t>
      </w:r>
      <w:r w:rsidR="00223622" w:rsidRPr="00610904">
        <w:rPr>
          <w:noProof w:val="0"/>
          <w:lang w:val="en-US" w:eastAsia="es-ES"/>
        </w:rPr>
        <w:t>of</w:t>
      </w:r>
      <w:r w:rsidR="00022F5E" w:rsidRPr="00610904">
        <w:rPr>
          <w:noProof w:val="0"/>
          <w:lang w:val="en-US" w:eastAsia="es-ES"/>
        </w:rPr>
        <w:t xml:space="preserve"> </w:t>
      </w:r>
      <w:r w:rsidR="00223622" w:rsidRPr="00610904">
        <w:rPr>
          <w:noProof w:val="0"/>
          <w:lang w:val="en-US" w:eastAsia="es-ES"/>
        </w:rPr>
        <w:t>failure to exhaust domestic remedies</w:t>
      </w:r>
      <w:r w:rsidR="00022F5E" w:rsidRPr="00610904">
        <w:rPr>
          <w:noProof w:val="0"/>
          <w:lang w:val="en-US" w:eastAsia="es-ES"/>
        </w:rPr>
        <w:t xml:space="preserve"> </w:t>
      </w:r>
      <w:r w:rsidR="00223622" w:rsidRPr="00610904">
        <w:rPr>
          <w:noProof w:val="0"/>
          <w:lang w:val="en-US" w:eastAsia="es-ES"/>
        </w:rPr>
        <w:t>filed by</w:t>
      </w:r>
      <w:r w:rsidR="00022F5E" w:rsidRPr="00610904">
        <w:rPr>
          <w:noProof w:val="0"/>
          <w:lang w:val="en-US" w:eastAsia="es-ES"/>
        </w:rPr>
        <w:t xml:space="preserve"> </w:t>
      </w:r>
      <w:r w:rsidR="009F3D78" w:rsidRPr="00610904">
        <w:rPr>
          <w:noProof w:val="0"/>
          <w:lang w:val="en-US" w:eastAsia="es-ES"/>
        </w:rPr>
        <w:t xml:space="preserve">the </w:t>
      </w:r>
      <w:r w:rsidR="00223622" w:rsidRPr="00610904">
        <w:rPr>
          <w:noProof w:val="0"/>
          <w:lang w:val="en-US" w:eastAsia="es-ES"/>
        </w:rPr>
        <w:t xml:space="preserve">Ecuadorian </w:t>
      </w:r>
      <w:r w:rsidR="009F3D78" w:rsidRPr="00610904">
        <w:rPr>
          <w:noProof w:val="0"/>
          <w:lang w:val="en-US" w:eastAsia="es-ES"/>
        </w:rPr>
        <w:t>State</w:t>
      </w:r>
      <w:r w:rsidR="00022F5E" w:rsidRPr="00610904">
        <w:rPr>
          <w:noProof w:val="0"/>
          <w:lang w:val="en-US" w:eastAsia="es-ES"/>
        </w:rPr>
        <w:t xml:space="preserve">. </w:t>
      </w:r>
    </w:p>
    <w:p w:rsidR="00022F5E" w:rsidRPr="00610904" w:rsidRDefault="00022F5E" w:rsidP="00610904">
      <w:pPr>
        <w:rPr>
          <w:noProof w:val="0"/>
          <w:lang w:val="en-US" w:eastAsia="es-ES"/>
        </w:rPr>
      </w:pPr>
    </w:p>
    <w:p w:rsidR="00022F5E" w:rsidRPr="00610904" w:rsidRDefault="00223622" w:rsidP="00610904">
      <w:pPr>
        <w:pStyle w:val="Style2"/>
        <w:numPr>
          <w:ilvl w:val="0"/>
          <w:numId w:val="9"/>
        </w:numPr>
        <w:spacing w:before="0" w:after="0"/>
        <w:rPr>
          <w:noProof w:val="0"/>
          <w:lang w:val="en-US" w:eastAsia="es-ES"/>
        </w:rPr>
      </w:pPr>
      <w:bookmarkStart w:id="43" w:name="_Toc443399075"/>
      <w:bookmarkStart w:id="44" w:name="_Toc406574733"/>
      <w:bookmarkStart w:id="45" w:name="_Toc406580648"/>
      <w:r w:rsidRPr="00610904">
        <w:rPr>
          <w:noProof w:val="0"/>
          <w:lang w:val="en-US" w:eastAsia="es-ES"/>
        </w:rPr>
        <w:lastRenderedPageBreak/>
        <w:t>Alleged</w:t>
      </w:r>
      <w:r w:rsidR="00022F5E" w:rsidRPr="00610904">
        <w:rPr>
          <w:noProof w:val="0"/>
          <w:lang w:val="en-US" w:eastAsia="es-ES"/>
        </w:rPr>
        <w:t xml:space="preserve"> </w:t>
      </w:r>
      <w:r w:rsidRPr="00610904">
        <w:rPr>
          <w:noProof w:val="0"/>
          <w:lang w:val="en-US" w:eastAsia="es-ES"/>
        </w:rPr>
        <w:t>failure to exhaust domestic remedies</w:t>
      </w:r>
      <w:bookmarkEnd w:id="43"/>
    </w:p>
    <w:p w:rsidR="00022F5E" w:rsidRPr="00610904" w:rsidRDefault="00022F5E" w:rsidP="00610904">
      <w:pPr>
        <w:rPr>
          <w:noProof w:val="0"/>
          <w:lang w:val="en-US" w:eastAsia="es-ES"/>
        </w:rPr>
      </w:pPr>
    </w:p>
    <w:p w:rsidR="00022F5E" w:rsidRPr="00610904" w:rsidRDefault="00022F5E" w:rsidP="00610904">
      <w:pPr>
        <w:rPr>
          <w:i/>
          <w:noProof w:val="0"/>
          <w:lang w:val="en-US" w:eastAsia="es-ES"/>
        </w:rPr>
      </w:pPr>
      <w:r w:rsidRPr="00610904">
        <w:rPr>
          <w:noProof w:val="0"/>
          <w:lang w:val="en-US" w:eastAsia="es-ES"/>
        </w:rPr>
        <w:t xml:space="preserve"> </w:t>
      </w:r>
      <w:r w:rsidR="00223622" w:rsidRPr="00610904">
        <w:rPr>
          <w:i/>
          <w:noProof w:val="0"/>
          <w:lang w:val="en-US" w:eastAsia="es-ES"/>
        </w:rPr>
        <w:t>Arguments</w:t>
      </w:r>
      <w:r w:rsidR="009F3D78" w:rsidRPr="00610904">
        <w:rPr>
          <w:i/>
          <w:noProof w:val="0"/>
          <w:lang w:val="en-US" w:eastAsia="es-ES"/>
        </w:rPr>
        <w:t xml:space="preserve"> of the State and </w:t>
      </w:r>
      <w:r w:rsidR="00795F5F" w:rsidRPr="00610904">
        <w:rPr>
          <w:i/>
          <w:noProof w:val="0"/>
          <w:lang w:val="en-US" w:eastAsia="es-ES"/>
        </w:rPr>
        <w:t>observations</w:t>
      </w:r>
      <w:r w:rsidR="003309BE" w:rsidRPr="00610904">
        <w:rPr>
          <w:i/>
          <w:noProof w:val="0"/>
          <w:lang w:val="en-US" w:eastAsia="es-ES"/>
        </w:rPr>
        <w:t xml:space="preserve"> of the </w:t>
      </w:r>
      <w:r w:rsidR="002F5BBA" w:rsidRPr="00610904">
        <w:rPr>
          <w:i/>
          <w:noProof w:val="0"/>
          <w:lang w:val="en-US" w:eastAsia="es-ES"/>
        </w:rPr>
        <w:t>Commission</w:t>
      </w:r>
      <w:r w:rsidR="009F3D78" w:rsidRPr="00610904">
        <w:rPr>
          <w:i/>
          <w:noProof w:val="0"/>
          <w:lang w:val="en-US" w:eastAsia="es-ES"/>
        </w:rPr>
        <w:t xml:space="preserve"> and the representatives</w:t>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lang w:val="en-US"/>
        </w:rPr>
        <w:t>The State</w:t>
      </w:r>
      <w:r w:rsidR="00022F5E" w:rsidRPr="00610904">
        <w:rPr>
          <w:noProof w:val="0"/>
          <w:lang w:val="en-US"/>
        </w:rPr>
        <w:t xml:space="preserve"> </w:t>
      </w:r>
      <w:r w:rsidR="00223622" w:rsidRPr="00610904">
        <w:rPr>
          <w:noProof w:val="0"/>
          <w:lang w:val="en-US"/>
        </w:rPr>
        <w:t xml:space="preserve">affirmed that </w:t>
      </w:r>
      <w:r w:rsidR="002F5BBA" w:rsidRPr="00610904">
        <w:rPr>
          <w:rFonts w:cs="Arial"/>
          <w:noProof w:val="0"/>
          <w:szCs w:val="20"/>
          <w:lang w:val="en-US"/>
        </w:rPr>
        <w:t>the Commission</w:t>
      </w:r>
      <w:r w:rsidR="00562663" w:rsidRPr="00610904">
        <w:rPr>
          <w:rFonts w:cs="Arial"/>
          <w:noProof w:val="0"/>
          <w:szCs w:val="20"/>
          <w:lang w:val="en-US"/>
        </w:rPr>
        <w:t>,</w:t>
      </w:r>
      <w:r w:rsidR="00223622" w:rsidRPr="00610904">
        <w:rPr>
          <w:rFonts w:cs="Arial"/>
          <w:noProof w:val="0"/>
          <w:szCs w:val="20"/>
          <w:lang w:val="en-US"/>
        </w:rPr>
        <w:t xml:space="preserve"> “in its</w:t>
      </w:r>
      <w:r w:rsidR="00022F5E" w:rsidRPr="00610904">
        <w:rPr>
          <w:rFonts w:cs="Arial"/>
          <w:noProof w:val="0"/>
          <w:szCs w:val="20"/>
          <w:lang w:val="en-US"/>
        </w:rPr>
        <w:t xml:space="preserve"> </w:t>
      </w:r>
      <w:r w:rsidR="006E502B" w:rsidRPr="00610904">
        <w:rPr>
          <w:rFonts w:cs="Arial"/>
          <w:noProof w:val="0"/>
          <w:szCs w:val="20"/>
          <w:lang w:val="en-US"/>
        </w:rPr>
        <w:t>Admissibility Report</w:t>
      </w:r>
      <w:r w:rsidR="00562663" w:rsidRPr="00610904">
        <w:rPr>
          <w:rFonts w:cs="Arial"/>
          <w:noProof w:val="0"/>
          <w:szCs w:val="20"/>
          <w:lang w:val="en-US"/>
        </w:rPr>
        <w:t>,</w:t>
      </w:r>
      <w:r w:rsidR="00022F5E" w:rsidRPr="00610904">
        <w:rPr>
          <w:rFonts w:cs="Arial"/>
          <w:noProof w:val="0"/>
          <w:szCs w:val="20"/>
          <w:lang w:val="en-US"/>
        </w:rPr>
        <w:t xml:space="preserve"> </w:t>
      </w:r>
      <w:r w:rsidR="00223622" w:rsidRPr="00610904">
        <w:rPr>
          <w:rFonts w:cs="Arial"/>
          <w:noProof w:val="0"/>
          <w:szCs w:val="20"/>
          <w:lang w:val="en-US"/>
        </w:rPr>
        <w:t xml:space="preserve">accepted the State’s position in relation to the </w:t>
      </w:r>
      <w:r w:rsidR="006E502B" w:rsidRPr="00610904">
        <w:rPr>
          <w:rFonts w:cs="Arial"/>
          <w:noProof w:val="0"/>
          <w:szCs w:val="20"/>
          <w:lang w:val="en-US"/>
        </w:rPr>
        <w:t>petition</w:t>
      </w:r>
      <w:r w:rsidR="00022F5E" w:rsidRPr="00610904">
        <w:rPr>
          <w:rFonts w:cs="Arial"/>
          <w:noProof w:val="0"/>
          <w:szCs w:val="20"/>
          <w:lang w:val="en-US"/>
        </w:rPr>
        <w:t xml:space="preserve"> </w:t>
      </w:r>
      <w:r w:rsidR="00223622" w:rsidRPr="00610904">
        <w:rPr>
          <w:rFonts w:cs="Arial"/>
          <w:noProof w:val="0"/>
          <w:szCs w:val="20"/>
          <w:lang w:val="en-US"/>
        </w:rPr>
        <w:t>presented by</w:t>
      </w:r>
      <w:r w:rsidR="00022F5E" w:rsidRPr="00610904">
        <w:rPr>
          <w:rFonts w:cs="Arial"/>
          <w:noProof w:val="0"/>
          <w:szCs w:val="20"/>
          <w:lang w:val="en-US"/>
        </w:rPr>
        <w:t xml:space="preserve"> </w:t>
      </w:r>
      <w:r w:rsidRPr="00610904">
        <w:rPr>
          <w:rFonts w:cs="Arial"/>
          <w:noProof w:val="0"/>
          <w:szCs w:val="20"/>
          <w:lang w:val="en-US"/>
        </w:rPr>
        <w:t>the presumed victims</w:t>
      </w:r>
      <w:r w:rsidR="00022F5E" w:rsidRPr="00610904">
        <w:rPr>
          <w:rFonts w:cs="Arial"/>
          <w:noProof w:val="0"/>
          <w:szCs w:val="20"/>
          <w:lang w:val="en-US"/>
        </w:rPr>
        <w:t xml:space="preserve"> [</w:t>
      </w:r>
      <w:r w:rsidR="00223622" w:rsidRPr="00610904">
        <w:rPr>
          <w:rFonts w:cs="Arial"/>
          <w:noProof w:val="0"/>
          <w:szCs w:val="20"/>
          <w:lang w:val="en-US"/>
        </w:rPr>
        <w:t>as regards] the failure to file domestic remedies such as the recusal of judges, the action seeking compensation for non-pecuniary damage, and the remedy of criminal cassation.</w:t>
      </w:r>
      <w:r w:rsidR="00022F5E" w:rsidRPr="00610904">
        <w:rPr>
          <w:rFonts w:cs="Arial"/>
          <w:noProof w:val="0"/>
          <w:szCs w:val="20"/>
          <w:lang w:val="en-US"/>
        </w:rPr>
        <w:t xml:space="preserve">” </w:t>
      </w:r>
      <w:r w:rsidR="00022F5E" w:rsidRPr="00610904">
        <w:rPr>
          <w:rFonts w:cs="Arial"/>
          <w:b/>
          <w:noProof w:val="0"/>
          <w:szCs w:val="20"/>
          <w:lang w:val="en-US"/>
        </w:rPr>
        <w:t xml:space="preserve"> </w:t>
      </w:r>
      <w:r w:rsidRPr="00610904">
        <w:rPr>
          <w:rFonts w:cs="Arial"/>
          <w:noProof w:val="0"/>
          <w:szCs w:val="20"/>
          <w:lang w:val="en-US"/>
        </w:rPr>
        <w:t>The State</w:t>
      </w:r>
      <w:r w:rsidR="00022F5E" w:rsidRPr="00610904">
        <w:rPr>
          <w:rFonts w:cs="Arial"/>
          <w:noProof w:val="0"/>
          <w:szCs w:val="20"/>
          <w:lang w:val="en-US"/>
        </w:rPr>
        <w:t xml:space="preserve"> </w:t>
      </w:r>
      <w:r w:rsidR="00223622" w:rsidRPr="00610904">
        <w:rPr>
          <w:rFonts w:cs="Arial"/>
          <w:noProof w:val="0"/>
          <w:szCs w:val="20"/>
          <w:lang w:val="en-US"/>
        </w:rPr>
        <w:t>also emphasized that the petition</w:t>
      </w:r>
      <w:r w:rsidR="00852A2E" w:rsidRPr="00610904">
        <w:rPr>
          <w:rFonts w:cs="Arial"/>
          <w:noProof w:val="0"/>
          <w:szCs w:val="20"/>
          <w:lang w:val="en-US"/>
        </w:rPr>
        <w:t>er</w:t>
      </w:r>
      <w:r w:rsidR="00223622" w:rsidRPr="00610904">
        <w:rPr>
          <w:rFonts w:cs="Arial"/>
          <w:noProof w:val="0"/>
          <w:szCs w:val="20"/>
          <w:lang w:val="en-US"/>
        </w:rPr>
        <w:t xml:space="preserve"> had committed two errors during the domestic litigations that cannot be attributed to the State; namely, failing to appeal the action for constitutional protection, and failing to exercise the right to </w:t>
      </w:r>
      <w:r w:rsidR="00852A2E" w:rsidRPr="00610904">
        <w:rPr>
          <w:rFonts w:cs="Arial"/>
          <w:noProof w:val="0"/>
          <w:szCs w:val="20"/>
          <w:lang w:val="en-US"/>
        </w:rPr>
        <w:t>file an action</w:t>
      </w:r>
      <w:r w:rsidR="00223622" w:rsidRPr="00610904">
        <w:rPr>
          <w:rFonts w:cs="Arial"/>
          <w:noProof w:val="0"/>
          <w:szCs w:val="20"/>
          <w:lang w:val="en-US"/>
        </w:rPr>
        <w:t xml:space="preserve"> </w:t>
      </w:r>
      <w:r w:rsidR="00852A2E" w:rsidRPr="00610904">
        <w:rPr>
          <w:rFonts w:cs="Arial"/>
          <w:noProof w:val="0"/>
          <w:szCs w:val="20"/>
          <w:lang w:val="en-US"/>
        </w:rPr>
        <w:t>he</w:t>
      </w:r>
      <w:r w:rsidR="00562663" w:rsidRPr="00610904">
        <w:rPr>
          <w:rFonts w:cs="Arial"/>
          <w:noProof w:val="0"/>
          <w:szCs w:val="20"/>
          <w:lang w:val="en-US"/>
        </w:rPr>
        <w:t>rself as a private complainant.</w:t>
      </w:r>
    </w:p>
    <w:p w:rsidR="00022F5E" w:rsidRPr="00610904" w:rsidRDefault="00022F5E" w:rsidP="00610904">
      <w:pPr>
        <w:rPr>
          <w:noProof w:val="0"/>
          <w:lang w:val="en-US"/>
        </w:rPr>
      </w:pPr>
    </w:p>
    <w:p w:rsidR="00852A2E" w:rsidRPr="00610904" w:rsidRDefault="00562663" w:rsidP="00610904">
      <w:pPr>
        <w:numPr>
          <w:ilvl w:val="0"/>
          <w:numId w:val="1"/>
        </w:numPr>
        <w:rPr>
          <w:noProof w:val="0"/>
          <w:lang w:val="en-US"/>
        </w:rPr>
      </w:pPr>
      <w:r w:rsidRPr="00610904">
        <w:rPr>
          <w:noProof w:val="0"/>
          <w:lang w:val="en-US"/>
        </w:rPr>
        <w:t>Furthermore, t</w:t>
      </w:r>
      <w:r w:rsidR="009F3D78" w:rsidRPr="00610904">
        <w:rPr>
          <w:noProof w:val="0"/>
          <w:lang w:val="en-US"/>
        </w:rPr>
        <w:t>he State</w:t>
      </w:r>
      <w:r w:rsidR="00022F5E" w:rsidRPr="00610904">
        <w:rPr>
          <w:rFonts w:cs="Arial"/>
          <w:noProof w:val="0"/>
          <w:szCs w:val="20"/>
          <w:lang w:val="en-US"/>
        </w:rPr>
        <w:t xml:space="preserve"> </w:t>
      </w:r>
      <w:r w:rsidR="00852A2E" w:rsidRPr="00610904">
        <w:rPr>
          <w:rFonts w:cs="Arial"/>
          <w:noProof w:val="0"/>
          <w:szCs w:val="20"/>
          <w:lang w:val="en-US"/>
        </w:rPr>
        <w:t>a</w:t>
      </w:r>
      <w:r w:rsidRPr="00610904">
        <w:rPr>
          <w:rFonts w:cs="Arial"/>
          <w:noProof w:val="0"/>
          <w:szCs w:val="20"/>
          <w:lang w:val="en-US"/>
        </w:rPr>
        <w:t>rgued</w:t>
      </w:r>
      <w:r w:rsidR="00852A2E" w:rsidRPr="00610904">
        <w:rPr>
          <w:rFonts w:cs="Arial"/>
          <w:noProof w:val="0"/>
          <w:szCs w:val="20"/>
          <w:lang w:val="en-US"/>
        </w:rPr>
        <w:t xml:space="preserve"> that, although </w:t>
      </w:r>
      <w:r w:rsidRPr="00610904">
        <w:rPr>
          <w:rFonts w:cs="Arial"/>
          <w:noProof w:val="0"/>
          <w:szCs w:val="20"/>
          <w:lang w:val="en-US"/>
        </w:rPr>
        <w:t xml:space="preserve">the need for a </w:t>
      </w:r>
      <w:r w:rsidR="00852A2E" w:rsidRPr="00610904">
        <w:rPr>
          <w:rFonts w:cs="Arial"/>
          <w:noProof w:val="0"/>
          <w:szCs w:val="20"/>
          <w:lang w:val="en-US"/>
        </w:rPr>
        <w:t xml:space="preserve">criminal </w:t>
      </w:r>
      <w:r w:rsidRPr="00610904">
        <w:rPr>
          <w:rFonts w:cs="Arial"/>
          <w:noProof w:val="0"/>
          <w:szCs w:val="20"/>
          <w:lang w:val="en-US"/>
        </w:rPr>
        <w:t>conviction was required in order to file a civil action, this</w:t>
      </w:r>
      <w:r w:rsidR="00852A2E" w:rsidRPr="00610904">
        <w:rPr>
          <w:rFonts w:cs="Arial"/>
          <w:noProof w:val="0"/>
          <w:szCs w:val="20"/>
          <w:lang w:val="en-US"/>
        </w:rPr>
        <w:t xml:space="preserve"> </w:t>
      </w:r>
      <w:r w:rsidRPr="00610904">
        <w:rPr>
          <w:rFonts w:cs="Arial"/>
          <w:noProof w:val="0"/>
          <w:szCs w:val="20"/>
          <w:lang w:val="en-US"/>
        </w:rPr>
        <w:t>was not necessary</w:t>
      </w:r>
      <w:r w:rsidR="00852A2E" w:rsidRPr="00610904">
        <w:rPr>
          <w:rFonts w:cs="Arial"/>
          <w:noProof w:val="0"/>
          <w:szCs w:val="20"/>
          <w:lang w:val="en-US"/>
        </w:rPr>
        <w:t xml:space="preserve"> in order to bring an </w:t>
      </w:r>
      <w:r w:rsidRPr="00610904">
        <w:rPr>
          <w:rFonts w:cs="Arial"/>
          <w:noProof w:val="0"/>
          <w:szCs w:val="20"/>
          <w:lang w:val="en-US"/>
        </w:rPr>
        <w:t>action for non-pecuniary damage. In this regard, there wa</w:t>
      </w:r>
      <w:r w:rsidR="00852A2E" w:rsidRPr="00610904">
        <w:rPr>
          <w:rFonts w:cs="Arial"/>
          <w:noProof w:val="0"/>
          <w:szCs w:val="20"/>
          <w:lang w:val="en-US"/>
        </w:rPr>
        <w:t xml:space="preserve">s </w:t>
      </w:r>
      <w:r w:rsidRPr="00610904">
        <w:rPr>
          <w:rFonts w:cs="Arial"/>
          <w:noProof w:val="0"/>
          <w:szCs w:val="20"/>
          <w:lang w:val="en-US"/>
        </w:rPr>
        <w:t xml:space="preserve">a remedy that was not attempted, the </w:t>
      </w:r>
      <w:r w:rsidR="00852A2E" w:rsidRPr="00610904">
        <w:rPr>
          <w:rFonts w:cs="Arial"/>
          <w:noProof w:val="0"/>
          <w:szCs w:val="20"/>
          <w:lang w:val="en-US"/>
        </w:rPr>
        <w:t>purpose</w:t>
      </w:r>
      <w:r w:rsidRPr="00610904">
        <w:rPr>
          <w:rFonts w:cs="Arial"/>
          <w:noProof w:val="0"/>
          <w:szCs w:val="20"/>
          <w:lang w:val="en-US"/>
        </w:rPr>
        <w:t xml:space="preserve"> of which</w:t>
      </w:r>
      <w:r w:rsidR="00852A2E" w:rsidRPr="00610904">
        <w:rPr>
          <w:rFonts w:cs="Arial"/>
          <w:noProof w:val="0"/>
          <w:szCs w:val="20"/>
          <w:lang w:val="en-US"/>
        </w:rPr>
        <w:t xml:space="preserve"> was to </w:t>
      </w:r>
      <w:r w:rsidRPr="00610904">
        <w:rPr>
          <w:rFonts w:cs="Arial"/>
          <w:noProof w:val="0"/>
          <w:szCs w:val="20"/>
          <w:lang w:val="en-US"/>
        </w:rPr>
        <w:t xml:space="preserve">provide reparation for </w:t>
      </w:r>
      <w:r w:rsidR="00852A2E" w:rsidRPr="00610904">
        <w:rPr>
          <w:rFonts w:cs="Arial"/>
          <w:noProof w:val="0"/>
          <w:szCs w:val="20"/>
          <w:lang w:val="en-US"/>
        </w:rPr>
        <w:t xml:space="preserve">non-pecuniary damage, as has now been argued before the Court. It also </w:t>
      </w:r>
      <w:r w:rsidRPr="00610904">
        <w:rPr>
          <w:rFonts w:cs="Arial"/>
          <w:noProof w:val="0"/>
          <w:szCs w:val="20"/>
          <w:lang w:val="en-US"/>
        </w:rPr>
        <w:t xml:space="preserve">argued that the decision on </w:t>
      </w:r>
      <w:r w:rsidR="00852A2E" w:rsidRPr="00610904">
        <w:rPr>
          <w:rFonts w:cs="Arial"/>
          <w:noProof w:val="0"/>
          <w:szCs w:val="20"/>
          <w:lang w:val="en-US"/>
        </w:rPr>
        <w:t xml:space="preserve">proceeding No. 012-2000 </w:t>
      </w:r>
      <w:r w:rsidRPr="00610904">
        <w:rPr>
          <w:rFonts w:cs="Arial"/>
          <w:noProof w:val="0"/>
          <w:szCs w:val="20"/>
          <w:lang w:val="en-US"/>
        </w:rPr>
        <w:t>with regard to</w:t>
      </w:r>
      <w:r w:rsidR="00022F5E" w:rsidRPr="00610904">
        <w:rPr>
          <w:rFonts w:cs="Arial"/>
          <w:noProof w:val="0"/>
          <w:szCs w:val="20"/>
          <w:lang w:val="en-US"/>
        </w:rPr>
        <w:t xml:space="preserve"> </w:t>
      </w:r>
      <w:r w:rsidR="00852A2E" w:rsidRPr="00610904">
        <w:rPr>
          <w:rFonts w:cs="Arial"/>
          <w:noProof w:val="0"/>
          <w:szCs w:val="20"/>
          <w:lang w:val="en-US"/>
        </w:rPr>
        <w:t>constitutional protection</w:t>
      </w:r>
      <w:r w:rsidR="00022F5E" w:rsidRPr="00610904">
        <w:rPr>
          <w:rFonts w:cs="Arial"/>
          <w:noProof w:val="0"/>
          <w:szCs w:val="20"/>
          <w:lang w:val="en-US"/>
        </w:rPr>
        <w:t xml:space="preserve">, </w:t>
      </w:r>
      <w:r w:rsidR="00852A2E" w:rsidRPr="00610904">
        <w:rPr>
          <w:rFonts w:cs="Arial"/>
          <w:noProof w:val="0"/>
          <w:szCs w:val="20"/>
          <w:lang w:val="en-US"/>
        </w:rPr>
        <w:t xml:space="preserve">which was unfavorable to </w:t>
      </w:r>
      <w:r w:rsidR="009F3D78" w:rsidRPr="00610904">
        <w:rPr>
          <w:rFonts w:cs="Arial"/>
          <w:noProof w:val="0"/>
          <w:szCs w:val="20"/>
          <w:lang w:val="en-US"/>
        </w:rPr>
        <w:t>the presumed victims</w:t>
      </w:r>
      <w:r w:rsidR="00022F5E" w:rsidRPr="00610904">
        <w:rPr>
          <w:rFonts w:cs="Arial"/>
          <w:noProof w:val="0"/>
          <w:szCs w:val="20"/>
          <w:lang w:val="en-US"/>
        </w:rPr>
        <w:t xml:space="preserve">, </w:t>
      </w:r>
      <w:r w:rsidR="00852A2E" w:rsidRPr="00610904">
        <w:rPr>
          <w:rFonts w:cs="Arial"/>
          <w:noProof w:val="0"/>
          <w:szCs w:val="20"/>
          <w:lang w:val="en-US"/>
        </w:rPr>
        <w:t>was not appealed despite the rule of the right to a second hearing</w:t>
      </w:r>
      <w:r w:rsidRPr="00610904">
        <w:rPr>
          <w:rFonts w:cs="Arial"/>
          <w:noProof w:val="0"/>
          <w:szCs w:val="20"/>
          <w:lang w:val="en-US"/>
        </w:rPr>
        <w:t xml:space="preserve"> upheld by the Ecuadorian State</w:t>
      </w:r>
      <w:r w:rsidR="00852A2E" w:rsidRPr="00610904">
        <w:rPr>
          <w:rFonts w:cs="Arial"/>
          <w:noProof w:val="0"/>
          <w:szCs w:val="20"/>
          <w:lang w:val="en-US"/>
        </w:rPr>
        <w:t>, and due to this lack of procedural action the judgment became final. According to the State, the constitutional protection</w:t>
      </w:r>
      <w:r w:rsidRPr="00610904">
        <w:rPr>
          <w:rFonts w:cs="Arial"/>
          <w:noProof w:val="0"/>
          <w:szCs w:val="20"/>
          <w:lang w:val="en-US"/>
        </w:rPr>
        <w:t xml:space="preserve"> proceeding</w:t>
      </w:r>
      <w:r w:rsidR="00852A2E" w:rsidRPr="00610904">
        <w:rPr>
          <w:rFonts w:cs="Arial"/>
          <w:noProof w:val="0"/>
          <w:szCs w:val="20"/>
          <w:lang w:val="en-US"/>
        </w:rPr>
        <w:t xml:space="preserve"> was designed to </w:t>
      </w:r>
      <w:r w:rsidRPr="00610904">
        <w:rPr>
          <w:rFonts w:cs="Arial"/>
          <w:noProof w:val="0"/>
          <w:szCs w:val="20"/>
          <w:lang w:val="en-US"/>
        </w:rPr>
        <w:t>make it possible</w:t>
      </w:r>
      <w:r w:rsidR="00852A2E" w:rsidRPr="00610904">
        <w:rPr>
          <w:rFonts w:cs="Arial"/>
          <w:noProof w:val="0"/>
          <w:szCs w:val="20"/>
          <w:lang w:val="en-US"/>
        </w:rPr>
        <w:t xml:space="preserve"> to cease, suspend or rectify immediately the violation of constitutional rights, and could be processed in either of </w:t>
      </w:r>
      <w:r w:rsidRPr="00610904">
        <w:rPr>
          <w:rFonts w:cs="Arial"/>
          <w:noProof w:val="0"/>
          <w:szCs w:val="20"/>
          <w:lang w:val="en-US"/>
        </w:rPr>
        <w:t>the</w:t>
      </w:r>
      <w:r w:rsidR="00852A2E" w:rsidRPr="00610904">
        <w:rPr>
          <w:rFonts w:cs="Arial"/>
          <w:noProof w:val="0"/>
          <w:szCs w:val="20"/>
          <w:lang w:val="en-US"/>
        </w:rPr>
        <w:t xml:space="preserve"> two instances; in other words, “the appeal was an appropriate remedy to prevent any presumed violation of the right, but it was not filed.” </w:t>
      </w:r>
    </w:p>
    <w:p w:rsidR="00022F5E" w:rsidRPr="00610904" w:rsidRDefault="00022F5E" w:rsidP="00610904">
      <w:pPr>
        <w:rPr>
          <w:noProof w:val="0"/>
          <w:lang w:val="en-US"/>
        </w:rPr>
      </w:pPr>
    </w:p>
    <w:p w:rsidR="00022F5E" w:rsidRPr="00610904" w:rsidRDefault="00852A2E" w:rsidP="00610904">
      <w:pPr>
        <w:numPr>
          <w:ilvl w:val="0"/>
          <w:numId w:val="1"/>
        </w:numPr>
        <w:rPr>
          <w:noProof w:val="0"/>
          <w:lang w:val="en-US"/>
        </w:rPr>
      </w:pPr>
      <w:r w:rsidRPr="00610904">
        <w:rPr>
          <w:rFonts w:cs="Arial"/>
          <w:noProof w:val="0"/>
          <w:szCs w:val="20"/>
          <w:lang w:val="en-US"/>
        </w:rPr>
        <w:t>The</w:t>
      </w:r>
      <w:r w:rsidR="009F3D78" w:rsidRPr="00610904">
        <w:rPr>
          <w:rFonts w:cs="Arial"/>
          <w:noProof w:val="0"/>
          <w:szCs w:val="20"/>
          <w:lang w:val="en-US"/>
        </w:rPr>
        <w:t xml:space="preserve"> State</w:t>
      </w:r>
      <w:r w:rsidR="00022F5E" w:rsidRPr="00610904">
        <w:rPr>
          <w:rFonts w:cs="Arial"/>
          <w:noProof w:val="0"/>
          <w:szCs w:val="20"/>
          <w:lang w:val="en-US"/>
        </w:rPr>
        <w:t xml:space="preserve"> </w:t>
      </w:r>
      <w:r w:rsidRPr="00610904">
        <w:rPr>
          <w:rFonts w:cs="Arial"/>
          <w:noProof w:val="0"/>
          <w:szCs w:val="20"/>
          <w:lang w:val="en-US"/>
        </w:rPr>
        <w:t xml:space="preserve">also </w:t>
      </w:r>
      <w:r w:rsidR="00022F5E" w:rsidRPr="00610904">
        <w:rPr>
          <w:rFonts w:cs="Arial"/>
          <w:noProof w:val="0"/>
          <w:szCs w:val="20"/>
          <w:lang w:val="en-US"/>
        </w:rPr>
        <w:t>argu</w:t>
      </w:r>
      <w:r w:rsidRPr="00610904">
        <w:rPr>
          <w:rFonts w:cs="Arial"/>
          <w:noProof w:val="0"/>
          <w:szCs w:val="20"/>
          <w:lang w:val="en-US"/>
        </w:rPr>
        <w:t>ed that “</w:t>
      </w:r>
      <w:r w:rsidR="003309BE" w:rsidRPr="00610904">
        <w:rPr>
          <w:rFonts w:cs="Arial"/>
          <w:noProof w:val="0"/>
          <w:szCs w:val="20"/>
          <w:lang w:val="en-US"/>
        </w:rPr>
        <w:t xml:space="preserve">the </w:t>
      </w:r>
      <w:r w:rsidR="009F3D78" w:rsidRPr="00610904">
        <w:rPr>
          <w:rFonts w:cs="Arial"/>
          <w:noProof w:val="0"/>
          <w:szCs w:val="20"/>
          <w:lang w:val="en-US"/>
        </w:rPr>
        <w:t>presumed victims</w:t>
      </w:r>
      <w:r w:rsidRPr="00610904">
        <w:rPr>
          <w:rFonts w:cs="Arial"/>
          <w:noProof w:val="0"/>
          <w:szCs w:val="20"/>
          <w:lang w:val="en-US"/>
        </w:rPr>
        <w:t xml:space="preserve"> were inactive during the processing of the criminal case, to th</w:t>
      </w:r>
      <w:r w:rsidR="00562663" w:rsidRPr="00610904">
        <w:rPr>
          <w:rFonts w:cs="Arial"/>
          <w:noProof w:val="0"/>
          <w:szCs w:val="20"/>
          <w:lang w:val="en-US"/>
        </w:rPr>
        <w:t>e point of failing</w:t>
      </w:r>
      <w:r w:rsidRPr="00610904">
        <w:rPr>
          <w:rFonts w:cs="Arial"/>
          <w:noProof w:val="0"/>
          <w:szCs w:val="20"/>
          <w:lang w:val="en-US"/>
        </w:rPr>
        <w:t xml:space="preserve"> to present private</w:t>
      </w:r>
      <w:r w:rsidR="00022F5E" w:rsidRPr="00610904">
        <w:rPr>
          <w:rFonts w:cs="Arial"/>
          <w:noProof w:val="0"/>
          <w:szCs w:val="20"/>
          <w:lang w:val="en-US"/>
        </w:rPr>
        <w:t xml:space="preserve"> </w:t>
      </w:r>
      <w:r w:rsidRPr="00610904">
        <w:rPr>
          <w:rFonts w:cs="Arial"/>
          <w:noProof w:val="0"/>
          <w:szCs w:val="20"/>
          <w:lang w:val="en-US"/>
        </w:rPr>
        <w:t xml:space="preserve">charges within the pertinent time frame, </w:t>
      </w:r>
      <w:r w:rsidR="00562663" w:rsidRPr="00610904">
        <w:rPr>
          <w:rFonts w:cs="Arial"/>
          <w:noProof w:val="0"/>
          <w:szCs w:val="20"/>
          <w:lang w:val="en-US"/>
        </w:rPr>
        <w:t xml:space="preserve">and </w:t>
      </w:r>
      <w:r w:rsidRPr="00610904">
        <w:rPr>
          <w:rFonts w:cs="Arial"/>
          <w:noProof w:val="0"/>
          <w:szCs w:val="20"/>
          <w:lang w:val="en-US"/>
        </w:rPr>
        <w:t>the procedural effect</w:t>
      </w:r>
      <w:r w:rsidR="00562663" w:rsidRPr="00610904">
        <w:rPr>
          <w:rFonts w:cs="Arial"/>
          <w:noProof w:val="0"/>
          <w:szCs w:val="20"/>
          <w:lang w:val="en-US"/>
        </w:rPr>
        <w:t xml:space="preserve"> of this was</w:t>
      </w:r>
      <w:r w:rsidRPr="00610904">
        <w:rPr>
          <w:rFonts w:cs="Arial"/>
          <w:noProof w:val="0"/>
          <w:szCs w:val="20"/>
          <w:lang w:val="en-US"/>
        </w:rPr>
        <w:t xml:space="preserve"> </w:t>
      </w:r>
      <w:r w:rsidR="00562663" w:rsidRPr="00610904">
        <w:rPr>
          <w:rFonts w:cs="Arial"/>
          <w:noProof w:val="0"/>
          <w:szCs w:val="20"/>
          <w:lang w:val="en-US"/>
        </w:rPr>
        <w:t xml:space="preserve">that they were not </w:t>
      </w:r>
      <w:r w:rsidRPr="00610904">
        <w:rPr>
          <w:rFonts w:cs="Arial"/>
          <w:noProof w:val="0"/>
          <w:szCs w:val="20"/>
          <w:lang w:val="en-US"/>
        </w:rPr>
        <w:t>considered a party to the case, [which] cannot be attributed to the State.” Finally, it argued th</w:t>
      </w:r>
      <w:r w:rsidR="00562663" w:rsidRPr="00610904">
        <w:rPr>
          <w:rFonts w:cs="Arial"/>
          <w:noProof w:val="0"/>
          <w:szCs w:val="20"/>
          <w:lang w:val="en-US"/>
        </w:rPr>
        <w:t>a</w:t>
      </w:r>
      <w:r w:rsidRPr="00610904">
        <w:rPr>
          <w:rFonts w:cs="Arial"/>
          <w:noProof w:val="0"/>
          <w:szCs w:val="20"/>
          <w:lang w:val="en-US"/>
        </w:rPr>
        <w:t>t “if [the Court] does not accept</w:t>
      </w:r>
      <w:r w:rsidRPr="00610904">
        <w:rPr>
          <w:noProof w:val="0"/>
          <w:lang w:val="en-US"/>
        </w:rPr>
        <w:t xml:space="preserve"> [the </w:t>
      </w:r>
      <w:r w:rsidR="00A8072E" w:rsidRPr="00610904">
        <w:rPr>
          <w:rFonts w:cs="Arial"/>
          <w:noProof w:val="0"/>
          <w:szCs w:val="20"/>
          <w:lang w:val="en-US"/>
        </w:rPr>
        <w:t>preliminary objection</w:t>
      </w:r>
      <w:r w:rsidR="00022F5E" w:rsidRPr="00610904">
        <w:rPr>
          <w:rFonts w:cs="Arial"/>
          <w:noProof w:val="0"/>
          <w:szCs w:val="20"/>
          <w:lang w:val="en-US"/>
        </w:rPr>
        <w:t xml:space="preserve"> </w:t>
      </w:r>
      <w:r w:rsidRPr="00610904">
        <w:rPr>
          <w:rFonts w:cs="Arial"/>
          <w:noProof w:val="0"/>
          <w:szCs w:val="20"/>
          <w:lang w:val="en-US"/>
        </w:rPr>
        <w:t>of failure to</w:t>
      </w:r>
      <w:r w:rsidR="00022F5E" w:rsidRPr="00610904">
        <w:rPr>
          <w:rFonts w:cs="Arial"/>
          <w:noProof w:val="0"/>
          <w:szCs w:val="20"/>
          <w:lang w:val="en-US"/>
        </w:rPr>
        <w:t xml:space="preserve">] </w:t>
      </w:r>
      <w:r w:rsidRPr="00610904">
        <w:rPr>
          <w:rFonts w:cs="Arial"/>
          <w:noProof w:val="0"/>
          <w:szCs w:val="20"/>
          <w:lang w:val="en-US"/>
        </w:rPr>
        <w:t>exhaust domestic remedi</w:t>
      </w:r>
      <w:r w:rsidR="00562663" w:rsidRPr="00610904">
        <w:rPr>
          <w:rFonts w:cs="Arial"/>
          <w:noProof w:val="0"/>
          <w:szCs w:val="20"/>
          <w:lang w:val="en-US"/>
        </w:rPr>
        <w:t>e</w:t>
      </w:r>
      <w:r w:rsidRPr="00610904">
        <w:rPr>
          <w:rFonts w:cs="Arial"/>
          <w:noProof w:val="0"/>
          <w:szCs w:val="20"/>
          <w:lang w:val="en-US"/>
        </w:rPr>
        <w:t xml:space="preserve">s, it should accept as </w:t>
      </w:r>
      <w:r w:rsidR="00562663" w:rsidRPr="00610904">
        <w:rPr>
          <w:rFonts w:cs="Arial"/>
          <w:noProof w:val="0"/>
          <w:szCs w:val="20"/>
          <w:lang w:val="en-US"/>
        </w:rPr>
        <w:t>a partial objection</w:t>
      </w:r>
      <w:r w:rsidRPr="00610904">
        <w:rPr>
          <w:rFonts w:cs="Arial"/>
          <w:noProof w:val="0"/>
          <w:szCs w:val="20"/>
          <w:lang w:val="en-US"/>
        </w:rPr>
        <w:t xml:space="preserve"> and not rule on presumed violations of </w:t>
      </w:r>
      <w:r w:rsidR="009F3D78" w:rsidRPr="00610904">
        <w:rPr>
          <w:rFonts w:cs="Arial"/>
          <w:noProof w:val="0"/>
          <w:szCs w:val="20"/>
          <w:lang w:val="en-US"/>
        </w:rPr>
        <w:t>Articles</w:t>
      </w:r>
      <w:r w:rsidR="00022F5E" w:rsidRPr="00610904">
        <w:rPr>
          <w:rFonts w:cs="Arial"/>
          <w:noProof w:val="0"/>
          <w:szCs w:val="20"/>
          <w:lang w:val="en-US"/>
        </w:rPr>
        <w:t xml:space="preserve"> 2, 24</w:t>
      </w:r>
      <w:r w:rsidR="009F3D78" w:rsidRPr="00610904">
        <w:rPr>
          <w:rFonts w:cs="Arial"/>
          <w:noProof w:val="0"/>
          <w:szCs w:val="20"/>
          <w:lang w:val="en-US"/>
        </w:rPr>
        <w:t xml:space="preserve"> and </w:t>
      </w:r>
      <w:r w:rsidR="00022F5E" w:rsidRPr="00610904">
        <w:rPr>
          <w:rFonts w:cs="Arial"/>
          <w:noProof w:val="0"/>
          <w:szCs w:val="20"/>
          <w:lang w:val="en-US"/>
        </w:rPr>
        <w:t>26</w:t>
      </w:r>
      <w:r w:rsidR="009F3D78" w:rsidRPr="00610904">
        <w:rPr>
          <w:rFonts w:cs="Arial"/>
          <w:noProof w:val="0"/>
          <w:szCs w:val="20"/>
          <w:lang w:val="en-US"/>
        </w:rPr>
        <w:t xml:space="preserve"> of the Convention</w:t>
      </w:r>
      <w:r w:rsidR="00022F5E" w:rsidRPr="00610904">
        <w:rPr>
          <w:rFonts w:cs="Arial"/>
          <w:noProof w:val="0"/>
          <w:szCs w:val="20"/>
          <w:lang w:val="en-US"/>
        </w:rPr>
        <w:t xml:space="preserve"> o</w:t>
      </w:r>
      <w:r w:rsidRPr="00610904">
        <w:rPr>
          <w:rFonts w:cs="Arial"/>
          <w:noProof w:val="0"/>
          <w:szCs w:val="20"/>
          <w:lang w:val="en-US"/>
        </w:rPr>
        <w:t xml:space="preserve">r the norms of the </w:t>
      </w:r>
      <w:r w:rsidR="00856968" w:rsidRPr="00610904">
        <w:rPr>
          <w:rFonts w:cs="Arial"/>
          <w:noProof w:val="0"/>
          <w:szCs w:val="20"/>
          <w:lang w:val="en-US"/>
        </w:rPr>
        <w:t>Protocol</w:t>
      </w:r>
      <w:r w:rsidRPr="00610904">
        <w:rPr>
          <w:rFonts w:cs="Arial"/>
          <w:noProof w:val="0"/>
          <w:szCs w:val="20"/>
          <w:lang w:val="en-US"/>
        </w:rPr>
        <w:t xml:space="preserve"> [Addition</w:t>
      </w:r>
      <w:r w:rsidR="00562663" w:rsidRPr="00610904">
        <w:rPr>
          <w:rFonts w:cs="Arial"/>
          <w:noProof w:val="0"/>
          <w:szCs w:val="20"/>
          <w:lang w:val="en-US"/>
        </w:rPr>
        <w:t>al</w:t>
      </w:r>
      <w:r w:rsidRPr="00610904">
        <w:rPr>
          <w:rFonts w:cs="Arial"/>
          <w:noProof w:val="0"/>
          <w:szCs w:val="20"/>
          <w:lang w:val="en-US"/>
        </w:rPr>
        <w:t xml:space="preserve"> to </w:t>
      </w:r>
      <w:r w:rsidR="009F3D78" w:rsidRPr="00610904">
        <w:rPr>
          <w:noProof w:val="0"/>
          <w:szCs w:val="16"/>
          <w:lang w:val="en-US"/>
        </w:rPr>
        <w:t>the American Convention on Human Rights</w:t>
      </w:r>
      <w:r w:rsidR="00022F5E" w:rsidRPr="00610904">
        <w:rPr>
          <w:noProof w:val="0"/>
          <w:szCs w:val="16"/>
          <w:lang w:val="en-US"/>
        </w:rPr>
        <w:t xml:space="preserve"> </w:t>
      </w:r>
      <w:r w:rsidRPr="00610904">
        <w:rPr>
          <w:noProof w:val="0"/>
          <w:szCs w:val="16"/>
          <w:lang w:val="en-US"/>
        </w:rPr>
        <w:t xml:space="preserve">in the area of Economic, Social and Cultural Rights </w:t>
      </w:r>
      <w:r w:rsidR="00022F5E" w:rsidRPr="00610904">
        <w:rPr>
          <w:noProof w:val="0"/>
          <w:szCs w:val="16"/>
          <w:lang w:val="en-US"/>
        </w:rPr>
        <w:t>(</w:t>
      </w:r>
      <w:r w:rsidR="009F3D78" w:rsidRPr="00610904">
        <w:rPr>
          <w:noProof w:val="0"/>
          <w:szCs w:val="16"/>
          <w:lang w:val="en-US"/>
        </w:rPr>
        <w:t>hereinafter</w:t>
      </w:r>
      <w:r w:rsidR="00022F5E" w:rsidRPr="00610904">
        <w:rPr>
          <w:noProof w:val="0"/>
          <w:szCs w:val="16"/>
          <w:lang w:val="en-US"/>
        </w:rPr>
        <w:t xml:space="preserve"> “</w:t>
      </w:r>
      <w:r w:rsidRPr="00610904">
        <w:rPr>
          <w:noProof w:val="0"/>
          <w:szCs w:val="16"/>
          <w:lang w:val="en-US"/>
        </w:rPr>
        <w:t>Protocol of</w:t>
      </w:r>
      <w:r w:rsidR="00022F5E" w:rsidRPr="00610904">
        <w:rPr>
          <w:noProof w:val="0"/>
          <w:szCs w:val="16"/>
          <w:lang w:val="en-US"/>
        </w:rPr>
        <w:t xml:space="preserve"> San Salvador</w:t>
      </w:r>
      <w:r w:rsidRPr="00610904">
        <w:rPr>
          <w:noProof w:val="0"/>
          <w:szCs w:val="16"/>
          <w:lang w:val="en-US"/>
        </w:rPr>
        <w:t>,”</w:t>
      </w:r>
      <w:r w:rsidR="00022F5E" w:rsidRPr="00610904">
        <w:rPr>
          <w:noProof w:val="0"/>
          <w:szCs w:val="16"/>
          <w:lang w:val="en-US"/>
        </w:rPr>
        <w:t>)]</w:t>
      </w:r>
      <w:r w:rsidR="00562663" w:rsidRPr="00610904">
        <w:rPr>
          <w:noProof w:val="0"/>
          <w:szCs w:val="16"/>
          <w:lang w:val="en-US"/>
        </w:rPr>
        <w:t>,</w:t>
      </w:r>
      <w:r w:rsidR="00022F5E" w:rsidRPr="00610904">
        <w:rPr>
          <w:rFonts w:cs="Arial"/>
          <w:noProof w:val="0"/>
          <w:szCs w:val="20"/>
          <w:lang w:val="en-US"/>
        </w:rPr>
        <w:t xml:space="preserve"> </w:t>
      </w:r>
      <w:r w:rsidR="00562663" w:rsidRPr="00610904">
        <w:rPr>
          <w:rFonts w:cs="Arial"/>
          <w:noProof w:val="0"/>
          <w:szCs w:val="20"/>
          <w:lang w:val="en-US"/>
        </w:rPr>
        <w:t>because that</w:t>
      </w:r>
      <w:r w:rsidRPr="00610904">
        <w:rPr>
          <w:rFonts w:cs="Arial"/>
          <w:noProof w:val="0"/>
          <w:szCs w:val="20"/>
          <w:lang w:val="en-US"/>
        </w:rPr>
        <w:t xml:space="preserve"> would violate the State’s right of defense, since those rights had not been examined during the admissibility and merits stages before</w:t>
      </w:r>
      <w:r w:rsidR="00022F5E" w:rsidRPr="00610904">
        <w:rPr>
          <w:rFonts w:cs="Arial"/>
          <w:noProof w:val="0"/>
          <w:szCs w:val="20"/>
          <w:lang w:val="en-US"/>
        </w:rPr>
        <w:t xml:space="preserve"> </w:t>
      </w:r>
      <w:r w:rsidR="002F5BBA" w:rsidRPr="00610904">
        <w:rPr>
          <w:rFonts w:cs="Arial"/>
          <w:noProof w:val="0"/>
          <w:szCs w:val="20"/>
          <w:lang w:val="en-US"/>
        </w:rPr>
        <w:t>the Commission</w:t>
      </w:r>
      <w:r w:rsidR="00562663" w:rsidRPr="00610904">
        <w:rPr>
          <w:rFonts w:cs="Arial"/>
          <w:noProof w:val="0"/>
          <w:szCs w:val="20"/>
          <w:lang w:val="en-US"/>
        </w:rPr>
        <w:t>.”</w:t>
      </w:r>
    </w:p>
    <w:p w:rsidR="00022F5E" w:rsidRPr="00610904" w:rsidRDefault="00022F5E" w:rsidP="00610904">
      <w:pPr>
        <w:rPr>
          <w:noProof w:val="0"/>
          <w:lang w:val="en-US"/>
        </w:rPr>
      </w:pPr>
    </w:p>
    <w:p w:rsidR="00022F5E" w:rsidRPr="00610904" w:rsidRDefault="00A8072E" w:rsidP="00610904">
      <w:pPr>
        <w:numPr>
          <w:ilvl w:val="0"/>
          <w:numId w:val="1"/>
        </w:numPr>
        <w:rPr>
          <w:noProof w:val="0"/>
          <w:lang w:val="en-US"/>
        </w:rPr>
      </w:pPr>
      <w:r w:rsidRPr="00610904">
        <w:rPr>
          <w:rFonts w:cs="Arial"/>
          <w:noProof w:val="0"/>
          <w:szCs w:val="20"/>
          <w:lang w:val="en-US"/>
        </w:rPr>
        <w:t>In the Merits</w:t>
      </w:r>
      <w:r w:rsidR="006E502B" w:rsidRPr="00610904">
        <w:rPr>
          <w:rFonts w:cs="Arial"/>
          <w:noProof w:val="0"/>
          <w:szCs w:val="20"/>
          <w:lang w:val="en-US"/>
        </w:rPr>
        <w:t xml:space="preserve"> Report</w:t>
      </w:r>
      <w:r w:rsidR="00022F5E" w:rsidRPr="00610904">
        <w:rPr>
          <w:rFonts w:cs="Arial"/>
          <w:noProof w:val="0"/>
          <w:szCs w:val="20"/>
          <w:lang w:val="en-US"/>
        </w:rPr>
        <w:t xml:space="preserve">, </w:t>
      </w:r>
      <w:r w:rsidR="002F5BBA" w:rsidRPr="00610904">
        <w:rPr>
          <w:rFonts w:cs="Arial"/>
          <w:noProof w:val="0"/>
          <w:szCs w:val="20"/>
          <w:lang w:val="en-US"/>
        </w:rPr>
        <w:t>the Commission</w:t>
      </w:r>
      <w:r w:rsidR="00022F5E" w:rsidRPr="00610904">
        <w:rPr>
          <w:rFonts w:cs="Arial"/>
          <w:noProof w:val="0"/>
          <w:szCs w:val="20"/>
          <w:lang w:val="en-US"/>
        </w:rPr>
        <w:t xml:space="preserve"> </w:t>
      </w:r>
      <w:r w:rsidR="00562663" w:rsidRPr="00610904">
        <w:rPr>
          <w:rFonts w:cs="Arial"/>
          <w:noProof w:val="0"/>
          <w:szCs w:val="20"/>
          <w:lang w:val="en-US"/>
        </w:rPr>
        <w:t>asserted</w:t>
      </w:r>
      <w:r w:rsidR="00852A2E" w:rsidRPr="00610904">
        <w:rPr>
          <w:rFonts w:cs="Arial"/>
          <w:noProof w:val="0"/>
          <w:szCs w:val="20"/>
          <w:lang w:val="en-US"/>
        </w:rPr>
        <w:t xml:space="preserve"> that, at the admissibility stage, the State had argued that the domestic remedies had not been exhausted, and this aspect was analyzed in the </w:t>
      </w:r>
      <w:r w:rsidR="006E502B" w:rsidRPr="00610904">
        <w:rPr>
          <w:rFonts w:cs="Arial"/>
          <w:noProof w:val="0"/>
          <w:szCs w:val="20"/>
          <w:lang w:val="en-US"/>
        </w:rPr>
        <w:t>Admissibility Report</w:t>
      </w:r>
      <w:r w:rsidR="00022F5E" w:rsidRPr="00610904">
        <w:rPr>
          <w:rFonts w:cs="Arial"/>
          <w:noProof w:val="0"/>
          <w:szCs w:val="20"/>
          <w:lang w:val="en-US"/>
        </w:rPr>
        <w:t>.</w:t>
      </w:r>
      <w:r w:rsidR="00022F5E" w:rsidRPr="00610904">
        <w:rPr>
          <w:rFonts w:cs="Arial"/>
          <w:b/>
          <w:noProof w:val="0"/>
          <w:szCs w:val="20"/>
          <w:lang w:val="en-US"/>
        </w:rPr>
        <w:t xml:space="preserve"> </w:t>
      </w:r>
      <w:r w:rsidR="00852A2E" w:rsidRPr="00610904">
        <w:rPr>
          <w:rFonts w:cs="Arial"/>
          <w:noProof w:val="0"/>
          <w:szCs w:val="20"/>
          <w:lang w:val="en-US"/>
        </w:rPr>
        <w:t>In its</w:t>
      </w:r>
      <w:r w:rsidR="00022F5E" w:rsidRPr="00610904">
        <w:rPr>
          <w:rFonts w:cs="Arial"/>
          <w:noProof w:val="0"/>
          <w:szCs w:val="20"/>
          <w:lang w:val="en-US"/>
        </w:rPr>
        <w:t xml:space="preserve"> </w:t>
      </w:r>
      <w:r w:rsidR="00795F5F" w:rsidRPr="00610904">
        <w:rPr>
          <w:rFonts w:cs="Arial"/>
          <w:noProof w:val="0"/>
          <w:szCs w:val="20"/>
          <w:lang w:val="en-US"/>
        </w:rPr>
        <w:t>observations</w:t>
      </w:r>
      <w:r w:rsidR="00022F5E" w:rsidRPr="00610904">
        <w:rPr>
          <w:rFonts w:cs="Arial"/>
          <w:noProof w:val="0"/>
          <w:szCs w:val="20"/>
          <w:lang w:val="en-US"/>
        </w:rPr>
        <w:t xml:space="preserve"> </w:t>
      </w:r>
      <w:r w:rsidR="00852A2E" w:rsidRPr="00610904">
        <w:rPr>
          <w:rFonts w:cs="Arial"/>
          <w:noProof w:val="0"/>
          <w:szCs w:val="20"/>
          <w:lang w:val="en-US"/>
        </w:rPr>
        <w:t>on the</w:t>
      </w:r>
      <w:r w:rsidR="00022F5E" w:rsidRPr="00610904">
        <w:rPr>
          <w:rFonts w:cs="Arial"/>
          <w:noProof w:val="0"/>
          <w:szCs w:val="20"/>
          <w:lang w:val="en-US"/>
        </w:rPr>
        <w:t xml:space="preserve"> </w:t>
      </w:r>
      <w:r w:rsidRPr="00610904">
        <w:rPr>
          <w:rFonts w:cs="Arial"/>
          <w:noProof w:val="0"/>
          <w:szCs w:val="20"/>
          <w:lang w:val="en-US"/>
        </w:rPr>
        <w:t>preliminary objections</w:t>
      </w:r>
      <w:r w:rsidR="00022F5E" w:rsidRPr="00610904">
        <w:rPr>
          <w:rFonts w:cs="Arial"/>
          <w:noProof w:val="0"/>
          <w:szCs w:val="20"/>
          <w:lang w:val="en-US"/>
        </w:rPr>
        <w:t xml:space="preserve">, </w:t>
      </w:r>
      <w:r w:rsidR="002F5BBA" w:rsidRPr="00610904">
        <w:rPr>
          <w:rFonts w:cs="Arial"/>
          <w:noProof w:val="0"/>
          <w:szCs w:val="20"/>
          <w:lang w:val="en-US"/>
        </w:rPr>
        <w:t>the Commission</w:t>
      </w:r>
      <w:r w:rsidR="00852A2E" w:rsidRPr="00610904">
        <w:rPr>
          <w:rFonts w:cs="Arial"/>
          <w:noProof w:val="0"/>
          <w:szCs w:val="20"/>
          <w:lang w:val="en-US"/>
        </w:rPr>
        <w:t xml:space="preserve"> indicated that “the arguments presented to </w:t>
      </w:r>
      <w:r w:rsidR="002F5BBA" w:rsidRPr="00610904">
        <w:rPr>
          <w:rFonts w:cs="Arial"/>
          <w:noProof w:val="0"/>
          <w:szCs w:val="20"/>
          <w:lang w:val="en-US"/>
        </w:rPr>
        <w:t>the Commission</w:t>
      </w:r>
      <w:r w:rsidR="00852A2E" w:rsidRPr="00610904">
        <w:rPr>
          <w:rFonts w:cs="Arial"/>
          <w:noProof w:val="0"/>
          <w:szCs w:val="20"/>
          <w:lang w:val="en-US"/>
        </w:rPr>
        <w:t xml:space="preserve"> are not fully consistent with the arguments presented to the Court.” In particular, it pointed out that, at the </w:t>
      </w:r>
      <w:r w:rsidR="00856968" w:rsidRPr="00610904">
        <w:rPr>
          <w:rFonts w:cs="Arial"/>
          <w:noProof w:val="0"/>
          <w:szCs w:val="20"/>
          <w:lang w:val="en-US"/>
        </w:rPr>
        <w:t>admissibility</w:t>
      </w:r>
      <w:r w:rsidR="00852A2E" w:rsidRPr="00610904">
        <w:rPr>
          <w:rFonts w:cs="Arial"/>
          <w:noProof w:val="0"/>
          <w:szCs w:val="20"/>
          <w:lang w:val="en-US"/>
        </w:rPr>
        <w:t xml:space="preserve"> stage, the State had not referred to the appeal in the context of the action for</w:t>
      </w:r>
      <w:r w:rsidR="00852A2E" w:rsidRPr="00610904">
        <w:rPr>
          <w:noProof w:val="0"/>
          <w:lang w:val="en-US"/>
        </w:rPr>
        <w:t xml:space="preserve"> </w:t>
      </w:r>
      <w:r w:rsidR="00852A2E" w:rsidRPr="00610904">
        <w:rPr>
          <w:rFonts w:cs="Arial"/>
          <w:noProof w:val="0"/>
          <w:szCs w:val="20"/>
          <w:lang w:val="en-US"/>
        </w:rPr>
        <w:t>constitutional protection</w:t>
      </w:r>
      <w:r w:rsidR="00022F5E" w:rsidRPr="00610904">
        <w:rPr>
          <w:rFonts w:cs="Arial"/>
          <w:noProof w:val="0"/>
          <w:szCs w:val="20"/>
          <w:lang w:val="en-US"/>
        </w:rPr>
        <w:t xml:space="preserve"> </w:t>
      </w:r>
      <w:r w:rsidR="00852A2E" w:rsidRPr="00610904">
        <w:rPr>
          <w:rFonts w:cs="Arial"/>
          <w:noProof w:val="0"/>
          <w:szCs w:val="20"/>
          <w:lang w:val="en-US"/>
        </w:rPr>
        <w:t xml:space="preserve">so that this component of the </w:t>
      </w:r>
      <w:r w:rsidRPr="00610904">
        <w:rPr>
          <w:rFonts w:cs="Arial"/>
          <w:noProof w:val="0"/>
          <w:szCs w:val="20"/>
          <w:lang w:val="en-US"/>
        </w:rPr>
        <w:t>preliminary objection</w:t>
      </w:r>
      <w:r w:rsidR="00022F5E" w:rsidRPr="00610904">
        <w:rPr>
          <w:rFonts w:cs="Arial"/>
          <w:noProof w:val="0"/>
          <w:szCs w:val="20"/>
          <w:lang w:val="en-US"/>
        </w:rPr>
        <w:t xml:space="preserve"> </w:t>
      </w:r>
      <w:r w:rsidR="00852A2E" w:rsidRPr="00610904">
        <w:rPr>
          <w:rFonts w:cs="Arial"/>
          <w:noProof w:val="0"/>
          <w:szCs w:val="20"/>
          <w:lang w:val="en-US"/>
        </w:rPr>
        <w:t>should be rejected as time-barred.</w:t>
      </w:r>
    </w:p>
    <w:p w:rsidR="00022F5E" w:rsidRPr="00610904" w:rsidRDefault="00022F5E" w:rsidP="00610904">
      <w:pPr>
        <w:rPr>
          <w:noProof w:val="0"/>
          <w:lang w:val="en-US"/>
        </w:rPr>
      </w:pPr>
    </w:p>
    <w:p w:rsidR="00022F5E" w:rsidRPr="00610904" w:rsidRDefault="00275FA5" w:rsidP="00610904">
      <w:pPr>
        <w:numPr>
          <w:ilvl w:val="0"/>
          <w:numId w:val="1"/>
        </w:numPr>
        <w:rPr>
          <w:noProof w:val="0"/>
          <w:lang w:val="en-US"/>
        </w:rPr>
      </w:pPr>
      <w:r w:rsidRPr="00610904">
        <w:rPr>
          <w:rFonts w:cs="Arial"/>
          <w:noProof w:val="0"/>
          <w:szCs w:val="20"/>
          <w:lang w:val="en-US"/>
        </w:rPr>
        <w:t>The</w:t>
      </w:r>
      <w:r w:rsidR="002F5BBA" w:rsidRPr="00610904">
        <w:rPr>
          <w:rFonts w:cs="Arial"/>
          <w:noProof w:val="0"/>
          <w:szCs w:val="20"/>
          <w:lang w:val="en-US"/>
        </w:rPr>
        <w:t xml:space="preserve"> Commission</w:t>
      </w:r>
      <w:r w:rsidR="00022F5E" w:rsidRPr="00610904">
        <w:rPr>
          <w:rFonts w:cs="Arial"/>
          <w:noProof w:val="0"/>
          <w:szCs w:val="20"/>
          <w:lang w:val="en-US"/>
        </w:rPr>
        <w:t xml:space="preserve"> </w:t>
      </w:r>
      <w:r w:rsidR="00562663" w:rsidRPr="00610904">
        <w:rPr>
          <w:rFonts w:cs="Arial"/>
          <w:noProof w:val="0"/>
          <w:szCs w:val="20"/>
          <w:lang w:val="en-US"/>
        </w:rPr>
        <w:t xml:space="preserve">also recalled that, in </w:t>
      </w:r>
      <w:r w:rsidR="006E502B" w:rsidRPr="00610904">
        <w:rPr>
          <w:rFonts w:cs="Arial"/>
          <w:noProof w:val="0"/>
          <w:szCs w:val="20"/>
          <w:lang w:val="en-US"/>
        </w:rPr>
        <w:t>Admissibility Report</w:t>
      </w:r>
      <w:r w:rsidR="00022F5E" w:rsidRPr="00610904">
        <w:rPr>
          <w:rFonts w:cs="Arial"/>
          <w:noProof w:val="0"/>
          <w:szCs w:val="20"/>
          <w:lang w:val="en-US"/>
        </w:rPr>
        <w:t xml:space="preserve"> 89/09</w:t>
      </w:r>
      <w:r w:rsidRPr="00610904">
        <w:rPr>
          <w:rFonts w:cs="Arial"/>
          <w:noProof w:val="0"/>
          <w:szCs w:val="20"/>
          <w:lang w:val="en-US"/>
        </w:rPr>
        <w:t xml:space="preserve">, it had ruled on the requirements for admissibility established in </w:t>
      </w:r>
      <w:r w:rsidR="009F3D78" w:rsidRPr="00610904">
        <w:rPr>
          <w:rFonts w:cs="Arial"/>
          <w:noProof w:val="0"/>
          <w:szCs w:val="20"/>
          <w:lang w:val="en-US"/>
        </w:rPr>
        <w:t>the American Convention</w:t>
      </w:r>
      <w:r w:rsidR="00022F5E" w:rsidRPr="00610904">
        <w:rPr>
          <w:rFonts w:cs="Arial"/>
          <w:noProof w:val="0"/>
          <w:szCs w:val="20"/>
          <w:lang w:val="en-US"/>
        </w:rPr>
        <w:t xml:space="preserve">. </w:t>
      </w:r>
      <w:r w:rsidRPr="00610904">
        <w:rPr>
          <w:rFonts w:cs="Arial"/>
          <w:noProof w:val="0"/>
          <w:szCs w:val="20"/>
          <w:lang w:val="en-US"/>
        </w:rPr>
        <w:t>The</w:t>
      </w:r>
      <w:r w:rsidR="002F5BBA" w:rsidRPr="00610904">
        <w:rPr>
          <w:rFonts w:cs="Arial"/>
          <w:noProof w:val="0"/>
          <w:szCs w:val="20"/>
          <w:lang w:val="en-US"/>
        </w:rPr>
        <w:t xml:space="preserve"> Commission</w:t>
      </w:r>
      <w:r w:rsidR="00022F5E" w:rsidRPr="00610904">
        <w:rPr>
          <w:rFonts w:cs="Arial"/>
          <w:noProof w:val="0"/>
          <w:szCs w:val="20"/>
          <w:lang w:val="en-US"/>
        </w:rPr>
        <w:t xml:space="preserve"> recapitul</w:t>
      </w:r>
      <w:r w:rsidRPr="00610904">
        <w:rPr>
          <w:rFonts w:cs="Arial"/>
          <w:noProof w:val="0"/>
          <w:szCs w:val="20"/>
          <w:lang w:val="en-US"/>
        </w:rPr>
        <w:t>ated th</w:t>
      </w:r>
      <w:r w:rsidR="00562663" w:rsidRPr="00610904">
        <w:rPr>
          <w:rFonts w:cs="Arial"/>
          <w:noProof w:val="0"/>
          <w:szCs w:val="20"/>
          <w:lang w:val="en-US"/>
        </w:rPr>
        <w:t>a</w:t>
      </w:r>
      <w:r w:rsidRPr="00610904">
        <w:rPr>
          <w:rFonts w:cs="Arial"/>
          <w:noProof w:val="0"/>
          <w:szCs w:val="20"/>
          <w:lang w:val="en-US"/>
        </w:rPr>
        <w:t xml:space="preserve">t the petitioners had </w:t>
      </w:r>
      <w:r w:rsidR="00562663" w:rsidRPr="00610904">
        <w:rPr>
          <w:rFonts w:cs="Arial"/>
          <w:noProof w:val="0"/>
          <w:szCs w:val="20"/>
          <w:lang w:val="en-US"/>
        </w:rPr>
        <w:t>informed</w:t>
      </w:r>
      <w:r w:rsidRPr="00610904">
        <w:rPr>
          <w:rFonts w:cs="Arial"/>
          <w:noProof w:val="0"/>
          <w:szCs w:val="20"/>
          <w:lang w:val="en-US"/>
        </w:rPr>
        <w:t xml:space="preserve"> the State of Talía’s </w:t>
      </w:r>
      <w:r w:rsidR="00436E84" w:rsidRPr="00610904">
        <w:rPr>
          <w:rFonts w:cs="Arial"/>
          <w:noProof w:val="0"/>
          <w:szCs w:val="20"/>
          <w:lang w:val="en-US"/>
        </w:rPr>
        <w:t>infection</w:t>
      </w:r>
      <w:r w:rsidRPr="00610904">
        <w:rPr>
          <w:rFonts w:cs="Arial"/>
          <w:noProof w:val="0"/>
          <w:szCs w:val="20"/>
          <w:lang w:val="en-US"/>
        </w:rPr>
        <w:t xml:space="preserve"> with HIV by</w:t>
      </w:r>
      <w:r w:rsidR="00562663" w:rsidRPr="00610904">
        <w:rPr>
          <w:rFonts w:cs="Arial"/>
          <w:noProof w:val="0"/>
          <w:szCs w:val="20"/>
          <w:lang w:val="en-US"/>
        </w:rPr>
        <w:t xml:space="preserve"> means of</w:t>
      </w:r>
      <w:r w:rsidRPr="00610904">
        <w:rPr>
          <w:rFonts w:cs="Arial"/>
          <w:noProof w:val="0"/>
          <w:szCs w:val="20"/>
          <w:lang w:val="en-US"/>
        </w:rPr>
        <w:t xml:space="preserve"> </w:t>
      </w:r>
      <w:r w:rsidR="00A8072E" w:rsidRPr="00610904">
        <w:rPr>
          <w:rFonts w:cs="Arial"/>
          <w:noProof w:val="0"/>
          <w:szCs w:val="20"/>
          <w:lang w:val="en-US"/>
        </w:rPr>
        <w:t>the criminal action</w:t>
      </w:r>
      <w:r w:rsidR="009F3D78" w:rsidRPr="00610904">
        <w:rPr>
          <w:rFonts w:cs="Arial"/>
          <w:noProof w:val="0"/>
          <w:szCs w:val="20"/>
          <w:lang w:val="en-US"/>
        </w:rPr>
        <w:t xml:space="preserve"> and </w:t>
      </w:r>
      <w:r w:rsidRPr="00610904">
        <w:rPr>
          <w:rFonts w:cs="Arial"/>
          <w:noProof w:val="0"/>
          <w:szCs w:val="20"/>
          <w:lang w:val="en-US"/>
        </w:rPr>
        <w:t>the</w:t>
      </w:r>
      <w:r w:rsidR="00022F5E" w:rsidRPr="00610904">
        <w:rPr>
          <w:rFonts w:cs="Arial"/>
          <w:noProof w:val="0"/>
          <w:szCs w:val="20"/>
          <w:lang w:val="en-US"/>
        </w:rPr>
        <w:t xml:space="preserve"> civil </w:t>
      </w:r>
      <w:r w:rsidRPr="00610904">
        <w:rPr>
          <w:rFonts w:cs="Arial"/>
          <w:noProof w:val="0"/>
          <w:szCs w:val="20"/>
          <w:lang w:val="en-US"/>
        </w:rPr>
        <w:t>action for damages, during which the State had the opportunity to remedy the situation, which had not occurred in this case. To the contrary</w:t>
      </w:r>
      <w:r w:rsidR="00022F5E" w:rsidRPr="00610904">
        <w:rPr>
          <w:rFonts w:cs="Arial"/>
          <w:noProof w:val="0"/>
          <w:szCs w:val="20"/>
          <w:lang w:val="en-US"/>
        </w:rPr>
        <w:t xml:space="preserve">, </w:t>
      </w:r>
      <w:r w:rsidR="00A8072E" w:rsidRPr="00610904">
        <w:rPr>
          <w:rFonts w:cs="Arial"/>
          <w:noProof w:val="0"/>
          <w:szCs w:val="20"/>
          <w:lang w:val="en-US"/>
        </w:rPr>
        <w:t xml:space="preserve">the </w:t>
      </w:r>
      <w:r w:rsidR="00FF7BFA" w:rsidRPr="00610904">
        <w:rPr>
          <w:rFonts w:cs="Arial"/>
          <w:noProof w:val="0"/>
          <w:szCs w:val="20"/>
          <w:lang w:val="en-US"/>
        </w:rPr>
        <w:t xml:space="preserve">statute of limitations took effect in the </w:t>
      </w:r>
      <w:r w:rsidR="00A8072E" w:rsidRPr="00610904">
        <w:rPr>
          <w:rFonts w:cs="Arial"/>
          <w:noProof w:val="0"/>
          <w:szCs w:val="20"/>
          <w:lang w:val="en-US"/>
        </w:rPr>
        <w:t xml:space="preserve">criminal </w:t>
      </w:r>
      <w:r w:rsidR="00FF7BFA" w:rsidRPr="00610904">
        <w:rPr>
          <w:rFonts w:cs="Arial"/>
          <w:noProof w:val="0"/>
          <w:szCs w:val="20"/>
          <w:lang w:val="en-US"/>
        </w:rPr>
        <w:t>proceedings</w:t>
      </w:r>
      <w:r w:rsidRPr="00610904">
        <w:rPr>
          <w:rFonts w:cs="Arial"/>
          <w:noProof w:val="0"/>
          <w:szCs w:val="20"/>
          <w:lang w:val="en-US"/>
        </w:rPr>
        <w:t xml:space="preserve"> without any responsibility being established, while the civil proceedings were declared null and void owing to the prescription </w:t>
      </w:r>
      <w:r w:rsidRPr="00610904">
        <w:rPr>
          <w:rFonts w:cs="Arial"/>
          <w:noProof w:val="0"/>
          <w:szCs w:val="20"/>
          <w:lang w:val="en-US"/>
        </w:rPr>
        <w:lastRenderedPageBreak/>
        <w:t xml:space="preserve">of the criminal case. Thus, </w:t>
      </w:r>
      <w:r w:rsidR="002F5BBA" w:rsidRPr="00610904">
        <w:rPr>
          <w:rFonts w:cs="Arial"/>
          <w:noProof w:val="0"/>
          <w:szCs w:val="20"/>
          <w:lang w:val="en-US"/>
        </w:rPr>
        <w:t>the Commission</w:t>
      </w:r>
      <w:r w:rsidR="00022F5E" w:rsidRPr="00610904">
        <w:rPr>
          <w:rFonts w:cs="Arial"/>
          <w:noProof w:val="0"/>
          <w:szCs w:val="20"/>
          <w:lang w:val="en-US"/>
        </w:rPr>
        <w:t xml:space="preserve"> consider</w:t>
      </w:r>
      <w:r w:rsidRPr="00610904">
        <w:rPr>
          <w:rFonts w:cs="Arial"/>
          <w:noProof w:val="0"/>
          <w:szCs w:val="20"/>
          <w:lang w:val="en-US"/>
        </w:rPr>
        <w:t>ed that both the civil and the criminal domestic remedies had been exhausted</w:t>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rFonts w:cs="Arial"/>
          <w:noProof w:val="0"/>
          <w:szCs w:val="20"/>
          <w:lang w:val="en-US"/>
        </w:rPr>
        <w:t>The representatives</w:t>
      </w:r>
      <w:r w:rsidR="00022F5E" w:rsidRPr="00610904">
        <w:rPr>
          <w:rFonts w:cs="Arial"/>
          <w:noProof w:val="0"/>
          <w:szCs w:val="20"/>
          <w:lang w:val="en-US"/>
        </w:rPr>
        <w:t xml:space="preserve"> </w:t>
      </w:r>
      <w:r w:rsidR="00275FA5" w:rsidRPr="00610904">
        <w:rPr>
          <w:rFonts w:cs="Arial"/>
          <w:noProof w:val="0"/>
          <w:szCs w:val="20"/>
          <w:lang w:val="en-US"/>
        </w:rPr>
        <w:t xml:space="preserve">affirmed that the State “demands that remedies be exhausted that would have delayed the trials, or remedies that were not created to protect fundamental rights [and that] are inappropriate.” According to </w:t>
      </w:r>
      <w:r w:rsidRPr="00610904">
        <w:rPr>
          <w:rFonts w:cs="Arial"/>
          <w:noProof w:val="0"/>
          <w:szCs w:val="20"/>
          <w:lang w:val="en-US"/>
        </w:rPr>
        <w:t>the representatives</w:t>
      </w:r>
      <w:r w:rsidR="00022F5E" w:rsidRPr="00610904">
        <w:rPr>
          <w:rFonts w:cs="Arial"/>
          <w:noProof w:val="0"/>
          <w:szCs w:val="20"/>
          <w:lang w:val="en-US"/>
        </w:rPr>
        <w:t xml:space="preserve"> “</w:t>
      </w:r>
      <w:r w:rsidR="00275FA5" w:rsidRPr="00610904">
        <w:rPr>
          <w:rFonts w:cs="Arial"/>
          <w:noProof w:val="0"/>
          <w:szCs w:val="20"/>
          <w:lang w:val="en-US"/>
        </w:rPr>
        <w:t xml:space="preserve">the appropriate action that was available to these persons was the application for </w:t>
      </w:r>
      <w:r w:rsidR="00852A2E" w:rsidRPr="00610904">
        <w:rPr>
          <w:rFonts w:cs="Arial"/>
          <w:noProof w:val="0"/>
          <w:szCs w:val="20"/>
          <w:lang w:val="en-US"/>
        </w:rPr>
        <w:t>constitutional protection</w:t>
      </w:r>
      <w:r w:rsidRPr="00610904">
        <w:rPr>
          <w:rFonts w:cs="Arial"/>
          <w:noProof w:val="0"/>
          <w:szCs w:val="20"/>
          <w:lang w:val="en-US"/>
        </w:rPr>
        <w:t xml:space="preserve"> and </w:t>
      </w:r>
      <w:r w:rsidR="00A8072E" w:rsidRPr="00610904">
        <w:rPr>
          <w:rFonts w:cs="Arial"/>
          <w:noProof w:val="0"/>
          <w:szCs w:val="20"/>
          <w:lang w:val="en-US"/>
        </w:rPr>
        <w:t>the criminal action</w:t>
      </w:r>
      <w:r w:rsidR="00022F5E" w:rsidRPr="00610904">
        <w:rPr>
          <w:rFonts w:cs="Arial"/>
          <w:noProof w:val="0"/>
          <w:szCs w:val="20"/>
          <w:lang w:val="en-US"/>
        </w:rPr>
        <w:t xml:space="preserve"> </w:t>
      </w:r>
      <w:r w:rsidR="00275FA5" w:rsidRPr="00610904">
        <w:rPr>
          <w:rFonts w:cs="Arial"/>
          <w:noProof w:val="0"/>
          <w:szCs w:val="20"/>
          <w:lang w:val="en-US"/>
        </w:rPr>
        <w:t>which resulted in civil reparation if</w:t>
      </w:r>
      <w:r w:rsidR="00FF7BFA" w:rsidRPr="00610904">
        <w:rPr>
          <w:rFonts w:cs="Arial"/>
          <w:noProof w:val="0"/>
          <w:szCs w:val="20"/>
          <w:lang w:val="en-US"/>
        </w:rPr>
        <w:t xml:space="preserve"> it had been effective, and both of these were </w:t>
      </w:r>
      <w:r w:rsidR="00275FA5" w:rsidRPr="00610904">
        <w:rPr>
          <w:rFonts w:cs="Arial"/>
          <w:noProof w:val="0"/>
          <w:szCs w:val="20"/>
          <w:lang w:val="en-US"/>
        </w:rPr>
        <w:t>exhausted.” Lastly, they indicated that “the actions est</w:t>
      </w:r>
      <w:r w:rsidR="00FF7BFA" w:rsidRPr="00610904">
        <w:rPr>
          <w:rFonts w:cs="Arial"/>
          <w:noProof w:val="0"/>
          <w:szCs w:val="20"/>
          <w:lang w:val="en-US"/>
        </w:rPr>
        <w:t>a</w:t>
      </w:r>
      <w:r w:rsidR="00275FA5" w:rsidRPr="00610904">
        <w:rPr>
          <w:rFonts w:cs="Arial"/>
          <w:noProof w:val="0"/>
          <w:szCs w:val="20"/>
          <w:lang w:val="en-US"/>
        </w:rPr>
        <w:t xml:space="preserve">blished by the Ecuadorian legal </w:t>
      </w:r>
      <w:proofErr w:type="gramStart"/>
      <w:r w:rsidR="00275FA5" w:rsidRPr="00610904">
        <w:rPr>
          <w:rFonts w:cs="Arial"/>
          <w:noProof w:val="0"/>
          <w:szCs w:val="20"/>
          <w:lang w:val="en-US"/>
        </w:rPr>
        <w:t>system are</w:t>
      </w:r>
      <w:proofErr w:type="gramEnd"/>
      <w:r w:rsidR="00275FA5" w:rsidRPr="00610904">
        <w:rPr>
          <w:rFonts w:cs="Arial"/>
          <w:noProof w:val="0"/>
          <w:szCs w:val="20"/>
          <w:lang w:val="en-US"/>
        </w:rPr>
        <w:t xml:space="preserve"> simply ineffective, and those suggested by the State are inappropriate.”</w:t>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A8072E" w:rsidP="00610904">
      <w:pPr>
        <w:ind w:left="360"/>
        <w:rPr>
          <w:i/>
          <w:noProof w:val="0"/>
          <w:lang w:val="en-US" w:eastAsia="es-ES"/>
        </w:rPr>
      </w:pPr>
      <w:r w:rsidRPr="00610904">
        <w:rPr>
          <w:i/>
          <w:noProof w:val="0"/>
          <w:lang w:val="en-US" w:eastAsia="es-ES"/>
        </w:rPr>
        <w:t>Considerations</w:t>
      </w:r>
      <w:r w:rsidR="009F3D78" w:rsidRPr="00610904">
        <w:rPr>
          <w:i/>
          <w:noProof w:val="0"/>
          <w:lang w:val="en-US" w:eastAsia="es-ES"/>
        </w:rPr>
        <w:t xml:space="preserve"> of the Court</w:t>
      </w:r>
    </w:p>
    <w:p w:rsidR="00022F5E" w:rsidRPr="00610904" w:rsidRDefault="00022F5E" w:rsidP="00610904">
      <w:pPr>
        <w:rPr>
          <w:noProof w:val="0"/>
          <w:lang w:val="en-US"/>
        </w:rPr>
      </w:pPr>
    </w:p>
    <w:p w:rsidR="00022F5E" w:rsidRPr="00610904" w:rsidRDefault="00A8072E" w:rsidP="00610904">
      <w:pPr>
        <w:numPr>
          <w:ilvl w:val="0"/>
          <w:numId w:val="1"/>
        </w:numPr>
        <w:rPr>
          <w:noProof w:val="0"/>
          <w:lang w:val="en-US"/>
        </w:rPr>
      </w:pPr>
      <w:r w:rsidRPr="00610904">
        <w:rPr>
          <w:noProof w:val="0"/>
          <w:lang w:val="en-US"/>
        </w:rPr>
        <w:t>Article</w:t>
      </w:r>
      <w:r w:rsidR="00022F5E" w:rsidRPr="00610904">
        <w:rPr>
          <w:noProof w:val="0"/>
          <w:lang w:val="en-US"/>
        </w:rPr>
        <w:t xml:space="preserve"> </w:t>
      </w:r>
      <w:r w:rsidRPr="00610904">
        <w:rPr>
          <w:noProof w:val="0"/>
          <w:lang w:val="en-US"/>
        </w:rPr>
        <w:t>46(1)(a) of</w:t>
      </w:r>
      <w:r w:rsidR="00022F5E" w:rsidRPr="00610904">
        <w:rPr>
          <w:noProof w:val="0"/>
          <w:lang w:val="en-US"/>
        </w:rPr>
        <w:t xml:space="preserve"> </w:t>
      </w:r>
      <w:r w:rsidRPr="00610904">
        <w:rPr>
          <w:noProof w:val="0"/>
          <w:lang w:val="en-US"/>
        </w:rPr>
        <w:t>the American Convention</w:t>
      </w:r>
      <w:r w:rsidR="00275FA5" w:rsidRPr="00610904">
        <w:rPr>
          <w:noProof w:val="0"/>
          <w:lang w:val="en-US"/>
        </w:rPr>
        <w:t xml:space="preserve"> establishes that, in order to determine the admissibility of a petition or communication </w:t>
      </w:r>
      <w:r w:rsidR="00275FA5" w:rsidRPr="00610904">
        <w:rPr>
          <w:noProof w:val="0"/>
          <w:spacing w:val="-3"/>
          <w:szCs w:val="20"/>
          <w:lang w:val="en-US"/>
        </w:rPr>
        <w:t xml:space="preserve">lodged before the Inter-American Commission in accordance with Articles 44 or 45 of the Convention, the remedies under domestic law must have been pursued and exhausted in accordance with generally recognized principles of international law. Thus, the Court has maintained that an objection to the exercise of its jurisdiction based on the supposed failure to exhaust domestic remedies must be presented at the appropriate procedural moment; that is, during the admissibility procedure before the </w:t>
      </w:r>
      <w:r w:rsidRPr="00610904">
        <w:rPr>
          <w:noProof w:val="0"/>
          <w:lang w:val="en-US"/>
        </w:rPr>
        <w:t>Commission</w:t>
      </w:r>
      <w:r w:rsidR="00275FA5" w:rsidRPr="00610904">
        <w:rPr>
          <w:noProof w:val="0"/>
          <w:lang w:val="en-US"/>
        </w:rPr>
        <w:t>.</w:t>
      </w:r>
      <w:r w:rsidR="00022F5E" w:rsidRPr="00610904">
        <w:rPr>
          <w:noProof w:val="0"/>
          <w:szCs w:val="20"/>
          <w:vertAlign w:val="superscript"/>
          <w:lang w:val="en-US"/>
        </w:rPr>
        <w:footnoteReference w:id="25"/>
      </w:r>
    </w:p>
    <w:p w:rsidR="00022F5E" w:rsidRPr="00610904" w:rsidRDefault="00022F5E" w:rsidP="00610904">
      <w:pPr>
        <w:rPr>
          <w:noProof w:val="0"/>
          <w:lang w:val="en-US"/>
        </w:rPr>
      </w:pPr>
    </w:p>
    <w:p w:rsidR="00022F5E" w:rsidRPr="00610904" w:rsidRDefault="00065FFA" w:rsidP="00610904">
      <w:pPr>
        <w:numPr>
          <w:ilvl w:val="0"/>
          <w:numId w:val="1"/>
        </w:numPr>
        <w:rPr>
          <w:noProof w:val="0"/>
          <w:lang w:val="en-US"/>
        </w:rPr>
      </w:pPr>
      <w:r w:rsidRPr="00610904">
        <w:rPr>
          <w:noProof w:val="0"/>
          <w:lang w:val="en-US"/>
        </w:rPr>
        <w:t>Therefore</w:t>
      </w:r>
      <w:r w:rsidR="00022F5E" w:rsidRPr="00610904">
        <w:rPr>
          <w:noProof w:val="0"/>
          <w:lang w:val="en-US"/>
        </w:rPr>
        <w:t xml:space="preserve">, </w:t>
      </w:r>
      <w:r w:rsidR="00FF7BFA" w:rsidRPr="00610904">
        <w:rPr>
          <w:noProof w:val="0"/>
          <w:lang w:val="en-US"/>
        </w:rPr>
        <w:t xml:space="preserve">during that stage of the processing of the case, </w:t>
      </w:r>
      <w:r w:rsidR="009F3D78" w:rsidRPr="00610904">
        <w:rPr>
          <w:noProof w:val="0"/>
          <w:lang w:val="en-US"/>
        </w:rPr>
        <w:t>the State</w:t>
      </w:r>
      <w:r w:rsidR="00022F5E" w:rsidRPr="00610904">
        <w:rPr>
          <w:noProof w:val="0"/>
          <w:lang w:val="en-US"/>
        </w:rPr>
        <w:t xml:space="preserve"> </w:t>
      </w:r>
      <w:r w:rsidRPr="00610904">
        <w:rPr>
          <w:noProof w:val="0"/>
          <w:lang w:val="en-US"/>
        </w:rPr>
        <w:t>must explain</w:t>
      </w:r>
      <w:r w:rsidR="00FF7BFA" w:rsidRPr="00610904">
        <w:rPr>
          <w:noProof w:val="0"/>
          <w:lang w:val="en-US"/>
        </w:rPr>
        <w:t xml:space="preserve"> clearly</w:t>
      </w:r>
      <w:r w:rsidRPr="00610904">
        <w:rPr>
          <w:noProof w:val="0"/>
          <w:lang w:val="en-US"/>
        </w:rPr>
        <w:t xml:space="preserve"> to </w:t>
      </w:r>
      <w:r w:rsidR="00A8072E" w:rsidRPr="00610904">
        <w:rPr>
          <w:noProof w:val="0"/>
          <w:lang w:val="en-US"/>
        </w:rPr>
        <w:t>the Commission</w:t>
      </w:r>
      <w:r w:rsidRPr="00610904">
        <w:rPr>
          <w:noProof w:val="0"/>
          <w:lang w:val="en-US"/>
        </w:rPr>
        <w:t xml:space="preserve"> the remedies that, in its opinion, have not been exhausted. This is related to the need to safeguard the principle of procedural equality between the parties that should govern any proceeding be</w:t>
      </w:r>
      <w:r w:rsidR="00FF7BFA" w:rsidRPr="00610904">
        <w:rPr>
          <w:noProof w:val="0"/>
          <w:lang w:val="en-US"/>
        </w:rPr>
        <w:t>fore the inter-American system.</w:t>
      </w:r>
      <w:r w:rsidRPr="00610904">
        <w:rPr>
          <w:noProof w:val="0"/>
          <w:lang w:val="en-US"/>
        </w:rPr>
        <w:t xml:space="preserve"> As the Court has established repeatedly, it is not the task of this Court, or </w:t>
      </w:r>
      <w:r w:rsidR="00A8072E" w:rsidRPr="00610904">
        <w:rPr>
          <w:noProof w:val="0"/>
          <w:lang w:val="en-US"/>
        </w:rPr>
        <w:t>of the Commission</w:t>
      </w:r>
      <w:r w:rsidR="00022F5E" w:rsidRPr="00610904">
        <w:rPr>
          <w:noProof w:val="0"/>
          <w:lang w:val="en-US"/>
        </w:rPr>
        <w:t xml:space="preserve">, </w:t>
      </w:r>
      <w:r w:rsidRPr="00610904">
        <w:rPr>
          <w:noProof w:val="0"/>
          <w:lang w:val="en-US"/>
        </w:rPr>
        <w:t>to identify</w:t>
      </w:r>
      <w:r w:rsidR="00022F5E" w:rsidRPr="00610904">
        <w:rPr>
          <w:noProof w:val="0"/>
          <w:lang w:val="en-US"/>
        </w:rPr>
        <w:t xml:space="preserve"> </w:t>
      </w:r>
      <w:r w:rsidR="00022F5E" w:rsidRPr="00610904">
        <w:rPr>
          <w:i/>
          <w:noProof w:val="0"/>
          <w:lang w:val="en-US"/>
        </w:rPr>
        <w:t>ex officio</w:t>
      </w:r>
      <w:r w:rsidR="00022F5E" w:rsidRPr="00610904">
        <w:rPr>
          <w:noProof w:val="0"/>
          <w:lang w:val="en-US"/>
        </w:rPr>
        <w:t xml:space="preserve"> </w:t>
      </w:r>
      <w:r w:rsidRPr="00610904">
        <w:rPr>
          <w:noProof w:val="0"/>
          <w:lang w:val="en-US"/>
        </w:rPr>
        <w:t>the domestic remedies that remain to be exhausted, because it is not incumbent on the international organs to rectify the lack of precision</w:t>
      </w:r>
      <w:r w:rsidR="00FF7BFA" w:rsidRPr="00610904">
        <w:rPr>
          <w:noProof w:val="0"/>
          <w:lang w:val="en-US"/>
        </w:rPr>
        <w:t xml:space="preserve"> in</w:t>
      </w:r>
      <w:r w:rsidRPr="00610904">
        <w:rPr>
          <w:noProof w:val="0"/>
          <w:lang w:val="en-US"/>
        </w:rPr>
        <w:t xml:space="preserve"> the State’s arguments. Furthermore, the arguments that substantiate the </w:t>
      </w:r>
      <w:r w:rsidR="00A8072E" w:rsidRPr="00610904">
        <w:rPr>
          <w:noProof w:val="0"/>
          <w:lang w:val="en-US"/>
        </w:rPr>
        <w:t>preliminary objection</w:t>
      </w:r>
      <w:r w:rsidR="00022F5E" w:rsidRPr="00610904">
        <w:rPr>
          <w:noProof w:val="0"/>
          <w:lang w:val="en-US"/>
        </w:rPr>
        <w:t xml:space="preserve"> </w:t>
      </w:r>
      <w:r w:rsidRPr="00610904">
        <w:rPr>
          <w:noProof w:val="0"/>
          <w:lang w:val="en-US"/>
        </w:rPr>
        <w:t>filed by</w:t>
      </w:r>
      <w:r w:rsidR="00022F5E" w:rsidRPr="00610904">
        <w:rPr>
          <w:noProof w:val="0"/>
          <w:lang w:val="en-US"/>
        </w:rPr>
        <w:t xml:space="preserve"> </w:t>
      </w:r>
      <w:r w:rsidR="009F3D78" w:rsidRPr="00610904">
        <w:rPr>
          <w:noProof w:val="0"/>
          <w:lang w:val="en-US"/>
        </w:rPr>
        <w:t>the State</w:t>
      </w:r>
      <w:r w:rsidR="00022F5E" w:rsidRPr="00610904">
        <w:rPr>
          <w:noProof w:val="0"/>
          <w:lang w:val="en-US"/>
        </w:rPr>
        <w:t xml:space="preserve"> </w:t>
      </w:r>
      <w:r w:rsidRPr="00610904">
        <w:rPr>
          <w:noProof w:val="0"/>
          <w:lang w:val="en-US"/>
        </w:rPr>
        <w:t>before</w:t>
      </w:r>
      <w:r w:rsidR="00022F5E" w:rsidRPr="00610904">
        <w:rPr>
          <w:noProof w:val="0"/>
          <w:lang w:val="en-US"/>
        </w:rPr>
        <w:t xml:space="preserve"> </w:t>
      </w:r>
      <w:r w:rsidR="00A8072E" w:rsidRPr="00610904">
        <w:rPr>
          <w:noProof w:val="0"/>
          <w:lang w:val="en-US"/>
        </w:rPr>
        <w:t>the Commission</w:t>
      </w:r>
      <w:r w:rsidR="00022F5E" w:rsidRPr="00610904">
        <w:rPr>
          <w:noProof w:val="0"/>
          <w:lang w:val="en-US"/>
        </w:rPr>
        <w:t xml:space="preserve"> dur</w:t>
      </w:r>
      <w:r w:rsidRPr="00610904">
        <w:rPr>
          <w:noProof w:val="0"/>
          <w:lang w:val="en-US"/>
        </w:rPr>
        <w:t>i</w:t>
      </w:r>
      <w:r w:rsidR="00FF7BFA" w:rsidRPr="00610904">
        <w:rPr>
          <w:noProof w:val="0"/>
          <w:lang w:val="en-US"/>
        </w:rPr>
        <w:t>ng</w:t>
      </w:r>
      <w:r w:rsidRPr="00610904">
        <w:rPr>
          <w:noProof w:val="0"/>
          <w:lang w:val="en-US"/>
        </w:rPr>
        <w:t xml:space="preserve"> the admissibility stage should </w:t>
      </w:r>
      <w:r w:rsidR="00FF7BFA" w:rsidRPr="00610904">
        <w:rPr>
          <w:noProof w:val="0"/>
          <w:lang w:val="en-US"/>
        </w:rPr>
        <w:t>be the same as</w:t>
      </w:r>
      <w:r w:rsidRPr="00610904">
        <w:rPr>
          <w:noProof w:val="0"/>
          <w:lang w:val="en-US"/>
        </w:rPr>
        <w:t xml:space="preserve"> those submitted to </w:t>
      </w:r>
      <w:r w:rsidR="009F3D78" w:rsidRPr="00610904">
        <w:rPr>
          <w:noProof w:val="0"/>
          <w:lang w:val="en-US"/>
        </w:rPr>
        <w:t>the Court</w:t>
      </w:r>
      <w:r w:rsidRPr="00610904">
        <w:rPr>
          <w:noProof w:val="0"/>
          <w:lang w:val="en-US"/>
        </w:rPr>
        <w:t>.</w:t>
      </w:r>
      <w:r w:rsidR="00022F5E" w:rsidRPr="00610904">
        <w:rPr>
          <w:noProof w:val="0"/>
          <w:szCs w:val="20"/>
          <w:vertAlign w:val="superscript"/>
          <w:lang w:val="en-US"/>
        </w:rPr>
        <w:footnoteReference w:id="26"/>
      </w:r>
    </w:p>
    <w:p w:rsidR="00022F5E" w:rsidRPr="00610904" w:rsidRDefault="00022F5E" w:rsidP="00610904">
      <w:pPr>
        <w:rPr>
          <w:noProof w:val="0"/>
          <w:lang w:val="en-US"/>
        </w:rPr>
      </w:pPr>
    </w:p>
    <w:p w:rsidR="00022F5E" w:rsidRPr="00610904" w:rsidRDefault="00065FFA" w:rsidP="00610904">
      <w:pPr>
        <w:numPr>
          <w:ilvl w:val="0"/>
          <w:numId w:val="1"/>
        </w:numPr>
        <w:rPr>
          <w:noProof w:val="0"/>
          <w:lang w:val="en-US"/>
        </w:rPr>
      </w:pPr>
      <w:r w:rsidRPr="00610904">
        <w:rPr>
          <w:noProof w:val="0"/>
          <w:lang w:val="en-US"/>
        </w:rPr>
        <w:t>In this regard, it can be ob</w:t>
      </w:r>
      <w:r w:rsidR="00FF7BFA" w:rsidRPr="00610904">
        <w:rPr>
          <w:noProof w:val="0"/>
          <w:lang w:val="en-US"/>
        </w:rPr>
        <w:t>s</w:t>
      </w:r>
      <w:r w:rsidRPr="00610904">
        <w:rPr>
          <w:noProof w:val="0"/>
          <w:lang w:val="en-US"/>
        </w:rPr>
        <w:t xml:space="preserve">erved that the objection raised was filed during the admissibility stage before </w:t>
      </w:r>
      <w:r w:rsidR="002F5BBA" w:rsidRPr="00610904">
        <w:rPr>
          <w:noProof w:val="0"/>
          <w:lang w:val="en-US"/>
        </w:rPr>
        <w:t>the Commission</w:t>
      </w:r>
      <w:r w:rsidR="00022F5E" w:rsidRPr="00610904">
        <w:rPr>
          <w:noProof w:val="0"/>
          <w:lang w:val="en-US"/>
        </w:rPr>
        <w:t xml:space="preserve">. </w:t>
      </w:r>
      <w:r w:rsidRPr="00610904">
        <w:rPr>
          <w:noProof w:val="0"/>
          <w:lang w:val="en-US"/>
        </w:rPr>
        <w:t>At that time, the Stat</w:t>
      </w:r>
      <w:r w:rsidR="00FF7BFA" w:rsidRPr="00610904">
        <w:rPr>
          <w:noProof w:val="0"/>
          <w:lang w:val="en-US"/>
        </w:rPr>
        <w:t>e</w:t>
      </w:r>
      <w:r w:rsidRPr="00610904">
        <w:rPr>
          <w:noProof w:val="0"/>
          <w:lang w:val="en-US"/>
        </w:rPr>
        <w:t xml:space="preserve"> argued that the petitioners had brought the private charges in the criminal proceedings belatedly; they had not filed a remedy of cassation or another civil action with regard to the civil proceedings that had been annulled; they had not used the remedy of recusal against the </w:t>
      </w:r>
      <w:r w:rsidR="009F3D78" w:rsidRPr="00610904">
        <w:rPr>
          <w:noProof w:val="0"/>
          <w:lang w:val="en-US"/>
        </w:rPr>
        <w:t>judges</w:t>
      </w:r>
      <w:r w:rsidR="00022F5E" w:rsidRPr="00610904">
        <w:rPr>
          <w:noProof w:val="0"/>
          <w:lang w:val="en-US"/>
        </w:rPr>
        <w:t xml:space="preserve"> </w:t>
      </w:r>
      <w:r w:rsidRPr="00610904">
        <w:rPr>
          <w:noProof w:val="0"/>
          <w:lang w:val="en-US"/>
        </w:rPr>
        <w:t>who had heard the case, or the action for damages against them, or the action against the State seeking compensation for non-pecuniary damage, and they did not avail themselves of the remedy of cassation in the criminal proceedings.</w:t>
      </w:r>
    </w:p>
    <w:p w:rsidR="00022F5E" w:rsidRPr="00610904" w:rsidRDefault="00022F5E" w:rsidP="00610904">
      <w:pPr>
        <w:rPr>
          <w:noProof w:val="0"/>
          <w:lang w:val="en-US"/>
        </w:rPr>
      </w:pPr>
    </w:p>
    <w:p w:rsidR="00022F5E" w:rsidRPr="00610904" w:rsidRDefault="00537559" w:rsidP="00610904">
      <w:pPr>
        <w:numPr>
          <w:ilvl w:val="0"/>
          <w:numId w:val="1"/>
        </w:numPr>
        <w:rPr>
          <w:noProof w:val="0"/>
          <w:sz w:val="18"/>
          <w:szCs w:val="18"/>
          <w:lang w:val="en-US"/>
        </w:rPr>
      </w:pPr>
      <w:r w:rsidRPr="00610904">
        <w:rPr>
          <w:noProof w:val="0"/>
          <w:lang w:val="en-US"/>
        </w:rPr>
        <w:t xml:space="preserve">Furthermore, during the proceedings before the </w:t>
      </w:r>
      <w:r w:rsidR="009F3D78" w:rsidRPr="00610904">
        <w:rPr>
          <w:noProof w:val="0"/>
          <w:lang w:val="en-US"/>
        </w:rPr>
        <w:t>Court</w:t>
      </w:r>
      <w:r w:rsidR="00022F5E" w:rsidRPr="00610904">
        <w:rPr>
          <w:noProof w:val="0"/>
          <w:lang w:val="en-US"/>
        </w:rPr>
        <w:t xml:space="preserve"> </w:t>
      </w:r>
      <w:r w:rsidR="009F3D78" w:rsidRPr="00610904">
        <w:rPr>
          <w:noProof w:val="0"/>
          <w:lang w:val="en-US"/>
        </w:rPr>
        <w:t>the State</w:t>
      </w:r>
      <w:r w:rsidR="00022F5E" w:rsidRPr="00610904">
        <w:rPr>
          <w:noProof w:val="0"/>
          <w:lang w:val="en-US"/>
        </w:rPr>
        <w:t xml:space="preserve"> </w:t>
      </w:r>
      <w:r w:rsidRPr="00610904">
        <w:rPr>
          <w:noProof w:val="0"/>
          <w:lang w:val="en-US"/>
        </w:rPr>
        <w:t xml:space="preserve">also argued that the petitioners had not appealed the </w:t>
      </w:r>
      <w:r w:rsidR="00FF7BFA" w:rsidRPr="00610904">
        <w:rPr>
          <w:noProof w:val="0"/>
          <w:lang w:val="en-US"/>
        </w:rPr>
        <w:t>decision on the application</w:t>
      </w:r>
      <w:r w:rsidRPr="00610904">
        <w:rPr>
          <w:noProof w:val="0"/>
          <w:lang w:val="en-US"/>
        </w:rPr>
        <w:t xml:space="preserve"> for </w:t>
      </w:r>
      <w:r w:rsidR="00852A2E" w:rsidRPr="00610904">
        <w:rPr>
          <w:noProof w:val="0"/>
          <w:lang w:val="en-US"/>
        </w:rPr>
        <w:t>constitutional protection</w:t>
      </w:r>
      <w:r w:rsidR="00022F5E" w:rsidRPr="00610904">
        <w:rPr>
          <w:noProof w:val="0"/>
          <w:lang w:val="en-US"/>
        </w:rPr>
        <w:t xml:space="preserve">. </w:t>
      </w:r>
      <w:r w:rsidRPr="00610904">
        <w:rPr>
          <w:noProof w:val="0"/>
          <w:lang w:val="en-US"/>
        </w:rPr>
        <w:t xml:space="preserve">In this regard, the Court reiterates that the appropriate procedural moment for </w:t>
      </w:r>
      <w:r w:rsidR="0056398E" w:rsidRPr="00610904">
        <w:rPr>
          <w:noProof w:val="0"/>
          <w:lang w:val="en-US"/>
        </w:rPr>
        <w:t>describing</w:t>
      </w:r>
      <w:r w:rsidRPr="00610904">
        <w:rPr>
          <w:noProof w:val="0"/>
          <w:lang w:val="en-US"/>
        </w:rPr>
        <w:t xml:space="preserve"> the remedies that the State alleges were pending exhaustion was during the</w:t>
      </w:r>
      <w:r w:rsidR="00022F5E" w:rsidRPr="00610904">
        <w:rPr>
          <w:noProof w:val="0"/>
          <w:lang w:val="en-US"/>
        </w:rPr>
        <w:t xml:space="preserve"> </w:t>
      </w:r>
      <w:r w:rsidRPr="00610904">
        <w:rPr>
          <w:noProof w:val="0"/>
          <w:lang w:val="en-US"/>
        </w:rPr>
        <w:t xml:space="preserve">proceedings before </w:t>
      </w:r>
      <w:r w:rsidRPr="00610904">
        <w:rPr>
          <w:noProof w:val="0"/>
          <w:lang w:val="en-US"/>
        </w:rPr>
        <w:lastRenderedPageBreak/>
        <w:t xml:space="preserve">the </w:t>
      </w:r>
      <w:r w:rsidR="002F5BBA" w:rsidRPr="00610904">
        <w:rPr>
          <w:noProof w:val="0"/>
          <w:lang w:val="en-US"/>
        </w:rPr>
        <w:t>Commission</w:t>
      </w:r>
      <w:r w:rsidR="00022F5E" w:rsidRPr="00610904">
        <w:rPr>
          <w:noProof w:val="0"/>
          <w:lang w:val="en-US"/>
        </w:rPr>
        <w:t xml:space="preserve">. </w:t>
      </w:r>
      <w:r w:rsidRPr="00610904">
        <w:rPr>
          <w:noProof w:val="0"/>
          <w:lang w:val="en-US"/>
        </w:rPr>
        <w:t>Therefore, the State’s assertion before this Court with regard to the domestic remedie</w:t>
      </w:r>
      <w:r w:rsidR="00FF7BFA" w:rsidRPr="00610904">
        <w:rPr>
          <w:noProof w:val="0"/>
          <w:lang w:val="en-US"/>
        </w:rPr>
        <w:t>s</w:t>
      </w:r>
      <w:r w:rsidRPr="00610904">
        <w:rPr>
          <w:noProof w:val="0"/>
          <w:lang w:val="en-US"/>
        </w:rPr>
        <w:t xml:space="preserve"> in the constitutional protection proceeding are time-barred.</w:t>
      </w:r>
    </w:p>
    <w:p w:rsidR="00022F5E" w:rsidRPr="00610904" w:rsidRDefault="00022F5E" w:rsidP="00610904">
      <w:pPr>
        <w:rPr>
          <w:noProof w:val="0"/>
          <w:lang w:val="en-US"/>
        </w:rPr>
      </w:pPr>
    </w:p>
    <w:p w:rsidR="00022F5E" w:rsidRPr="00610904" w:rsidRDefault="00022F5E" w:rsidP="00610904">
      <w:pPr>
        <w:numPr>
          <w:ilvl w:val="0"/>
          <w:numId w:val="1"/>
        </w:numPr>
        <w:rPr>
          <w:noProof w:val="0"/>
          <w:lang w:val="en-US"/>
        </w:rPr>
      </w:pPr>
      <w:r w:rsidRPr="00610904">
        <w:rPr>
          <w:noProof w:val="0"/>
          <w:lang w:val="en-US"/>
        </w:rPr>
        <w:t>Re</w:t>
      </w:r>
      <w:r w:rsidR="00537559" w:rsidRPr="00610904">
        <w:rPr>
          <w:noProof w:val="0"/>
          <w:lang w:val="en-US"/>
        </w:rPr>
        <w:t>garding the other remedies alleged by the State, this Court recalls that it is necessary that the State not only specify the domestic remedies</w:t>
      </w:r>
      <w:r w:rsidR="00FF7BFA" w:rsidRPr="00610904">
        <w:rPr>
          <w:noProof w:val="0"/>
          <w:lang w:val="en-US"/>
        </w:rPr>
        <w:t xml:space="preserve"> that remain to be </w:t>
      </w:r>
      <w:r w:rsidR="00537559" w:rsidRPr="00610904">
        <w:rPr>
          <w:noProof w:val="0"/>
          <w:lang w:val="en-US"/>
        </w:rPr>
        <w:t xml:space="preserve">exhausted, but it must </w:t>
      </w:r>
      <w:r w:rsidR="00FF7BFA" w:rsidRPr="00610904">
        <w:rPr>
          <w:noProof w:val="0"/>
          <w:lang w:val="en-US"/>
        </w:rPr>
        <w:t xml:space="preserve">also </w:t>
      </w:r>
      <w:r w:rsidR="00537559" w:rsidRPr="00610904">
        <w:rPr>
          <w:noProof w:val="0"/>
          <w:lang w:val="en-US"/>
        </w:rPr>
        <w:t>prove th</w:t>
      </w:r>
      <w:r w:rsidR="00FF7BFA" w:rsidRPr="00610904">
        <w:rPr>
          <w:noProof w:val="0"/>
          <w:lang w:val="en-US"/>
        </w:rPr>
        <w:t>a</w:t>
      </w:r>
      <w:r w:rsidR="00537559" w:rsidRPr="00610904">
        <w:rPr>
          <w:noProof w:val="0"/>
          <w:lang w:val="en-US"/>
        </w:rPr>
        <w:t>t they were available and adequate, appropriate and effective.</w:t>
      </w:r>
      <w:r w:rsidRPr="00610904">
        <w:rPr>
          <w:rStyle w:val="FootnoteReference"/>
          <w:noProof w:val="0"/>
          <w:lang w:val="en-US"/>
        </w:rPr>
        <w:footnoteReference w:id="27"/>
      </w:r>
      <w:r w:rsidR="00537559" w:rsidRPr="00610904">
        <w:rPr>
          <w:noProof w:val="0"/>
          <w:lang w:val="en-US"/>
        </w:rPr>
        <w:t xml:space="preserve"> In the case of the remedies of recusal of judges, and seeking damages against them, and the remedy of cassation, as the</w:t>
      </w:r>
      <w:r w:rsidR="00FF7BFA" w:rsidRPr="00610904">
        <w:rPr>
          <w:noProof w:val="0"/>
          <w:lang w:val="en-US"/>
        </w:rPr>
        <w:t>se</w:t>
      </w:r>
      <w:r w:rsidR="00537559" w:rsidRPr="00610904">
        <w:rPr>
          <w:noProof w:val="0"/>
          <w:lang w:val="en-US"/>
        </w:rPr>
        <w:t xml:space="preserve"> are regulated by the civil and criminal law</w:t>
      </w:r>
      <w:r w:rsidRPr="00610904">
        <w:rPr>
          <w:noProof w:val="0"/>
          <w:lang w:val="en-US"/>
        </w:rPr>
        <w:t xml:space="preserve"> </w:t>
      </w:r>
      <w:r w:rsidR="00537559" w:rsidRPr="00610904">
        <w:rPr>
          <w:noProof w:val="0"/>
          <w:lang w:val="en-US"/>
        </w:rPr>
        <w:t xml:space="preserve">of Ecuador, the Court finds that, owing to their nature, in the specific case, they were neither adequate </w:t>
      </w:r>
      <w:r w:rsidR="00FF7BFA" w:rsidRPr="00610904">
        <w:rPr>
          <w:noProof w:val="0"/>
          <w:lang w:val="en-US"/>
        </w:rPr>
        <w:t>n</w:t>
      </w:r>
      <w:r w:rsidR="00537559" w:rsidRPr="00610904">
        <w:rPr>
          <w:noProof w:val="0"/>
          <w:lang w:val="en-US"/>
        </w:rPr>
        <w:t xml:space="preserve">or effective to determine responsibility for the facts surrounding the </w:t>
      </w:r>
      <w:r w:rsidR="00436E84" w:rsidRPr="00610904">
        <w:rPr>
          <w:noProof w:val="0"/>
          <w:lang w:val="en-US"/>
        </w:rPr>
        <w:t>infection</w:t>
      </w:r>
      <w:r w:rsidR="00537559" w:rsidRPr="00610904">
        <w:rPr>
          <w:noProof w:val="0"/>
          <w:lang w:val="en-US"/>
        </w:rPr>
        <w:t xml:space="preserve"> of </w:t>
      </w:r>
      <w:r w:rsidRPr="00610904">
        <w:rPr>
          <w:noProof w:val="0"/>
          <w:lang w:val="en-US"/>
        </w:rPr>
        <w:t xml:space="preserve">Talía </w:t>
      </w:r>
      <w:r w:rsidR="00537559" w:rsidRPr="00610904">
        <w:rPr>
          <w:noProof w:val="0"/>
          <w:lang w:val="en-US"/>
        </w:rPr>
        <w:t>with</w:t>
      </w:r>
      <w:r w:rsidRPr="00610904">
        <w:rPr>
          <w:noProof w:val="0"/>
          <w:lang w:val="en-US"/>
        </w:rPr>
        <w:t xml:space="preserve"> </w:t>
      </w:r>
      <w:r w:rsidR="00A8072E" w:rsidRPr="00610904">
        <w:rPr>
          <w:noProof w:val="0"/>
          <w:lang w:val="en-US"/>
        </w:rPr>
        <w:t>HIV</w:t>
      </w:r>
      <w:r w:rsidRPr="00610904">
        <w:rPr>
          <w:noProof w:val="0"/>
          <w:lang w:val="en-US"/>
        </w:rPr>
        <w:t xml:space="preserve">, </w:t>
      </w:r>
      <w:r w:rsidR="00537559" w:rsidRPr="00610904">
        <w:rPr>
          <w:noProof w:val="0"/>
          <w:lang w:val="en-US"/>
        </w:rPr>
        <w:t>or to determine adequate reparation.</w:t>
      </w:r>
    </w:p>
    <w:p w:rsidR="00537559" w:rsidRPr="00610904" w:rsidRDefault="00537559" w:rsidP="00610904">
      <w:pPr>
        <w:rPr>
          <w:noProof w:val="0"/>
          <w:lang w:val="en-US"/>
        </w:rPr>
      </w:pPr>
    </w:p>
    <w:p w:rsidR="00022F5E" w:rsidRPr="00610904" w:rsidRDefault="00537559" w:rsidP="00610904">
      <w:pPr>
        <w:numPr>
          <w:ilvl w:val="0"/>
          <w:numId w:val="1"/>
        </w:numPr>
        <w:rPr>
          <w:noProof w:val="0"/>
          <w:lang w:val="en-US"/>
        </w:rPr>
      </w:pPr>
      <w:r w:rsidRPr="00610904">
        <w:rPr>
          <w:noProof w:val="0"/>
          <w:lang w:val="en-US"/>
        </w:rPr>
        <w:t>Regarding the civil action seeking compensation for non-pecuniary damage, as indicat</w:t>
      </w:r>
      <w:r w:rsidR="00FF7BFA" w:rsidRPr="00610904">
        <w:rPr>
          <w:noProof w:val="0"/>
          <w:lang w:val="en-US"/>
        </w:rPr>
        <w:t>e</w:t>
      </w:r>
      <w:r w:rsidRPr="00610904">
        <w:rPr>
          <w:noProof w:val="0"/>
          <w:lang w:val="en-US"/>
        </w:rPr>
        <w:t xml:space="preserve">d by </w:t>
      </w:r>
      <w:r w:rsidR="002F5BBA" w:rsidRPr="00610904">
        <w:rPr>
          <w:noProof w:val="0"/>
          <w:lang w:val="en-US"/>
        </w:rPr>
        <w:t>the Commission</w:t>
      </w:r>
      <w:r w:rsidR="00022F5E" w:rsidRPr="00610904">
        <w:rPr>
          <w:noProof w:val="0"/>
          <w:lang w:val="en-US"/>
        </w:rPr>
        <w:t xml:space="preserve"> </w:t>
      </w:r>
      <w:r w:rsidRPr="00610904">
        <w:rPr>
          <w:noProof w:val="0"/>
          <w:lang w:val="en-US"/>
        </w:rPr>
        <w:t>in the</w:t>
      </w:r>
      <w:r w:rsidR="00022F5E" w:rsidRPr="00610904">
        <w:rPr>
          <w:noProof w:val="0"/>
          <w:lang w:val="en-US"/>
        </w:rPr>
        <w:t xml:space="preserve"> </w:t>
      </w:r>
      <w:r w:rsidR="006E502B" w:rsidRPr="00610904">
        <w:rPr>
          <w:noProof w:val="0"/>
          <w:lang w:val="en-US"/>
        </w:rPr>
        <w:t>Admissibility Report</w:t>
      </w:r>
      <w:r w:rsidR="00022F5E" w:rsidRPr="00610904">
        <w:rPr>
          <w:noProof w:val="0"/>
          <w:lang w:val="en-US"/>
        </w:rPr>
        <w:t xml:space="preserve">, </w:t>
      </w:r>
      <w:r w:rsidR="00A8072E" w:rsidRPr="00610904">
        <w:rPr>
          <w:noProof w:val="0"/>
          <w:lang w:val="en-US"/>
        </w:rPr>
        <w:t>this Court</w:t>
      </w:r>
      <w:r w:rsidR="00022F5E" w:rsidRPr="00610904">
        <w:rPr>
          <w:noProof w:val="0"/>
          <w:lang w:val="en-US"/>
        </w:rPr>
        <w:t xml:space="preserve"> </w:t>
      </w:r>
      <w:r w:rsidRPr="00610904">
        <w:rPr>
          <w:noProof w:val="0"/>
          <w:lang w:val="en-US"/>
        </w:rPr>
        <w:t>emphasizes th</w:t>
      </w:r>
      <w:r w:rsidR="00FF7BFA" w:rsidRPr="00610904">
        <w:rPr>
          <w:noProof w:val="0"/>
          <w:lang w:val="en-US"/>
        </w:rPr>
        <w:t>a</w:t>
      </w:r>
      <w:r w:rsidRPr="00610904">
        <w:rPr>
          <w:noProof w:val="0"/>
          <w:lang w:val="en-US"/>
        </w:rPr>
        <w:t>t this was inadequate to obtain compensation for all the harm caused to</w:t>
      </w:r>
      <w:r w:rsidR="00022F5E" w:rsidRPr="00610904">
        <w:rPr>
          <w:noProof w:val="0"/>
          <w:lang w:val="en-US"/>
        </w:rPr>
        <w:t xml:space="preserve"> Talía Gonzales Lluy. </w:t>
      </w:r>
      <w:r w:rsidRPr="00610904">
        <w:rPr>
          <w:noProof w:val="0"/>
          <w:lang w:val="en-US"/>
        </w:rPr>
        <w:t>Lastly, regarding the private criminal charges, the Court notes that, in the ins</w:t>
      </w:r>
      <w:r w:rsidR="00FF7BFA" w:rsidRPr="00610904">
        <w:rPr>
          <w:noProof w:val="0"/>
          <w:lang w:val="en-US"/>
        </w:rPr>
        <w:t xml:space="preserve">tant case, the private charges </w:t>
      </w:r>
      <w:r w:rsidRPr="00610904">
        <w:rPr>
          <w:noProof w:val="0"/>
          <w:lang w:val="en-US"/>
        </w:rPr>
        <w:t xml:space="preserve">were not a remedy that </w:t>
      </w:r>
      <w:r w:rsidR="009F3D78" w:rsidRPr="00610904">
        <w:rPr>
          <w:noProof w:val="0"/>
          <w:lang w:val="en-US"/>
        </w:rPr>
        <w:t>the presumed victims</w:t>
      </w:r>
      <w:r w:rsidR="00022F5E" w:rsidRPr="00610904">
        <w:rPr>
          <w:noProof w:val="0"/>
          <w:lang w:val="en-US"/>
        </w:rPr>
        <w:t xml:space="preserve"> </w:t>
      </w:r>
      <w:r w:rsidRPr="00610904">
        <w:rPr>
          <w:noProof w:val="0"/>
          <w:lang w:val="en-US"/>
        </w:rPr>
        <w:t xml:space="preserve">should have exhausted, because the conduct investigated in the criminal proceedings was defined in </w:t>
      </w:r>
      <w:r w:rsidR="00653A30" w:rsidRPr="00610904">
        <w:rPr>
          <w:noProof w:val="0"/>
          <w:lang w:val="en-US"/>
        </w:rPr>
        <w:t xml:space="preserve">the </w:t>
      </w:r>
      <w:r w:rsidRPr="00610904">
        <w:rPr>
          <w:noProof w:val="0"/>
          <w:lang w:val="en-US"/>
        </w:rPr>
        <w:t xml:space="preserve">Ecuadorian </w:t>
      </w:r>
      <w:r w:rsidR="00653A30" w:rsidRPr="00610904">
        <w:rPr>
          <w:noProof w:val="0"/>
          <w:lang w:val="en-US"/>
        </w:rPr>
        <w:t>Criminal Code</w:t>
      </w:r>
      <w:r w:rsidR="00022F5E" w:rsidRPr="00610904">
        <w:rPr>
          <w:noProof w:val="0"/>
          <w:lang w:val="en-US"/>
        </w:rPr>
        <w:t xml:space="preserve"> </w:t>
      </w:r>
      <w:r w:rsidRPr="00610904">
        <w:rPr>
          <w:noProof w:val="0"/>
          <w:lang w:val="en-US"/>
        </w:rPr>
        <w:t>as an offense for whi</w:t>
      </w:r>
      <w:r w:rsidR="00FF7BFA" w:rsidRPr="00610904">
        <w:rPr>
          <w:noProof w:val="0"/>
          <w:lang w:val="en-US"/>
        </w:rPr>
        <w:t>ch a public action was required</w:t>
      </w:r>
      <w:r w:rsidRPr="00610904">
        <w:rPr>
          <w:noProof w:val="0"/>
          <w:lang w:val="en-US"/>
        </w:rPr>
        <w:t xml:space="preserve"> which should be prosecuted </w:t>
      </w:r>
      <w:r w:rsidRPr="00610904">
        <w:rPr>
          <w:i/>
          <w:noProof w:val="0"/>
          <w:lang w:val="en-US"/>
        </w:rPr>
        <w:t>ex officio,</w:t>
      </w:r>
      <w:r w:rsidRPr="00610904">
        <w:rPr>
          <w:noProof w:val="0"/>
          <w:lang w:val="en-US"/>
        </w:rPr>
        <w:t xml:space="preserve"> and</w:t>
      </w:r>
      <w:r w:rsidR="00FF7BFA" w:rsidRPr="00610904">
        <w:rPr>
          <w:noProof w:val="0"/>
          <w:lang w:val="en-US"/>
        </w:rPr>
        <w:t>,</w:t>
      </w:r>
      <w:r w:rsidRPr="00610904">
        <w:rPr>
          <w:noProof w:val="0"/>
          <w:lang w:val="en-US"/>
        </w:rPr>
        <w:t xml:space="preserve"> in this specific case, the petitioners had </w:t>
      </w:r>
      <w:r w:rsidR="00FF7BFA" w:rsidRPr="00610904">
        <w:rPr>
          <w:noProof w:val="0"/>
          <w:lang w:val="en-US"/>
        </w:rPr>
        <w:t>informed</w:t>
      </w:r>
      <w:r w:rsidRPr="00610904">
        <w:rPr>
          <w:noProof w:val="0"/>
          <w:lang w:val="en-US"/>
        </w:rPr>
        <w:t xml:space="preserve"> the State of the </w:t>
      </w:r>
      <w:r w:rsidR="00436E84" w:rsidRPr="00610904">
        <w:rPr>
          <w:noProof w:val="0"/>
          <w:lang w:val="en-US"/>
        </w:rPr>
        <w:t>infection</w:t>
      </w:r>
      <w:r w:rsidRPr="00610904">
        <w:rPr>
          <w:noProof w:val="0"/>
          <w:lang w:val="en-US"/>
        </w:rPr>
        <w:t xml:space="preserve"> of  </w:t>
      </w:r>
      <w:r w:rsidR="00022F5E" w:rsidRPr="00610904">
        <w:rPr>
          <w:noProof w:val="0"/>
          <w:lang w:val="en-US"/>
        </w:rPr>
        <w:t xml:space="preserve">Talía Gonzales Lluy </w:t>
      </w:r>
      <w:r w:rsidRPr="00610904">
        <w:rPr>
          <w:noProof w:val="0"/>
          <w:lang w:val="en-US"/>
        </w:rPr>
        <w:t>by means</w:t>
      </w:r>
      <w:r w:rsidR="00A8072E" w:rsidRPr="00610904">
        <w:rPr>
          <w:noProof w:val="0"/>
          <w:lang w:val="en-US"/>
        </w:rPr>
        <w:t xml:space="preserve"> of the criminal action</w:t>
      </w:r>
      <w:r w:rsidR="00022F5E" w:rsidRPr="00610904">
        <w:rPr>
          <w:noProof w:val="0"/>
          <w:lang w:val="en-US"/>
        </w:rPr>
        <w:t>.</w:t>
      </w:r>
    </w:p>
    <w:p w:rsidR="00022F5E" w:rsidRPr="00610904" w:rsidRDefault="00022F5E" w:rsidP="00610904">
      <w:pPr>
        <w:rPr>
          <w:noProof w:val="0"/>
          <w:lang w:val="en-US"/>
        </w:rPr>
      </w:pPr>
    </w:p>
    <w:p w:rsidR="00022F5E" w:rsidRPr="00610904" w:rsidRDefault="00537559" w:rsidP="00610904">
      <w:pPr>
        <w:numPr>
          <w:ilvl w:val="0"/>
          <w:numId w:val="1"/>
        </w:numPr>
        <w:rPr>
          <w:noProof w:val="0"/>
          <w:lang w:val="en-US"/>
        </w:rPr>
      </w:pPr>
      <w:r w:rsidRPr="00610904">
        <w:rPr>
          <w:noProof w:val="0"/>
          <w:lang w:val="en-US"/>
        </w:rPr>
        <w:t>Consequently</w:t>
      </w:r>
      <w:r w:rsidR="00022F5E" w:rsidRPr="00610904">
        <w:rPr>
          <w:noProof w:val="0"/>
          <w:lang w:val="en-US"/>
        </w:rPr>
        <w:t xml:space="preserve">, </w:t>
      </w:r>
      <w:r w:rsidR="009F3D78" w:rsidRPr="00610904">
        <w:rPr>
          <w:noProof w:val="0"/>
          <w:lang w:val="en-US"/>
        </w:rPr>
        <w:t>the Court</w:t>
      </w:r>
      <w:r w:rsidR="00022F5E" w:rsidRPr="00610904">
        <w:rPr>
          <w:noProof w:val="0"/>
          <w:lang w:val="en-US"/>
        </w:rPr>
        <w:t xml:space="preserve"> </w:t>
      </w:r>
      <w:r w:rsidRPr="00610904">
        <w:rPr>
          <w:noProof w:val="0"/>
          <w:lang w:val="en-US"/>
        </w:rPr>
        <w:t>rejects the</w:t>
      </w:r>
      <w:r w:rsidR="00022F5E" w:rsidRPr="00610904">
        <w:rPr>
          <w:noProof w:val="0"/>
          <w:lang w:val="en-US"/>
        </w:rPr>
        <w:t xml:space="preserve"> </w:t>
      </w:r>
      <w:r w:rsidR="00A8072E" w:rsidRPr="00610904">
        <w:rPr>
          <w:noProof w:val="0"/>
          <w:lang w:val="en-US"/>
        </w:rPr>
        <w:t>preliminary objection</w:t>
      </w:r>
      <w:r w:rsidR="00022F5E" w:rsidRPr="00610904">
        <w:rPr>
          <w:noProof w:val="0"/>
          <w:lang w:val="en-US"/>
        </w:rPr>
        <w:t xml:space="preserve"> </w:t>
      </w:r>
      <w:r w:rsidRPr="00610904">
        <w:rPr>
          <w:noProof w:val="0"/>
          <w:lang w:val="en-US"/>
        </w:rPr>
        <w:t xml:space="preserve">of failure to exhaust domestic remedies filed by </w:t>
      </w:r>
      <w:r w:rsidR="009F3D78" w:rsidRPr="00610904">
        <w:rPr>
          <w:noProof w:val="0"/>
          <w:lang w:val="en-US"/>
        </w:rPr>
        <w:t>the State</w:t>
      </w:r>
      <w:r w:rsidR="00022F5E" w:rsidRPr="00610904">
        <w:rPr>
          <w:noProof w:val="0"/>
          <w:lang w:val="en-US"/>
        </w:rPr>
        <w:t>.</w:t>
      </w:r>
    </w:p>
    <w:p w:rsidR="00022F5E" w:rsidRPr="00610904" w:rsidRDefault="00022F5E" w:rsidP="00610904">
      <w:pPr>
        <w:rPr>
          <w:noProof w:val="0"/>
          <w:lang w:val="en-US"/>
        </w:rPr>
      </w:pPr>
    </w:p>
    <w:p w:rsidR="00022F5E" w:rsidRPr="00610904" w:rsidRDefault="00022F5E" w:rsidP="00610904">
      <w:pPr>
        <w:pStyle w:val="Heading1"/>
        <w:spacing w:before="0" w:after="0"/>
        <w:rPr>
          <w:caps w:val="0"/>
          <w:noProof w:val="0"/>
          <w:lang w:val="en-US"/>
        </w:rPr>
      </w:pPr>
      <w:bookmarkStart w:id="46" w:name="_Toc443399076"/>
      <w:r w:rsidRPr="00610904">
        <w:rPr>
          <w:caps w:val="0"/>
          <w:noProof w:val="0"/>
          <w:lang w:val="en-US"/>
        </w:rPr>
        <w:t>V</w:t>
      </w:r>
      <w:r w:rsidRPr="00610904">
        <w:rPr>
          <w:caps w:val="0"/>
          <w:noProof w:val="0"/>
          <w:lang w:val="en-US"/>
        </w:rPr>
        <w:br/>
      </w:r>
      <w:r w:rsidR="00A8072E" w:rsidRPr="00610904">
        <w:rPr>
          <w:caps w:val="0"/>
          <w:noProof w:val="0"/>
          <w:lang w:val="en-US"/>
        </w:rPr>
        <w:t>PRELIMINARY CONSIDERATIONS</w:t>
      </w:r>
      <w:bookmarkEnd w:id="46"/>
    </w:p>
    <w:p w:rsidR="00022F5E" w:rsidRPr="00610904" w:rsidRDefault="00022F5E" w:rsidP="00610904">
      <w:pPr>
        <w:rPr>
          <w:noProof w:val="0"/>
          <w:lang w:val="en-US"/>
        </w:rPr>
      </w:pPr>
    </w:p>
    <w:p w:rsidR="00022F5E" w:rsidRPr="00610904" w:rsidRDefault="00A8072E" w:rsidP="00610904">
      <w:pPr>
        <w:pStyle w:val="Heading2"/>
        <w:spacing w:before="0" w:after="0"/>
        <w:rPr>
          <w:rFonts w:eastAsia="Calibri"/>
          <w:noProof w:val="0"/>
          <w:lang w:val="en-US"/>
        </w:rPr>
      </w:pPr>
      <w:bookmarkStart w:id="47" w:name="_Toc443399077"/>
      <w:r w:rsidRPr="00610904">
        <w:rPr>
          <w:rFonts w:eastAsia="Calibri"/>
          <w:noProof w:val="0"/>
          <w:lang w:val="en-US"/>
        </w:rPr>
        <w:t>The factual framework of this case and presumed violations of rights</w:t>
      </w:r>
      <w:r w:rsidR="00022F5E" w:rsidRPr="00610904">
        <w:rPr>
          <w:rFonts w:eastAsia="Calibri"/>
          <w:noProof w:val="0"/>
          <w:lang w:val="en-US"/>
        </w:rPr>
        <w:t xml:space="preserve"> </w:t>
      </w:r>
      <w:r w:rsidRPr="00610904">
        <w:rPr>
          <w:rFonts w:eastAsia="Calibri"/>
          <w:noProof w:val="0"/>
          <w:lang w:val="en-US"/>
        </w:rPr>
        <w:t>other than those established by the Commission in its reports</w:t>
      </w:r>
      <w:bookmarkEnd w:id="47"/>
    </w:p>
    <w:p w:rsidR="00022F5E" w:rsidRPr="00610904" w:rsidRDefault="00022F5E" w:rsidP="00610904">
      <w:pPr>
        <w:ind w:left="1077"/>
        <w:contextualSpacing/>
        <w:rPr>
          <w:noProof w:val="0"/>
          <w:lang w:val="en-US" w:eastAsia="es-MX"/>
        </w:rPr>
      </w:pPr>
    </w:p>
    <w:p w:rsidR="00022F5E" w:rsidRPr="00610904" w:rsidRDefault="00A8072E" w:rsidP="00610904">
      <w:pPr>
        <w:rPr>
          <w:i/>
          <w:noProof w:val="0"/>
          <w:lang w:val="en-US"/>
        </w:rPr>
      </w:pPr>
      <w:r w:rsidRPr="00610904">
        <w:rPr>
          <w:i/>
          <w:noProof w:val="0"/>
          <w:lang w:val="en-US"/>
        </w:rPr>
        <w:t>Arguments of the Commission and of the parties</w:t>
      </w:r>
    </w:p>
    <w:p w:rsidR="00022F5E" w:rsidRPr="00610904" w:rsidRDefault="00022F5E" w:rsidP="00610904">
      <w:pPr>
        <w:rPr>
          <w:noProof w:val="0"/>
          <w:lang w:val="en-US"/>
        </w:rPr>
      </w:pPr>
    </w:p>
    <w:p w:rsidR="00022F5E" w:rsidRPr="00610904" w:rsidRDefault="009F3D78" w:rsidP="00610904">
      <w:pPr>
        <w:numPr>
          <w:ilvl w:val="0"/>
          <w:numId w:val="1"/>
        </w:numPr>
        <w:rPr>
          <w:noProof w:val="0"/>
          <w:color w:val="FF0000"/>
          <w:lang w:val="en-US"/>
        </w:rPr>
      </w:pPr>
      <w:r w:rsidRPr="00610904">
        <w:rPr>
          <w:noProof w:val="0"/>
          <w:lang w:val="en-US"/>
        </w:rPr>
        <w:t>The State</w:t>
      </w:r>
      <w:r w:rsidR="00022F5E" w:rsidRPr="00610904">
        <w:rPr>
          <w:b/>
          <w:i/>
          <w:noProof w:val="0"/>
          <w:lang w:val="en-US"/>
        </w:rPr>
        <w:t xml:space="preserve"> </w:t>
      </w:r>
      <w:r w:rsidR="0099753F" w:rsidRPr="00610904">
        <w:rPr>
          <w:noProof w:val="0"/>
          <w:lang w:val="en-US"/>
        </w:rPr>
        <w:t xml:space="preserve">argued that, </w:t>
      </w:r>
      <w:r w:rsidRPr="00610904">
        <w:rPr>
          <w:noProof w:val="0"/>
          <w:lang w:val="en-US"/>
        </w:rPr>
        <w:t>Articles</w:t>
      </w:r>
      <w:r w:rsidR="00022F5E" w:rsidRPr="00610904">
        <w:rPr>
          <w:noProof w:val="0"/>
          <w:lang w:val="en-US"/>
        </w:rPr>
        <w:t xml:space="preserve"> </w:t>
      </w:r>
      <w:r w:rsidR="00A8072E" w:rsidRPr="00610904">
        <w:rPr>
          <w:noProof w:val="0"/>
          <w:lang w:val="en-US"/>
        </w:rPr>
        <w:t>40(2</w:t>
      </w:r>
      <w:proofErr w:type="gramStart"/>
      <w:r w:rsidR="00A8072E" w:rsidRPr="00610904">
        <w:rPr>
          <w:noProof w:val="0"/>
          <w:lang w:val="en-US"/>
        </w:rPr>
        <w:t>)(</w:t>
      </w:r>
      <w:proofErr w:type="gramEnd"/>
      <w:r w:rsidR="00A8072E" w:rsidRPr="00610904">
        <w:rPr>
          <w:noProof w:val="0"/>
          <w:lang w:val="en-US"/>
        </w:rPr>
        <w:t>b)</w:t>
      </w:r>
      <w:r w:rsidRPr="00610904">
        <w:rPr>
          <w:noProof w:val="0"/>
          <w:lang w:val="en-US"/>
        </w:rPr>
        <w:t xml:space="preserve"> and </w:t>
      </w:r>
      <w:r w:rsidR="00A8072E" w:rsidRPr="00610904">
        <w:rPr>
          <w:noProof w:val="0"/>
          <w:lang w:val="en-US"/>
        </w:rPr>
        <w:t>44(1)</w:t>
      </w:r>
      <w:r w:rsidRPr="00610904">
        <w:rPr>
          <w:noProof w:val="0"/>
          <w:lang w:val="en-US"/>
        </w:rPr>
        <w:t xml:space="preserve"> of</w:t>
      </w:r>
      <w:r w:rsidR="0099753F" w:rsidRPr="00610904">
        <w:rPr>
          <w:noProof w:val="0"/>
          <w:lang w:val="en-US"/>
        </w:rPr>
        <w:t xml:space="preserve"> the Court’s Rules of Procedure infer that “the cases heard by the Court consist exclusively of the facts and rights discussed before the [Commission] and included in its reports.” Hence, they argued that “nothing had been said about specific presumed violations of equality before the law, absence of domestic laws or […] about the progressive nature of economic, social and cultural rights”; rather, only situations that were presumably contextual had been mentioned. According to Ecuador, this is why the Commission did not declare the supposed violation of Articles 2, 24 and 26 of the American Convention in its Merits Report, and considered that it would not be appropriate to </w:t>
      </w:r>
      <w:r w:rsidR="007D72DC" w:rsidRPr="00610904">
        <w:rPr>
          <w:noProof w:val="0"/>
          <w:lang w:val="en-US"/>
        </w:rPr>
        <w:t xml:space="preserve">make an in-depth analysis of other related rights “which were not part </w:t>
      </w:r>
      <w:r w:rsidR="00A8072E" w:rsidRPr="00610904">
        <w:rPr>
          <w:noProof w:val="0"/>
          <w:lang w:val="en-US"/>
        </w:rPr>
        <w:t>of the factual framework</w:t>
      </w:r>
      <w:r w:rsidR="00022F5E" w:rsidRPr="00610904">
        <w:rPr>
          <w:noProof w:val="0"/>
          <w:lang w:val="en-US"/>
        </w:rPr>
        <w:t xml:space="preserve"> </w:t>
      </w:r>
      <w:r w:rsidR="007D72DC" w:rsidRPr="00610904">
        <w:rPr>
          <w:noProof w:val="0"/>
          <w:lang w:val="en-US"/>
        </w:rPr>
        <w:t>at the start of the case.” Consequently, it asked the Court not to examine the presumed violation of these articles, based on the impo</w:t>
      </w:r>
      <w:r w:rsidR="00FF7BFA" w:rsidRPr="00610904">
        <w:rPr>
          <w:noProof w:val="0"/>
          <w:lang w:val="en-US"/>
        </w:rPr>
        <w:t>ssibility of changing the factu</w:t>
      </w:r>
      <w:r w:rsidR="007D72DC" w:rsidRPr="00610904">
        <w:rPr>
          <w:noProof w:val="0"/>
          <w:lang w:val="en-US"/>
        </w:rPr>
        <w:t xml:space="preserve">al </w:t>
      </w:r>
      <w:r w:rsidR="00FF7BFA" w:rsidRPr="00610904">
        <w:rPr>
          <w:noProof w:val="0"/>
          <w:lang w:val="en-US"/>
        </w:rPr>
        <w:t>framework</w:t>
      </w:r>
      <w:r w:rsidR="007D72DC" w:rsidRPr="00610904">
        <w:rPr>
          <w:noProof w:val="0"/>
          <w:lang w:val="en-US"/>
        </w:rPr>
        <w:t xml:space="preserve"> and the rights discussed </w:t>
      </w:r>
      <w:r w:rsidR="00A8072E" w:rsidRPr="00610904">
        <w:rPr>
          <w:noProof w:val="0"/>
          <w:lang w:val="en-US"/>
        </w:rPr>
        <w:t>in the Merits</w:t>
      </w:r>
      <w:r w:rsidR="006E502B" w:rsidRPr="00610904">
        <w:rPr>
          <w:noProof w:val="0"/>
          <w:lang w:val="en-US"/>
        </w:rPr>
        <w:t xml:space="preserve"> Report</w:t>
      </w:r>
      <w:r w:rsidR="00022F5E" w:rsidRPr="00610904">
        <w:rPr>
          <w:noProof w:val="0"/>
          <w:lang w:val="en-US"/>
        </w:rPr>
        <w:t xml:space="preserve">.  </w:t>
      </w:r>
    </w:p>
    <w:p w:rsidR="00022F5E" w:rsidRPr="00610904" w:rsidRDefault="00022F5E" w:rsidP="00610904">
      <w:pPr>
        <w:rPr>
          <w:noProof w:val="0"/>
          <w:color w:val="FF0000"/>
          <w:lang w:val="en-US"/>
        </w:rPr>
      </w:pPr>
    </w:p>
    <w:p w:rsidR="00022F5E" w:rsidRPr="00610904" w:rsidRDefault="009F3D78" w:rsidP="00610904">
      <w:pPr>
        <w:numPr>
          <w:ilvl w:val="0"/>
          <w:numId w:val="1"/>
        </w:numPr>
        <w:rPr>
          <w:noProof w:val="0"/>
          <w:color w:val="FF0000"/>
          <w:lang w:val="en-US"/>
        </w:rPr>
      </w:pPr>
      <w:r w:rsidRPr="00610904">
        <w:rPr>
          <w:noProof w:val="0"/>
          <w:lang w:val="en-US"/>
        </w:rPr>
        <w:t>The representatives</w:t>
      </w:r>
      <w:r w:rsidR="00022F5E" w:rsidRPr="00610904">
        <w:rPr>
          <w:b/>
          <w:i/>
          <w:noProof w:val="0"/>
          <w:lang w:val="en-US"/>
        </w:rPr>
        <w:t xml:space="preserve"> </w:t>
      </w:r>
      <w:r w:rsidR="00022F5E" w:rsidRPr="00610904">
        <w:rPr>
          <w:noProof w:val="0"/>
          <w:lang w:val="en-US"/>
        </w:rPr>
        <w:t>conside</w:t>
      </w:r>
      <w:r w:rsidR="007D72DC" w:rsidRPr="00610904">
        <w:rPr>
          <w:noProof w:val="0"/>
          <w:lang w:val="en-US"/>
        </w:rPr>
        <w:t xml:space="preserve">red that </w:t>
      </w:r>
      <w:r w:rsidR="0013395A" w:rsidRPr="00610904">
        <w:rPr>
          <w:noProof w:val="0"/>
          <w:lang w:val="en-US"/>
        </w:rPr>
        <w:t>the right to education</w:t>
      </w:r>
      <w:r w:rsidR="007D72DC" w:rsidRPr="00610904">
        <w:rPr>
          <w:noProof w:val="0"/>
          <w:lang w:val="en-US"/>
        </w:rPr>
        <w:t xml:space="preserve"> was clearly mentioned in </w:t>
      </w:r>
      <w:r w:rsidR="00856968" w:rsidRPr="00610904">
        <w:rPr>
          <w:noProof w:val="0"/>
          <w:lang w:val="en-US"/>
        </w:rPr>
        <w:t>paragraphs 43</w:t>
      </w:r>
      <w:r w:rsidRPr="00610904">
        <w:rPr>
          <w:noProof w:val="0"/>
          <w:lang w:val="en-US"/>
        </w:rPr>
        <w:t xml:space="preserve"> and </w:t>
      </w:r>
      <w:r w:rsidR="00022F5E" w:rsidRPr="00610904">
        <w:rPr>
          <w:noProof w:val="0"/>
          <w:lang w:val="en-US"/>
        </w:rPr>
        <w:t xml:space="preserve">188 </w:t>
      </w:r>
      <w:r w:rsidR="007D72DC" w:rsidRPr="00610904">
        <w:rPr>
          <w:noProof w:val="0"/>
          <w:lang w:val="en-US"/>
        </w:rPr>
        <w:t>of the</w:t>
      </w:r>
      <w:r w:rsidR="00022F5E" w:rsidRPr="00610904">
        <w:rPr>
          <w:noProof w:val="0"/>
          <w:lang w:val="en-US"/>
        </w:rPr>
        <w:t xml:space="preserve"> </w:t>
      </w:r>
      <w:r w:rsidR="006E502B" w:rsidRPr="00610904">
        <w:rPr>
          <w:noProof w:val="0"/>
          <w:lang w:val="en-US"/>
        </w:rPr>
        <w:t>Merits Report</w:t>
      </w:r>
      <w:r w:rsidR="00022F5E" w:rsidRPr="00610904">
        <w:rPr>
          <w:noProof w:val="0"/>
          <w:lang w:val="en-US"/>
        </w:rPr>
        <w:t>, as</w:t>
      </w:r>
      <w:r w:rsidR="007D72DC" w:rsidRPr="00610904">
        <w:rPr>
          <w:noProof w:val="0"/>
          <w:lang w:val="en-US"/>
        </w:rPr>
        <w:t xml:space="preserve"> well as in the analysis </w:t>
      </w:r>
      <w:r w:rsidR="006E502B" w:rsidRPr="00610904">
        <w:rPr>
          <w:noProof w:val="0"/>
          <w:lang w:val="en-US"/>
        </w:rPr>
        <w:t>of Article</w:t>
      </w:r>
      <w:r w:rsidR="00022F5E" w:rsidRPr="00610904">
        <w:rPr>
          <w:noProof w:val="0"/>
          <w:lang w:val="en-US"/>
        </w:rPr>
        <w:t xml:space="preserve"> 19, </w:t>
      </w:r>
      <w:r w:rsidR="007D72DC" w:rsidRPr="00610904">
        <w:rPr>
          <w:noProof w:val="0"/>
          <w:lang w:val="en-US"/>
        </w:rPr>
        <w:t xml:space="preserve">which </w:t>
      </w:r>
      <w:r w:rsidR="00FF7BFA" w:rsidRPr="00610904">
        <w:rPr>
          <w:noProof w:val="0"/>
          <w:lang w:val="en-US"/>
        </w:rPr>
        <w:t>noted</w:t>
      </w:r>
      <w:r w:rsidR="007D72DC" w:rsidRPr="00610904">
        <w:rPr>
          <w:noProof w:val="0"/>
          <w:lang w:val="en-US"/>
        </w:rPr>
        <w:t xml:space="preserve"> that </w:t>
      </w:r>
      <w:r w:rsidR="00A8072E" w:rsidRPr="00610904">
        <w:rPr>
          <w:noProof w:val="0"/>
          <w:lang w:val="en-US"/>
        </w:rPr>
        <w:t>the presumed victim</w:t>
      </w:r>
      <w:r w:rsidR="00022F5E" w:rsidRPr="00610904">
        <w:rPr>
          <w:noProof w:val="0"/>
          <w:lang w:val="en-US"/>
        </w:rPr>
        <w:t xml:space="preserve"> </w:t>
      </w:r>
      <w:r w:rsidR="007D72DC" w:rsidRPr="00610904">
        <w:rPr>
          <w:noProof w:val="0"/>
          <w:lang w:val="en-US"/>
        </w:rPr>
        <w:t>was prevented from attending primary school owing to her ill</w:t>
      </w:r>
      <w:r w:rsidR="00FF7BFA" w:rsidRPr="00610904">
        <w:rPr>
          <w:noProof w:val="0"/>
          <w:lang w:val="en-US"/>
        </w:rPr>
        <w:t>ness. They also emphasized that</w:t>
      </w:r>
      <w:r w:rsidR="007D72DC" w:rsidRPr="00610904">
        <w:rPr>
          <w:noProof w:val="0"/>
          <w:lang w:val="en-US"/>
        </w:rPr>
        <w:t xml:space="preserve"> the Commission’s case file, which had been forwarded to </w:t>
      </w:r>
      <w:r w:rsidR="007D72DC" w:rsidRPr="00610904">
        <w:rPr>
          <w:noProof w:val="0"/>
          <w:lang w:val="en-US"/>
        </w:rPr>
        <w:lastRenderedPageBreak/>
        <w:t xml:space="preserve">the Court with the submission of case, included information on the application for </w:t>
      </w:r>
      <w:r w:rsidR="00852A2E" w:rsidRPr="00610904">
        <w:rPr>
          <w:noProof w:val="0"/>
          <w:lang w:val="en-US"/>
        </w:rPr>
        <w:t>constitutional protection</w:t>
      </w:r>
      <w:r w:rsidR="00022F5E" w:rsidRPr="00610904">
        <w:rPr>
          <w:noProof w:val="0"/>
          <w:lang w:val="en-US"/>
        </w:rPr>
        <w:t xml:space="preserve"> </w:t>
      </w:r>
      <w:r w:rsidR="007D72DC" w:rsidRPr="00610904">
        <w:rPr>
          <w:noProof w:val="0"/>
          <w:lang w:val="en-US"/>
        </w:rPr>
        <w:t xml:space="preserve">that presumably denied the effective protection of the education of </w:t>
      </w:r>
      <w:r w:rsidR="00022F5E" w:rsidRPr="00610904">
        <w:rPr>
          <w:noProof w:val="0"/>
          <w:lang w:val="en-US"/>
        </w:rPr>
        <w:t xml:space="preserve">Talía Gonzales Lluy. </w:t>
      </w:r>
      <w:r w:rsidR="007D72DC" w:rsidRPr="00610904">
        <w:rPr>
          <w:noProof w:val="0"/>
          <w:lang w:val="en-US"/>
        </w:rPr>
        <w:t>In addition, they pointed out that the</w:t>
      </w:r>
      <w:r w:rsidRPr="00610904">
        <w:rPr>
          <w:noProof w:val="0"/>
          <w:lang w:val="en-US"/>
        </w:rPr>
        <w:t xml:space="preserve"> presumed victims</w:t>
      </w:r>
      <w:r w:rsidR="007D72DC" w:rsidRPr="00610904">
        <w:rPr>
          <w:noProof w:val="0"/>
          <w:lang w:val="en-US"/>
        </w:rPr>
        <w:t xml:space="preserve"> have full autonomy to cite the violation of rights other than those included </w:t>
      </w:r>
      <w:r w:rsidR="00A8072E" w:rsidRPr="00610904">
        <w:rPr>
          <w:noProof w:val="0"/>
          <w:lang w:val="en-US"/>
        </w:rPr>
        <w:t>in the Merits</w:t>
      </w:r>
      <w:r w:rsidR="006E502B" w:rsidRPr="00610904">
        <w:rPr>
          <w:noProof w:val="0"/>
          <w:lang w:val="en-US"/>
        </w:rPr>
        <w:t xml:space="preserve"> Report</w:t>
      </w:r>
      <w:r w:rsidR="00022F5E" w:rsidRPr="00610904">
        <w:rPr>
          <w:noProof w:val="0"/>
          <w:lang w:val="en-US"/>
        </w:rPr>
        <w:t>,</w:t>
      </w:r>
      <w:r w:rsidR="007D72DC" w:rsidRPr="00610904">
        <w:rPr>
          <w:noProof w:val="0"/>
          <w:lang w:val="en-US"/>
        </w:rPr>
        <w:t xml:space="preserve"> provided that they relate to facts contained in that report. Thus, the new alleg</w:t>
      </w:r>
      <w:r w:rsidR="00FF7BFA" w:rsidRPr="00610904">
        <w:rPr>
          <w:noProof w:val="0"/>
          <w:lang w:val="en-US"/>
        </w:rPr>
        <w:t>a</w:t>
      </w:r>
      <w:r w:rsidR="007D72DC" w:rsidRPr="00610904">
        <w:rPr>
          <w:noProof w:val="0"/>
          <w:lang w:val="en-US"/>
        </w:rPr>
        <w:t xml:space="preserve">tion of rights that were </w:t>
      </w:r>
      <w:r w:rsidR="00856968" w:rsidRPr="00610904">
        <w:rPr>
          <w:noProof w:val="0"/>
          <w:lang w:val="en-US"/>
        </w:rPr>
        <w:t>presumably</w:t>
      </w:r>
      <w:r w:rsidR="007D72DC" w:rsidRPr="00610904">
        <w:rPr>
          <w:noProof w:val="0"/>
          <w:lang w:val="en-US"/>
        </w:rPr>
        <w:t xml:space="preserve"> violation, “falls within the requirements established by </w:t>
      </w:r>
      <w:r w:rsidRPr="00610904">
        <w:rPr>
          <w:noProof w:val="0"/>
          <w:lang w:val="en-US"/>
        </w:rPr>
        <w:t>the Court</w:t>
      </w:r>
      <w:r w:rsidR="007D72DC" w:rsidRPr="00610904">
        <w:rPr>
          <w:noProof w:val="0"/>
          <w:lang w:val="en-US"/>
        </w:rPr>
        <w:t xml:space="preserve"> […] and, </w:t>
      </w:r>
      <w:r w:rsidR="00856968" w:rsidRPr="00610904">
        <w:rPr>
          <w:noProof w:val="0"/>
          <w:lang w:val="en-US"/>
        </w:rPr>
        <w:t>therefore</w:t>
      </w:r>
      <w:r w:rsidR="007D72DC" w:rsidRPr="00610904">
        <w:rPr>
          <w:noProof w:val="0"/>
          <w:lang w:val="en-US"/>
        </w:rPr>
        <w:t>, should be admitted.”</w:t>
      </w:r>
    </w:p>
    <w:p w:rsidR="00022F5E" w:rsidRPr="00610904" w:rsidRDefault="00022F5E" w:rsidP="00610904">
      <w:pPr>
        <w:rPr>
          <w:noProof w:val="0"/>
          <w:color w:val="FF0000"/>
          <w:lang w:val="en-US"/>
        </w:rPr>
      </w:pPr>
    </w:p>
    <w:p w:rsidR="00022F5E" w:rsidRPr="00610904" w:rsidRDefault="002F5BBA" w:rsidP="00610904">
      <w:pPr>
        <w:numPr>
          <w:ilvl w:val="0"/>
          <w:numId w:val="1"/>
        </w:numPr>
        <w:rPr>
          <w:noProof w:val="0"/>
          <w:color w:val="FF0000"/>
          <w:lang w:val="en-US"/>
        </w:rPr>
      </w:pPr>
      <w:r w:rsidRPr="00610904">
        <w:rPr>
          <w:noProof w:val="0"/>
          <w:lang w:val="en-US"/>
        </w:rPr>
        <w:t>The Commission</w:t>
      </w:r>
      <w:r w:rsidR="00022F5E" w:rsidRPr="00610904">
        <w:rPr>
          <w:noProof w:val="0"/>
          <w:lang w:val="en-US"/>
        </w:rPr>
        <w:t xml:space="preserve"> </w:t>
      </w:r>
      <w:r w:rsidR="007D72DC" w:rsidRPr="00610904">
        <w:rPr>
          <w:noProof w:val="0"/>
          <w:lang w:val="en-US"/>
        </w:rPr>
        <w:t>underscored that the State’s arguments relate</w:t>
      </w:r>
      <w:r w:rsidR="00FF7BFA" w:rsidRPr="00610904">
        <w:rPr>
          <w:noProof w:val="0"/>
          <w:lang w:val="en-US"/>
        </w:rPr>
        <w:t>d</w:t>
      </w:r>
      <w:r w:rsidR="007D72DC" w:rsidRPr="00610904">
        <w:rPr>
          <w:noProof w:val="0"/>
          <w:lang w:val="en-US"/>
        </w:rPr>
        <w:t xml:space="preserve"> to the fundamental dispute and, </w:t>
      </w:r>
      <w:r w:rsidR="00FF7BFA" w:rsidRPr="00610904">
        <w:rPr>
          <w:noProof w:val="0"/>
          <w:lang w:val="en-US"/>
        </w:rPr>
        <w:t>as such, did</w:t>
      </w:r>
      <w:r w:rsidR="007D72DC" w:rsidRPr="00610904">
        <w:rPr>
          <w:noProof w:val="0"/>
          <w:lang w:val="en-US"/>
        </w:rPr>
        <w:t xml:space="preserve"> not constitute an objection to the admissibility of the case or to the competence of the Court to examine it</w:t>
      </w:r>
      <w:r w:rsidR="00FF7BFA" w:rsidRPr="00610904">
        <w:rPr>
          <w:noProof w:val="0"/>
          <w:lang w:val="en-US"/>
        </w:rPr>
        <w:t xml:space="preserve">, which is </w:t>
      </w:r>
      <w:r w:rsidR="007D72DC" w:rsidRPr="00610904">
        <w:rPr>
          <w:noProof w:val="0"/>
          <w:lang w:val="en-US"/>
        </w:rPr>
        <w:t xml:space="preserve">the </w:t>
      </w:r>
      <w:r w:rsidR="00FF7BFA" w:rsidRPr="00610904">
        <w:rPr>
          <w:noProof w:val="0"/>
          <w:lang w:val="en-US"/>
        </w:rPr>
        <w:t xml:space="preserve">purpose of a preliminary objection. It </w:t>
      </w:r>
      <w:r w:rsidR="007D72DC" w:rsidRPr="00610904">
        <w:rPr>
          <w:noProof w:val="0"/>
          <w:lang w:val="en-US"/>
        </w:rPr>
        <w:t xml:space="preserve">indicated that the facts relating to the right to education and the discrimination and denial of justice are included within the factual framework of the Merits Report, which refers explicitly to various aspects of the presumed discrimination suffered by </w:t>
      </w:r>
      <w:r w:rsidR="00022F5E" w:rsidRPr="00610904">
        <w:rPr>
          <w:noProof w:val="0"/>
          <w:lang w:val="en-US"/>
        </w:rPr>
        <w:t>Talía Gonzales Lluy</w:t>
      </w:r>
      <w:r w:rsidR="007D72DC" w:rsidRPr="00610904">
        <w:rPr>
          <w:noProof w:val="0"/>
          <w:lang w:val="en-US"/>
        </w:rPr>
        <w:t xml:space="preserve">. It also noted that the State “had not responded in any way during the merits stage” of the case before </w:t>
      </w:r>
      <w:r w:rsidRPr="00610904">
        <w:rPr>
          <w:noProof w:val="0"/>
          <w:lang w:val="en-US"/>
        </w:rPr>
        <w:t>the Commission</w:t>
      </w:r>
      <w:r w:rsidR="00022F5E" w:rsidRPr="00610904">
        <w:rPr>
          <w:noProof w:val="0"/>
          <w:lang w:val="en-US"/>
        </w:rPr>
        <w:t xml:space="preserve">, </w:t>
      </w:r>
      <w:r w:rsidR="007D72DC" w:rsidRPr="00610904">
        <w:rPr>
          <w:noProof w:val="0"/>
          <w:lang w:val="en-US"/>
        </w:rPr>
        <w:t xml:space="preserve">which constituted “a limiting factor” for the establishment </w:t>
      </w:r>
      <w:r w:rsidR="00A8072E" w:rsidRPr="00610904">
        <w:rPr>
          <w:noProof w:val="0"/>
          <w:lang w:val="en-US"/>
        </w:rPr>
        <w:t>of the factual framework</w:t>
      </w:r>
      <w:r w:rsidR="00022F5E" w:rsidRPr="00610904">
        <w:rPr>
          <w:noProof w:val="0"/>
          <w:lang w:val="en-US"/>
        </w:rPr>
        <w:t xml:space="preserve">. </w:t>
      </w:r>
      <w:r w:rsidR="007D72DC" w:rsidRPr="00610904">
        <w:rPr>
          <w:noProof w:val="0"/>
          <w:lang w:val="en-US"/>
        </w:rPr>
        <w:t>Furthermore</w:t>
      </w:r>
      <w:r w:rsidR="00FF7BFA" w:rsidRPr="00610904">
        <w:rPr>
          <w:noProof w:val="0"/>
          <w:lang w:val="en-US"/>
        </w:rPr>
        <w:t>, it stressed that the Court had</w:t>
      </w:r>
      <w:r w:rsidR="007D72DC" w:rsidRPr="00610904">
        <w:rPr>
          <w:noProof w:val="0"/>
          <w:lang w:val="en-US"/>
        </w:rPr>
        <w:t xml:space="preserve"> more detailed information with the necessary elements for ruling on the possible violation of the right to education.</w:t>
      </w:r>
    </w:p>
    <w:p w:rsidR="00022F5E" w:rsidRPr="00610904" w:rsidRDefault="00022F5E" w:rsidP="00610904">
      <w:pPr>
        <w:rPr>
          <w:noProof w:val="0"/>
          <w:color w:val="FF0000"/>
          <w:lang w:val="en-US"/>
        </w:rPr>
      </w:pPr>
    </w:p>
    <w:p w:rsidR="00022F5E"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022F5E" w:rsidRPr="00610904" w:rsidRDefault="00022F5E" w:rsidP="00610904">
      <w:pPr>
        <w:rPr>
          <w:noProof w:val="0"/>
          <w:color w:val="FF0000"/>
          <w:lang w:val="en-US"/>
        </w:rPr>
      </w:pPr>
    </w:p>
    <w:p w:rsidR="00022F5E" w:rsidRPr="00610904" w:rsidRDefault="006C7903" w:rsidP="00610904">
      <w:pPr>
        <w:numPr>
          <w:ilvl w:val="0"/>
          <w:numId w:val="1"/>
        </w:numPr>
        <w:rPr>
          <w:noProof w:val="0"/>
          <w:color w:val="FF0000"/>
          <w:lang w:val="en-US"/>
        </w:rPr>
      </w:pPr>
      <w:r w:rsidRPr="00610904">
        <w:rPr>
          <w:noProof w:val="0"/>
          <w:lang w:val="en-US"/>
        </w:rPr>
        <w:t>The</w:t>
      </w:r>
      <w:r w:rsidR="00A8072E" w:rsidRPr="00610904">
        <w:rPr>
          <w:noProof w:val="0"/>
          <w:lang w:val="en-US"/>
        </w:rPr>
        <w:t xml:space="preserve"> Court</w:t>
      </w:r>
      <w:r w:rsidR="00022F5E" w:rsidRPr="00610904">
        <w:rPr>
          <w:noProof w:val="0"/>
          <w:lang w:val="en-US"/>
        </w:rPr>
        <w:t xml:space="preserve"> </w:t>
      </w:r>
      <w:r w:rsidR="007D72DC" w:rsidRPr="00610904">
        <w:rPr>
          <w:rFonts w:eastAsia="Calibri" w:cs="Verdana"/>
          <w:noProof w:val="0"/>
          <w:spacing w:val="-2"/>
          <w:lang w:val="en-US"/>
        </w:rPr>
        <w:t>reiterates that</w:t>
      </w:r>
      <w:r w:rsidR="00022F5E" w:rsidRPr="00610904">
        <w:rPr>
          <w:rFonts w:eastAsia="Calibri" w:cs="Verdana"/>
          <w:noProof w:val="0"/>
          <w:spacing w:val="-2"/>
          <w:lang w:val="en-US"/>
        </w:rPr>
        <w:t xml:space="preserve"> </w:t>
      </w:r>
      <w:r w:rsidR="00A8072E" w:rsidRPr="00610904">
        <w:rPr>
          <w:rFonts w:eastAsia="Calibri" w:cs="Verdana"/>
          <w:noProof w:val="0"/>
          <w:spacing w:val="-2"/>
          <w:lang w:val="en-US"/>
        </w:rPr>
        <w:t>the factual framework</w:t>
      </w:r>
      <w:r w:rsidR="00022F5E" w:rsidRPr="00610904">
        <w:rPr>
          <w:rFonts w:eastAsia="Calibri" w:cs="Verdana"/>
          <w:noProof w:val="0"/>
          <w:spacing w:val="-2"/>
          <w:lang w:val="en-US"/>
        </w:rPr>
        <w:t xml:space="preserve"> </w:t>
      </w:r>
      <w:r w:rsidR="007D72DC" w:rsidRPr="00610904">
        <w:rPr>
          <w:rFonts w:eastAsia="Calibri" w:cs="Verdana"/>
          <w:noProof w:val="0"/>
          <w:spacing w:val="-2"/>
          <w:lang w:val="en-US"/>
        </w:rPr>
        <w:t>of the proceedings before</w:t>
      </w:r>
      <w:r w:rsidR="00022F5E" w:rsidRPr="00610904">
        <w:rPr>
          <w:rFonts w:eastAsia="Calibri" w:cs="Verdana"/>
          <w:noProof w:val="0"/>
          <w:spacing w:val="-2"/>
          <w:lang w:val="en-US"/>
        </w:rPr>
        <w:t xml:space="preserve"> </w:t>
      </w:r>
      <w:r w:rsidRPr="00610904">
        <w:rPr>
          <w:rFonts w:eastAsia="Calibri" w:cs="Verdana"/>
          <w:noProof w:val="0"/>
          <w:spacing w:val="-2"/>
          <w:lang w:val="en-US"/>
        </w:rPr>
        <w:t>it</w:t>
      </w:r>
      <w:r w:rsidR="00022F5E" w:rsidRPr="00610904">
        <w:rPr>
          <w:rFonts w:eastAsia="Calibri" w:cs="Verdana"/>
          <w:noProof w:val="0"/>
          <w:spacing w:val="-2"/>
          <w:lang w:val="en-US"/>
        </w:rPr>
        <w:t xml:space="preserve"> </w:t>
      </w:r>
      <w:r w:rsidR="007D72DC" w:rsidRPr="00610904">
        <w:rPr>
          <w:rFonts w:eastAsia="Calibri" w:cs="Verdana"/>
          <w:noProof w:val="0"/>
          <w:spacing w:val="-2"/>
          <w:lang w:val="en-US"/>
        </w:rPr>
        <w:t xml:space="preserve">is constituted by the facts contained </w:t>
      </w:r>
      <w:r w:rsidR="00A8072E" w:rsidRPr="00610904">
        <w:rPr>
          <w:rFonts w:eastAsia="Calibri" w:cs="Verdana"/>
          <w:noProof w:val="0"/>
          <w:spacing w:val="-2"/>
          <w:lang w:val="en-US"/>
        </w:rPr>
        <w:t>in the Merits</w:t>
      </w:r>
      <w:r w:rsidR="006E502B" w:rsidRPr="00610904">
        <w:rPr>
          <w:rFonts w:eastAsia="Calibri" w:cs="Verdana"/>
          <w:noProof w:val="0"/>
          <w:spacing w:val="-2"/>
          <w:lang w:val="en-US"/>
        </w:rPr>
        <w:t xml:space="preserve"> Report</w:t>
      </w:r>
      <w:r w:rsidR="00022F5E" w:rsidRPr="00610904">
        <w:rPr>
          <w:rFonts w:eastAsia="Calibri" w:cs="Verdana"/>
          <w:noProof w:val="0"/>
          <w:spacing w:val="-2"/>
          <w:lang w:val="en-US"/>
        </w:rPr>
        <w:t xml:space="preserve"> </w:t>
      </w:r>
      <w:r w:rsidR="007D72DC" w:rsidRPr="00610904">
        <w:rPr>
          <w:rFonts w:eastAsia="Calibri" w:cs="Verdana"/>
          <w:noProof w:val="0"/>
          <w:spacing w:val="-2"/>
          <w:lang w:val="en-US"/>
        </w:rPr>
        <w:t xml:space="preserve">submitted to its consideration. Consequently, it is not admissible for the parties to allege new facts </w:t>
      </w:r>
      <w:r w:rsidRPr="00610904">
        <w:rPr>
          <w:rFonts w:eastAsia="Calibri" w:cs="Verdana"/>
          <w:noProof w:val="0"/>
          <w:spacing w:val="-2"/>
          <w:lang w:val="en-US"/>
        </w:rPr>
        <w:t>that differ</w:t>
      </w:r>
      <w:r w:rsidR="007D72DC" w:rsidRPr="00610904">
        <w:rPr>
          <w:rFonts w:eastAsia="Calibri" w:cs="Verdana"/>
          <w:noProof w:val="0"/>
          <w:spacing w:val="-2"/>
          <w:lang w:val="en-US"/>
        </w:rPr>
        <w:t xml:space="preserve"> from those contained in that report, without prejudice to </w:t>
      </w:r>
      <w:r w:rsidR="0056398E" w:rsidRPr="00610904">
        <w:rPr>
          <w:rFonts w:eastAsia="Calibri" w:cs="Verdana"/>
          <w:noProof w:val="0"/>
          <w:spacing w:val="-2"/>
          <w:lang w:val="en-US"/>
        </w:rPr>
        <w:t>describing</w:t>
      </w:r>
      <w:r w:rsidRPr="00610904">
        <w:rPr>
          <w:rFonts w:eastAsia="Calibri" w:cs="Verdana"/>
          <w:noProof w:val="0"/>
          <w:spacing w:val="-2"/>
          <w:lang w:val="en-US"/>
        </w:rPr>
        <w:t xml:space="preserve"> facts</w:t>
      </w:r>
      <w:r w:rsidR="007D72DC" w:rsidRPr="00610904">
        <w:rPr>
          <w:rFonts w:eastAsia="Calibri" w:cs="Verdana"/>
          <w:noProof w:val="0"/>
          <w:spacing w:val="-2"/>
          <w:lang w:val="en-US"/>
        </w:rPr>
        <w:t xml:space="preserve"> that may explain, clarify or reject </w:t>
      </w:r>
      <w:r w:rsidRPr="00610904">
        <w:rPr>
          <w:rFonts w:eastAsia="Calibri" w:cs="Verdana"/>
          <w:noProof w:val="0"/>
          <w:spacing w:val="-2"/>
          <w:lang w:val="en-US"/>
        </w:rPr>
        <w:t>those</w:t>
      </w:r>
      <w:r w:rsidR="007D72DC" w:rsidRPr="00610904">
        <w:rPr>
          <w:rFonts w:eastAsia="Calibri" w:cs="Verdana"/>
          <w:noProof w:val="0"/>
          <w:spacing w:val="-2"/>
          <w:lang w:val="en-US"/>
        </w:rPr>
        <w:t xml:space="preserve"> mentioned in the report and submitted to the consideration </w:t>
      </w:r>
      <w:r w:rsidR="007D72DC" w:rsidRPr="00610904">
        <w:rPr>
          <w:noProof w:val="0"/>
          <w:lang w:val="en-US"/>
        </w:rPr>
        <w:t>of the Court.</w:t>
      </w:r>
      <w:r w:rsidR="007D72DC" w:rsidRPr="00610904">
        <w:rPr>
          <w:noProof w:val="0"/>
          <w:szCs w:val="20"/>
          <w:vertAlign w:val="superscript"/>
          <w:lang w:val="en-US"/>
        </w:rPr>
        <w:footnoteReference w:id="28"/>
      </w:r>
      <w:r w:rsidR="007D72DC" w:rsidRPr="00610904">
        <w:rPr>
          <w:noProof w:val="0"/>
          <w:lang w:val="en-US"/>
        </w:rPr>
        <w:t xml:space="preserve"> The exception to this principle are facts classified as supervening, or when there is</w:t>
      </w:r>
      <w:r w:rsidRPr="00610904">
        <w:rPr>
          <w:noProof w:val="0"/>
          <w:lang w:val="en-US"/>
        </w:rPr>
        <w:t xml:space="preserve"> subsequent information,</w:t>
      </w:r>
      <w:r w:rsidR="007D72DC" w:rsidRPr="00610904">
        <w:rPr>
          <w:noProof w:val="0"/>
          <w:lang w:val="en-US"/>
        </w:rPr>
        <w:t xml:space="preserve"> or access to evidence on the facts, provided</w:t>
      </w:r>
      <w:r w:rsidRPr="00610904">
        <w:rPr>
          <w:noProof w:val="0"/>
          <w:lang w:val="en-US"/>
        </w:rPr>
        <w:t>,</w:t>
      </w:r>
      <w:r w:rsidR="007D72DC" w:rsidRPr="00610904">
        <w:rPr>
          <w:noProof w:val="0"/>
          <w:lang w:val="en-US"/>
        </w:rPr>
        <w:t xml:space="preserve"> that are connected to the facts of the proceedings.</w:t>
      </w:r>
      <w:r w:rsidR="007D72DC" w:rsidRPr="00610904">
        <w:rPr>
          <w:rStyle w:val="FootnoteReference"/>
          <w:noProof w:val="0"/>
          <w:lang w:val="en-US"/>
        </w:rPr>
        <w:footnoteReference w:id="29"/>
      </w:r>
      <w:r w:rsidR="007D72DC" w:rsidRPr="00610904">
        <w:rPr>
          <w:noProof w:val="0"/>
          <w:lang w:val="en-US"/>
        </w:rPr>
        <w:t xml:space="preserve"> In addition, </w:t>
      </w:r>
      <w:r w:rsidR="009F3D78" w:rsidRPr="00610904">
        <w:rPr>
          <w:noProof w:val="0"/>
          <w:lang w:val="en-US"/>
        </w:rPr>
        <w:t xml:space="preserve">the presumed victims and </w:t>
      </w:r>
      <w:r w:rsidR="00795F5F" w:rsidRPr="00610904">
        <w:rPr>
          <w:noProof w:val="0"/>
          <w:lang w:val="en-US"/>
        </w:rPr>
        <w:t>their representatives</w:t>
      </w:r>
      <w:r w:rsidR="00022F5E" w:rsidRPr="00610904">
        <w:rPr>
          <w:noProof w:val="0"/>
          <w:lang w:val="en-US"/>
        </w:rPr>
        <w:t xml:space="preserve"> </w:t>
      </w:r>
      <w:r w:rsidR="007D72DC" w:rsidRPr="00610904">
        <w:rPr>
          <w:noProof w:val="0"/>
          <w:lang w:val="en-US"/>
        </w:rPr>
        <w:t xml:space="preserve">may cite the violation of facts other than those included </w:t>
      </w:r>
      <w:r w:rsidR="00A8072E" w:rsidRPr="00610904">
        <w:rPr>
          <w:noProof w:val="0"/>
          <w:lang w:val="en-US"/>
        </w:rPr>
        <w:t>in the Merits</w:t>
      </w:r>
      <w:r w:rsidR="006E502B" w:rsidRPr="00610904">
        <w:rPr>
          <w:noProof w:val="0"/>
          <w:lang w:val="en-US"/>
        </w:rPr>
        <w:t xml:space="preserve"> Report</w:t>
      </w:r>
      <w:r w:rsidR="00022F5E" w:rsidRPr="00610904">
        <w:rPr>
          <w:noProof w:val="0"/>
          <w:lang w:val="en-US"/>
        </w:rPr>
        <w:t>,</w:t>
      </w:r>
      <w:r w:rsidRPr="00610904">
        <w:rPr>
          <w:noProof w:val="0"/>
          <w:lang w:val="en-US"/>
        </w:rPr>
        <w:t xml:space="preserve"> provided these</w:t>
      </w:r>
      <w:r w:rsidR="007D72DC" w:rsidRPr="00610904">
        <w:rPr>
          <w:noProof w:val="0"/>
          <w:lang w:val="en-US"/>
        </w:rPr>
        <w:t xml:space="preserve"> relate to the facts contained in this document, because </w:t>
      </w:r>
      <w:r w:rsidR="009F3D78" w:rsidRPr="00610904">
        <w:rPr>
          <w:noProof w:val="0"/>
          <w:lang w:val="en-US"/>
        </w:rPr>
        <w:t>the presumed victims</w:t>
      </w:r>
      <w:r w:rsidR="007D72DC" w:rsidRPr="00610904">
        <w:rPr>
          <w:noProof w:val="0"/>
          <w:lang w:val="en-US"/>
        </w:rPr>
        <w:t xml:space="preserve"> are </w:t>
      </w:r>
      <w:r w:rsidRPr="00610904">
        <w:rPr>
          <w:noProof w:val="0"/>
          <w:lang w:val="en-US"/>
        </w:rPr>
        <w:t>hold</w:t>
      </w:r>
      <w:r w:rsidR="007D72DC" w:rsidRPr="00610904">
        <w:rPr>
          <w:noProof w:val="0"/>
          <w:lang w:val="en-US"/>
        </w:rPr>
        <w:t xml:space="preserve">ers of all the rights recognized in </w:t>
      </w:r>
      <w:r w:rsidR="009F3D78" w:rsidRPr="00610904">
        <w:rPr>
          <w:noProof w:val="0"/>
          <w:lang w:val="en-US"/>
        </w:rPr>
        <w:t>the Convention</w:t>
      </w:r>
      <w:r w:rsidR="00022F5E" w:rsidRPr="00610904">
        <w:rPr>
          <w:noProof w:val="0"/>
          <w:lang w:val="en-US"/>
        </w:rPr>
        <w:t xml:space="preserve">. </w:t>
      </w:r>
      <w:r w:rsidR="007D72DC" w:rsidRPr="00610904">
        <w:rPr>
          <w:noProof w:val="0"/>
          <w:lang w:val="en-US"/>
        </w:rPr>
        <w:t>In each case, it is for this Court to decide on the admissibility of arguments concerning</w:t>
      </w:r>
      <w:r w:rsidR="00223622" w:rsidRPr="00610904">
        <w:rPr>
          <w:noProof w:val="0"/>
          <w:lang w:val="en-US"/>
        </w:rPr>
        <w:t xml:space="preserve"> the factual framework</w:t>
      </w:r>
      <w:r w:rsidR="00022F5E" w:rsidRPr="00610904">
        <w:rPr>
          <w:noProof w:val="0"/>
          <w:lang w:val="en-US"/>
        </w:rPr>
        <w:t xml:space="preserve"> </w:t>
      </w:r>
      <w:r w:rsidR="007D72DC" w:rsidRPr="00610904">
        <w:rPr>
          <w:noProof w:val="0"/>
          <w:lang w:val="en-US"/>
        </w:rPr>
        <w:t>in order to safeguard the procedural equality of the parties.</w:t>
      </w:r>
      <w:r w:rsidR="00022F5E" w:rsidRPr="00610904">
        <w:rPr>
          <w:noProof w:val="0"/>
          <w:szCs w:val="20"/>
          <w:vertAlign w:val="superscript"/>
          <w:lang w:val="en-US"/>
        </w:rPr>
        <w:footnoteReference w:id="30"/>
      </w:r>
    </w:p>
    <w:p w:rsidR="00022F5E" w:rsidRPr="00610904" w:rsidRDefault="00022F5E" w:rsidP="00610904">
      <w:pPr>
        <w:rPr>
          <w:noProof w:val="0"/>
          <w:color w:val="FF0000"/>
          <w:lang w:val="en-US"/>
        </w:rPr>
      </w:pPr>
    </w:p>
    <w:p w:rsidR="00022F5E" w:rsidRPr="00610904" w:rsidRDefault="007D72DC" w:rsidP="00610904">
      <w:pPr>
        <w:numPr>
          <w:ilvl w:val="0"/>
          <w:numId w:val="1"/>
        </w:numPr>
        <w:rPr>
          <w:noProof w:val="0"/>
          <w:color w:val="FF0000"/>
          <w:lang w:val="en-US"/>
        </w:rPr>
      </w:pPr>
      <w:r w:rsidRPr="00610904">
        <w:rPr>
          <w:noProof w:val="0"/>
          <w:lang w:val="en-US"/>
        </w:rPr>
        <w:t xml:space="preserve">Although the facts in the </w:t>
      </w:r>
      <w:r w:rsidR="006E502B" w:rsidRPr="00610904">
        <w:rPr>
          <w:noProof w:val="0"/>
          <w:lang w:val="en-US"/>
        </w:rPr>
        <w:t>Merits Report</w:t>
      </w:r>
      <w:r w:rsidR="00022F5E" w:rsidRPr="00610904">
        <w:rPr>
          <w:noProof w:val="0"/>
          <w:lang w:val="en-US"/>
        </w:rPr>
        <w:t xml:space="preserve"> </w:t>
      </w:r>
      <w:r w:rsidRPr="00610904">
        <w:rPr>
          <w:noProof w:val="0"/>
          <w:lang w:val="en-US"/>
        </w:rPr>
        <w:t>submitted to</w:t>
      </w:r>
      <w:r w:rsidR="009F3D78" w:rsidRPr="00610904">
        <w:rPr>
          <w:noProof w:val="0"/>
          <w:lang w:val="en-US"/>
        </w:rPr>
        <w:t xml:space="preserve"> the Court</w:t>
      </w:r>
      <w:r w:rsidRPr="00610904">
        <w:rPr>
          <w:noProof w:val="0"/>
          <w:lang w:val="en-US"/>
        </w:rPr>
        <w:t xml:space="preserve">’s consideration </w:t>
      </w:r>
      <w:r w:rsidR="00856968" w:rsidRPr="00610904">
        <w:rPr>
          <w:noProof w:val="0"/>
          <w:lang w:val="en-US"/>
        </w:rPr>
        <w:t>constitute the</w:t>
      </w:r>
      <w:r w:rsidR="00A8072E" w:rsidRPr="00610904">
        <w:rPr>
          <w:noProof w:val="0"/>
          <w:lang w:val="en-US"/>
        </w:rPr>
        <w:t xml:space="preserve"> factual framework</w:t>
      </w:r>
      <w:r w:rsidR="00022F5E" w:rsidRPr="00610904">
        <w:rPr>
          <w:noProof w:val="0"/>
          <w:lang w:val="en-US"/>
        </w:rPr>
        <w:t xml:space="preserve"> </w:t>
      </w:r>
      <w:r w:rsidRPr="00610904">
        <w:rPr>
          <w:noProof w:val="0"/>
          <w:lang w:val="en-US"/>
        </w:rPr>
        <w:t xml:space="preserve">of the proceedings before </w:t>
      </w:r>
      <w:r w:rsidRPr="00610904">
        <w:rPr>
          <w:noProof w:val="0"/>
          <w:spacing w:val="-2"/>
          <w:szCs w:val="20"/>
          <w:lang w:val="en-US"/>
        </w:rPr>
        <w:t>the</w:t>
      </w:r>
      <w:r w:rsidR="00A8072E" w:rsidRPr="00610904">
        <w:rPr>
          <w:noProof w:val="0"/>
          <w:spacing w:val="-2"/>
          <w:szCs w:val="20"/>
          <w:lang w:val="en-US"/>
        </w:rPr>
        <w:t xml:space="preserve"> Court</w:t>
      </w:r>
      <w:r w:rsidRPr="00610904">
        <w:rPr>
          <w:noProof w:val="0"/>
          <w:spacing w:val="-2"/>
          <w:szCs w:val="20"/>
          <w:lang w:val="en-US"/>
        </w:rPr>
        <w:t>,</w:t>
      </w:r>
      <w:r w:rsidR="00022F5E" w:rsidRPr="00610904">
        <w:rPr>
          <w:noProof w:val="0"/>
          <w:spacing w:val="-2"/>
          <w:szCs w:val="20"/>
          <w:vertAlign w:val="superscript"/>
          <w:lang w:val="en-US"/>
        </w:rPr>
        <w:footnoteReference w:id="31"/>
      </w:r>
      <w:r w:rsidR="00022F5E" w:rsidRPr="00610904">
        <w:rPr>
          <w:noProof w:val="0"/>
          <w:spacing w:val="-2"/>
          <w:szCs w:val="20"/>
          <w:lang w:val="en-US"/>
        </w:rPr>
        <w:t xml:space="preserve"> </w:t>
      </w:r>
      <w:r w:rsidRPr="00610904">
        <w:rPr>
          <w:noProof w:val="0"/>
          <w:spacing w:val="-2"/>
          <w:szCs w:val="20"/>
          <w:lang w:val="en-US"/>
        </w:rPr>
        <w:t xml:space="preserve">the Court is not restricted by the probative assessment and the classification of the facts made by </w:t>
      </w:r>
      <w:r w:rsidR="002F5BBA" w:rsidRPr="00610904">
        <w:rPr>
          <w:noProof w:val="0"/>
          <w:spacing w:val="-2"/>
          <w:szCs w:val="20"/>
          <w:lang w:val="en-US"/>
        </w:rPr>
        <w:t>the Commission</w:t>
      </w:r>
      <w:r w:rsidR="00022F5E" w:rsidRPr="00610904">
        <w:rPr>
          <w:noProof w:val="0"/>
          <w:spacing w:val="-2"/>
          <w:szCs w:val="20"/>
          <w:lang w:val="en-US"/>
        </w:rPr>
        <w:t xml:space="preserve"> </w:t>
      </w:r>
      <w:r w:rsidRPr="00610904">
        <w:rPr>
          <w:noProof w:val="0"/>
          <w:spacing w:val="-2"/>
          <w:szCs w:val="20"/>
          <w:lang w:val="en-US"/>
        </w:rPr>
        <w:t>in the exercise of its functions.</w:t>
      </w:r>
      <w:r w:rsidR="00022F5E" w:rsidRPr="00610904">
        <w:rPr>
          <w:noProof w:val="0"/>
          <w:spacing w:val="-2"/>
          <w:szCs w:val="20"/>
          <w:vertAlign w:val="superscript"/>
          <w:lang w:val="en-US"/>
        </w:rPr>
        <w:footnoteReference w:id="32"/>
      </w:r>
      <w:r w:rsidRPr="00610904">
        <w:rPr>
          <w:noProof w:val="0"/>
          <w:spacing w:val="-2"/>
          <w:szCs w:val="20"/>
          <w:lang w:val="en-US"/>
        </w:rPr>
        <w:t xml:space="preserve"> In each case, it is for the Court to make its own determination of the facts of the case, assessing the evidence provided by</w:t>
      </w:r>
      <w:r w:rsidR="00022F5E" w:rsidRPr="00610904">
        <w:rPr>
          <w:noProof w:val="0"/>
          <w:spacing w:val="-2"/>
          <w:szCs w:val="20"/>
          <w:lang w:val="en-US"/>
        </w:rPr>
        <w:t xml:space="preserve"> </w:t>
      </w:r>
      <w:r w:rsidR="002F5BBA" w:rsidRPr="00610904">
        <w:rPr>
          <w:noProof w:val="0"/>
          <w:spacing w:val="-2"/>
          <w:szCs w:val="20"/>
          <w:lang w:val="en-US"/>
        </w:rPr>
        <w:t>the Commission</w:t>
      </w:r>
      <w:r w:rsidR="009F3D78" w:rsidRPr="00610904">
        <w:rPr>
          <w:noProof w:val="0"/>
          <w:spacing w:val="-2"/>
          <w:szCs w:val="20"/>
          <w:lang w:val="en-US"/>
        </w:rPr>
        <w:t xml:space="preserve"> and </w:t>
      </w:r>
      <w:r w:rsidRPr="00610904">
        <w:rPr>
          <w:noProof w:val="0"/>
          <w:spacing w:val="-2"/>
          <w:szCs w:val="20"/>
          <w:lang w:val="en-US"/>
        </w:rPr>
        <w:t>the parties and the helpful evidence requested, respecting the right of defense of the parties</w:t>
      </w:r>
      <w:r w:rsidR="006C7903" w:rsidRPr="00610904">
        <w:rPr>
          <w:noProof w:val="0"/>
          <w:spacing w:val="-2"/>
          <w:szCs w:val="20"/>
          <w:lang w:val="en-US"/>
        </w:rPr>
        <w:t>,</w:t>
      </w:r>
      <w:r w:rsidRPr="00610904">
        <w:rPr>
          <w:noProof w:val="0"/>
          <w:spacing w:val="-2"/>
          <w:szCs w:val="20"/>
          <w:lang w:val="en-US"/>
        </w:rPr>
        <w:t xml:space="preserve"> </w:t>
      </w:r>
      <w:r w:rsidRPr="00610904">
        <w:rPr>
          <w:noProof w:val="0"/>
          <w:spacing w:val="-2"/>
          <w:szCs w:val="20"/>
          <w:lang w:val="en-US"/>
        </w:rPr>
        <w:lastRenderedPageBreak/>
        <w:t>and the purpose of the</w:t>
      </w:r>
      <w:r w:rsidR="00022F5E" w:rsidRPr="00610904">
        <w:rPr>
          <w:noProof w:val="0"/>
          <w:spacing w:val="-2"/>
          <w:szCs w:val="20"/>
          <w:lang w:val="en-US"/>
        </w:rPr>
        <w:t xml:space="preserve"> </w:t>
      </w:r>
      <w:r w:rsidR="00022F5E" w:rsidRPr="00610904">
        <w:rPr>
          <w:i/>
          <w:noProof w:val="0"/>
          <w:spacing w:val="-2"/>
          <w:szCs w:val="20"/>
          <w:lang w:val="en-US"/>
        </w:rPr>
        <w:t>litis</w:t>
      </w:r>
      <w:r w:rsidRPr="00610904">
        <w:rPr>
          <w:i/>
          <w:noProof w:val="0"/>
          <w:spacing w:val="-2"/>
          <w:szCs w:val="20"/>
          <w:lang w:val="en-US"/>
        </w:rPr>
        <w:t>.</w:t>
      </w:r>
      <w:r w:rsidR="00022F5E" w:rsidRPr="00610904">
        <w:rPr>
          <w:noProof w:val="0"/>
          <w:spacing w:val="-2"/>
          <w:szCs w:val="20"/>
          <w:vertAlign w:val="superscript"/>
          <w:lang w:val="en-US"/>
        </w:rPr>
        <w:footnoteReference w:id="33"/>
      </w:r>
      <w:r w:rsidR="00022F5E" w:rsidRPr="00610904">
        <w:rPr>
          <w:noProof w:val="0"/>
          <w:spacing w:val="-2"/>
          <w:szCs w:val="20"/>
          <w:lang w:val="en-US"/>
        </w:rPr>
        <w:t xml:space="preserve"> </w:t>
      </w:r>
      <w:r w:rsidRPr="00610904">
        <w:rPr>
          <w:noProof w:val="0"/>
          <w:spacing w:val="-2"/>
          <w:szCs w:val="20"/>
          <w:lang w:val="en-US"/>
        </w:rPr>
        <w:t xml:space="preserve">Thus, </w:t>
      </w:r>
      <w:r w:rsidR="006C7903" w:rsidRPr="00610904">
        <w:rPr>
          <w:noProof w:val="0"/>
          <w:spacing w:val="-2"/>
          <w:szCs w:val="20"/>
          <w:lang w:val="en-US"/>
        </w:rPr>
        <w:t xml:space="preserve">the Court notes that, </w:t>
      </w:r>
      <w:r w:rsidRPr="00610904">
        <w:rPr>
          <w:noProof w:val="0"/>
          <w:spacing w:val="-2"/>
          <w:szCs w:val="20"/>
          <w:lang w:val="en-US"/>
        </w:rPr>
        <w:t xml:space="preserve">in the chapter on proven facts of the Merits Report, </w:t>
      </w:r>
      <w:r w:rsidR="002F5BBA" w:rsidRPr="00610904">
        <w:rPr>
          <w:noProof w:val="0"/>
          <w:spacing w:val="-2"/>
          <w:szCs w:val="20"/>
          <w:lang w:val="en-US"/>
        </w:rPr>
        <w:t>the Commission</w:t>
      </w:r>
      <w:r w:rsidR="00022F5E" w:rsidRPr="00610904">
        <w:rPr>
          <w:noProof w:val="0"/>
          <w:spacing w:val="-2"/>
          <w:szCs w:val="20"/>
          <w:lang w:val="en-US"/>
        </w:rPr>
        <w:t xml:space="preserve"> </w:t>
      </w:r>
      <w:r w:rsidR="006C7903" w:rsidRPr="00610904">
        <w:rPr>
          <w:noProof w:val="0"/>
          <w:spacing w:val="-2"/>
          <w:szCs w:val="20"/>
          <w:lang w:val="en-US"/>
        </w:rPr>
        <w:t xml:space="preserve">referred expressly to </w:t>
      </w:r>
      <w:r w:rsidRPr="00610904">
        <w:rPr>
          <w:noProof w:val="0"/>
          <w:spacing w:val="-2"/>
          <w:szCs w:val="20"/>
          <w:lang w:val="en-US"/>
        </w:rPr>
        <w:t>p</w:t>
      </w:r>
      <w:r w:rsidR="006C7903" w:rsidRPr="00610904">
        <w:rPr>
          <w:noProof w:val="0"/>
          <w:spacing w:val="-2"/>
          <w:szCs w:val="20"/>
          <w:lang w:val="en-US"/>
        </w:rPr>
        <w:t>resumed discrimination and that</w:t>
      </w:r>
      <w:r w:rsidR="00022F5E" w:rsidRPr="00610904">
        <w:rPr>
          <w:noProof w:val="0"/>
          <w:spacing w:val="-2"/>
          <w:szCs w:val="20"/>
          <w:lang w:val="en-US"/>
        </w:rPr>
        <w:t xml:space="preserve"> Talía </w:t>
      </w:r>
      <w:r w:rsidRPr="00610904">
        <w:rPr>
          <w:noProof w:val="0"/>
          <w:spacing w:val="-2"/>
          <w:szCs w:val="20"/>
          <w:lang w:val="en-US"/>
        </w:rPr>
        <w:t>had been prevented from attending primary school owing to her illness</w:t>
      </w:r>
      <w:r w:rsidR="006C7903" w:rsidRPr="00610904">
        <w:rPr>
          <w:noProof w:val="0"/>
          <w:spacing w:val="-2"/>
          <w:szCs w:val="20"/>
          <w:lang w:val="en-US"/>
        </w:rPr>
        <w:t>;</w:t>
      </w:r>
      <w:r w:rsidRPr="00610904">
        <w:rPr>
          <w:noProof w:val="0"/>
          <w:spacing w:val="-2"/>
          <w:szCs w:val="20"/>
          <w:lang w:val="en-US"/>
        </w:rPr>
        <w:t xml:space="preserve"> also</w:t>
      </w:r>
      <w:r w:rsidR="006C7903" w:rsidRPr="00610904">
        <w:rPr>
          <w:noProof w:val="0"/>
          <w:spacing w:val="-2"/>
          <w:szCs w:val="20"/>
          <w:lang w:val="en-US"/>
        </w:rPr>
        <w:t>,</w:t>
      </w:r>
      <w:r w:rsidRPr="00610904">
        <w:rPr>
          <w:noProof w:val="0"/>
          <w:spacing w:val="-2"/>
          <w:szCs w:val="20"/>
          <w:lang w:val="en-US"/>
        </w:rPr>
        <w:t xml:space="preserve"> to the supposed discrimination that her immediate family had suffered.</w:t>
      </w:r>
      <w:r w:rsidR="00022F5E" w:rsidRPr="00610904">
        <w:rPr>
          <w:rStyle w:val="FootnoteReference"/>
          <w:noProof w:val="0"/>
          <w:spacing w:val="-2"/>
          <w:lang w:val="en-US"/>
        </w:rPr>
        <w:footnoteReference w:id="34"/>
      </w:r>
      <w:r w:rsidRPr="00610904">
        <w:rPr>
          <w:noProof w:val="0"/>
          <w:spacing w:val="-2"/>
          <w:szCs w:val="20"/>
          <w:lang w:val="en-US"/>
        </w:rPr>
        <w:t xml:space="preserve"> </w:t>
      </w:r>
      <w:r w:rsidR="006C7903" w:rsidRPr="00610904">
        <w:rPr>
          <w:noProof w:val="0"/>
          <w:spacing w:val="-2"/>
          <w:szCs w:val="20"/>
          <w:lang w:val="en-US"/>
        </w:rPr>
        <w:t>In addition</w:t>
      </w:r>
      <w:r w:rsidRPr="00610904">
        <w:rPr>
          <w:noProof w:val="0"/>
          <w:spacing w:val="-2"/>
          <w:szCs w:val="20"/>
          <w:lang w:val="en-US"/>
        </w:rPr>
        <w:t>, in the Commission’s considerations on Talía’s right to personal integrity an</w:t>
      </w:r>
      <w:r w:rsidR="006C7903" w:rsidRPr="00610904">
        <w:rPr>
          <w:noProof w:val="0"/>
          <w:spacing w:val="-2"/>
          <w:szCs w:val="20"/>
          <w:lang w:val="en-US"/>
        </w:rPr>
        <w:t>d to a decent life following her infection</w:t>
      </w:r>
      <w:r w:rsidRPr="00610904">
        <w:rPr>
          <w:noProof w:val="0"/>
          <w:spacing w:val="-2"/>
          <w:szCs w:val="20"/>
          <w:lang w:val="en-US"/>
        </w:rPr>
        <w:t xml:space="preserve">, </w:t>
      </w:r>
      <w:r w:rsidR="002F5BBA" w:rsidRPr="00610904">
        <w:rPr>
          <w:noProof w:val="0"/>
          <w:spacing w:val="-2"/>
          <w:szCs w:val="20"/>
          <w:lang w:val="en-US"/>
        </w:rPr>
        <w:t>the Commission</w:t>
      </w:r>
      <w:r w:rsidR="00022F5E" w:rsidRPr="00610904">
        <w:rPr>
          <w:noProof w:val="0"/>
          <w:spacing w:val="-2"/>
          <w:szCs w:val="20"/>
          <w:lang w:val="en-US"/>
        </w:rPr>
        <w:t xml:space="preserve"> </w:t>
      </w:r>
      <w:r w:rsidRPr="00610904">
        <w:rPr>
          <w:noProof w:val="0"/>
          <w:spacing w:val="-2"/>
          <w:szCs w:val="20"/>
          <w:lang w:val="en-US"/>
        </w:rPr>
        <w:t>stated that her situation “has had serious impacts that extend […] to the exercise of her right to education</w:t>
      </w:r>
      <w:r w:rsidR="00022F5E" w:rsidRPr="00610904">
        <w:rPr>
          <w:noProof w:val="0"/>
          <w:spacing w:val="-2"/>
          <w:szCs w:val="20"/>
          <w:lang w:val="en-US"/>
        </w:rPr>
        <w:t>”</w:t>
      </w:r>
      <w:r w:rsidR="009F3D78" w:rsidRPr="00610904">
        <w:rPr>
          <w:noProof w:val="0"/>
          <w:spacing w:val="-2"/>
          <w:szCs w:val="20"/>
          <w:lang w:val="en-US"/>
        </w:rPr>
        <w:t xml:space="preserve"> and </w:t>
      </w:r>
      <w:r w:rsidR="006C7903" w:rsidRPr="00610904">
        <w:rPr>
          <w:noProof w:val="0"/>
          <w:spacing w:val="-2"/>
          <w:szCs w:val="20"/>
          <w:lang w:val="en-US"/>
        </w:rPr>
        <w:t>exp</w:t>
      </w:r>
      <w:r w:rsidRPr="00610904">
        <w:rPr>
          <w:noProof w:val="0"/>
          <w:spacing w:val="-2"/>
          <w:szCs w:val="20"/>
          <w:lang w:val="en-US"/>
        </w:rPr>
        <w:t>osed her to “a situation of discrimination at various levels.” Lastly</w:t>
      </w:r>
      <w:r w:rsidR="00856968" w:rsidRPr="00610904">
        <w:rPr>
          <w:noProof w:val="0"/>
          <w:spacing w:val="-2"/>
          <w:szCs w:val="20"/>
          <w:lang w:val="en-US"/>
        </w:rPr>
        <w:t>, among</w:t>
      </w:r>
      <w:r w:rsidRPr="00610904">
        <w:rPr>
          <w:noProof w:val="0"/>
          <w:spacing w:val="-2"/>
          <w:szCs w:val="20"/>
          <w:lang w:val="en-US"/>
        </w:rPr>
        <w:t xml:space="preserve"> the recommendations in the </w:t>
      </w:r>
      <w:r w:rsidR="006E502B" w:rsidRPr="00610904">
        <w:rPr>
          <w:noProof w:val="0"/>
          <w:spacing w:val="-2"/>
          <w:szCs w:val="20"/>
          <w:lang w:val="en-US"/>
        </w:rPr>
        <w:t>Merits Report</w:t>
      </w:r>
      <w:r w:rsidR="00022F5E" w:rsidRPr="00610904">
        <w:rPr>
          <w:noProof w:val="0"/>
          <w:spacing w:val="-2"/>
          <w:szCs w:val="20"/>
          <w:lang w:val="en-US"/>
        </w:rPr>
        <w:t>,</w:t>
      </w:r>
      <w:r w:rsidRPr="00610904">
        <w:rPr>
          <w:noProof w:val="0"/>
          <w:spacing w:val="-2"/>
          <w:szCs w:val="20"/>
          <w:lang w:val="en-US"/>
        </w:rPr>
        <w:t xml:space="preserve"> the Commission recommended that the State provide, in consultation with </w:t>
      </w:r>
      <w:r w:rsidR="00022F5E" w:rsidRPr="00610904">
        <w:rPr>
          <w:noProof w:val="0"/>
          <w:spacing w:val="-2"/>
          <w:szCs w:val="20"/>
          <w:lang w:val="en-US"/>
        </w:rPr>
        <w:t>Talía, “</w:t>
      </w:r>
      <w:r w:rsidRPr="00610904">
        <w:rPr>
          <w:noProof w:val="0"/>
          <w:spacing w:val="-2"/>
          <w:szCs w:val="20"/>
          <w:lang w:val="en-US"/>
        </w:rPr>
        <w:t>primary, secondary and university education.</w:t>
      </w:r>
      <w:r w:rsidR="00022F5E" w:rsidRPr="00610904">
        <w:rPr>
          <w:noProof w:val="0"/>
          <w:spacing w:val="-2"/>
          <w:szCs w:val="20"/>
          <w:lang w:val="en-US"/>
        </w:rPr>
        <w:t>”</w:t>
      </w:r>
      <w:r w:rsidR="00022F5E" w:rsidRPr="00610904">
        <w:rPr>
          <w:rStyle w:val="FootnoteReference"/>
          <w:noProof w:val="0"/>
          <w:spacing w:val="-2"/>
          <w:lang w:val="en-US"/>
        </w:rPr>
        <w:footnoteReference w:id="35"/>
      </w:r>
    </w:p>
    <w:p w:rsidR="00022F5E" w:rsidRPr="00610904" w:rsidRDefault="00022F5E" w:rsidP="00610904">
      <w:pPr>
        <w:rPr>
          <w:noProof w:val="0"/>
          <w:color w:val="FF0000"/>
          <w:lang w:val="en-US"/>
        </w:rPr>
      </w:pPr>
    </w:p>
    <w:p w:rsidR="00022F5E" w:rsidRPr="00610904" w:rsidRDefault="007D72DC" w:rsidP="00610904">
      <w:pPr>
        <w:numPr>
          <w:ilvl w:val="0"/>
          <w:numId w:val="1"/>
        </w:numPr>
        <w:rPr>
          <w:noProof w:val="0"/>
          <w:lang w:val="en-US"/>
        </w:rPr>
      </w:pPr>
      <w:r w:rsidRPr="00610904">
        <w:rPr>
          <w:noProof w:val="0"/>
          <w:lang w:val="en-US"/>
        </w:rPr>
        <w:t xml:space="preserve">Based on the above, the Court notes that the </w:t>
      </w:r>
      <w:r w:rsidR="009F3D78" w:rsidRPr="00610904">
        <w:rPr>
          <w:noProof w:val="0"/>
          <w:lang w:val="en-US"/>
        </w:rPr>
        <w:t>representatives</w:t>
      </w:r>
      <w:r w:rsidR="006C7903" w:rsidRPr="00610904">
        <w:rPr>
          <w:noProof w:val="0"/>
          <w:lang w:val="en-US"/>
        </w:rPr>
        <w:t>’ arguments</w:t>
      </w:r>
      <w:r w:rsidR="00022F5E" w:rsidRPr="00610904">
        <w:rPr>
          <w:noProof w:val="0"/>
          <w:lang w:val="en-US"/>
        </w:rPr>
        <w:t xml:space="preserve"> </w:t>
      </w:r>
      <w:r w:rsidRPr="00610904">
        <w:rPr>
          <w:noProof w:val="0"/>
          <w:lang w:val="en-US"/>
        </w:rPr>
        <w:t xml:space="preserve">in relation to </w:t>
      </w:r>
      <w:r w:rsidR="009F3D78" w:rsidRPr="00610904">
        <w:rPr>
          <w:noProof w:val="0"/>
          <w:lang w:val="en-US"/>
        </w:rPr>
        <w:t>Articles</w:t>
      </w:r>
      <w:r w:rsidR="00022F5E" w:rsidRPr="00610904">
        <w:rPr>
          <w:noProof w:val="0"/>
          <w:lang w:val="en-US"/>
        </w:rPr>
        <w:t xml:space="preserve"> 2, 24</w:t>
      </w:r>
      <w:r w:rsidR="009F3D78" w:rsidRPr="00610904">
        <w:rPr>
          <w:noProof w:val="0"/>
          <w:lang w:val="en-US"/>
        </w:rPr>
        <w:t xml:space="preserve"> and </w:t>
      </w:r>
      <w:r w:rsidR="00022F5E" w:rsidRPr="00610904">
        <w:rPr>
          <w:noProof w:val="0"/>
          <w:lang w:val="en-US"/>
        </w:rPr>
        <w:t>26</w:t>
      </w:r>
      <w:r w:rsidR="009F3D78" w:rsidRPr="00610904">
        <w:rPr>
          <w:noProof w:val="0"/>
          <w:lang w:val="en-US"/>
        </w:rPr>
        <w:t xml:space="preserve"> of the American Convention</w:t>
      </w:r>
      <w:r w:rsidR="00022F5E" w:rsidRPr="00610904">
        <w:rPr>
          <w:noProof w:val="0"/>
          <w:lang w:val="en-US"/>
        </w:rPr>
        <w:t xml:space="preserve"> </w:t>
      </w:r>
      <w:r w:rsidRPr="00610904">
        <w:rPr>
          <w:noProof w:val="0"/>
          <w:lang w:val="en-US"/>
        </w:rPr>
        <w:t xml:space="preserve">are </w:t>
      </w:r>
      <w:r w:rsidR="006C7903" w:rsidRPr="00610904">
        <w:rPr>
          <w:noProof w:val="0"/>
          <w:lang w:val="en-US"/>
        </w:rPr>
        <w:t>based on</w:t>
      </w:r>
      <w:r w:rsidRPr="00610904">
        <w:rPr>
          <w:noProof w:val="0"/>
          <w:lang w:val="en-US"/>
        </w:rPr>
        <w:t xml:space="preserve"> facts that form part </w:t>
      </w:r>
      <w:r w:rsidR="00A8072E" w:rsidRPr="00610904">
        <w:rPr>
          <w:noProof w:val="0"/>
          <w:lang w:val="en-US"/>
        </w:rPr>
        <w:t>of the factual framework</w:t>
      </w:r>
      <w:r w:rsidR="00022F5E" w:rsidRPr="00610904">
        <w:rPr>
          <w:noProof w:val="0"/>
          <w:lang w:val="en-US"/>
        </w:rPr>
        <w:t xml:space="preserve"> </w:t>
      </w:r>
      <w:r w:rsidRPr="00610904">
        <w:rPr>
          <w:noProof w:val="0"/>
          <w:lang w:val="en-US"/>
        </w:rPr>
        <w:t>presented by</w:t>
      </w:r>
      <w:r w:rsidR="00022F5E" w:rsidRPr="00610904">
        <w:rPr>
          <w:noProof w:val="0"/>
          <w:lang w:val="en-US"/>
        </w:rPr>
        <w:t xml:space="preserve"> </w:t>
      </w:r>
      <w:r w:rsidR="002F5BBA" w:rsidRPr="00610904">
        <w:rPr>
          <w:noProof w:val="0"/>
          <w:lang w:val="en-US"/>
        </w:rPr>
        <w:t>the Commission</w:t>
      </w:r>
      <w:r w:rsidR="00022F5E" w:rsidRPr="00610904">
        <w:rPr>
          <w:noProof w:val="0"/>
          <w:lang w:val="en-US"/>
        </w:rPr>
        <w:t>,</w:t>
      </w:r>
      <w:r w:rsidR="009F3D78" w:rsidRPr="00610904">
        <w:rPr>
          <w:noProof w:val="0"/>
          <w:lang w:val="en-US"/>
        </w:rPr>
        <w:t xml:space="preserve"> and </w:t>
      </w:r>
      <w:r w:rsidR="006C7903" w:rsidRPr="00610904">
        <w:rPr>
          <w:noProof w:val="0"/>
          <w:lang w:val="en-US"/>
        </w:rPr>
        <w:t>relate</w:t>
      </w:r>
      <w:r w:rsidRPr="00610904">
        <w:rPr>
          <w:noProof w:val="0"/>
          <w:lang w:val="en-US"/>
        </w:rPr>
        <w:t xml:space="preserve"> to legal consider</w:t>
      </w:r>
      <w:r w:rsidR="006C7903" w:rsidRPr="00610904">
        <w:rPr>
          <w:noProof w:val="0"/>
          <w:lang w:val="en-US"/>
        </w:rPr>
        <w:t xml:space="preserve">ations and not to new facts; consequently, </w:t>
      </w:r>
      <w:r w:rsidRPr="00610904">
        <w:rPr>
          <w:noProof w:val="0"/>
          <w:lang w:val="en-US"/>
        </w:rPr>
        <w:t>this is not a matter of admissibility of the competence of the Court that must be decided in a preliminary manner.</w:t>
      </w:r>
      <w:r w:rsidR="00022F5E" w:rsidRPr="00610904">
        <w:rPr>
          <w:noProof w:val="0"/>
          <w:szCs w:val="20"/>
          <w:vertAlign w:val="superscript"/>
          <w:lang w:val="en-US"/>
        </w:rPr>
        <w:footnoteReference w:id="36"/>
      </w:r>
      <w:r w:rsidR="00022F5E" w:rsidRPr="00610904">
        <w:rPr>
          <w:noProof w:val="0"/>
          <w:lang w:val="en-US"/>
        </w:rPr>
        <w:t xml:space="preserve"> </w:t>
      </w:r>
    </w:p>
    <w:p w:rsidR="00022F5E" w:rsidRPr="00610904" w:rsidRDefault="00022F5E" w:rsidP="00610904">
      <w:pPr>
        <w:rPr>
          <w:noProof w:val="0"/>
          <w:lang w:val="en-US"/>
        </w:rPr>
      </w:pPr>
    </w:p>
    <w:p w:rsidR="00022F5E" w:rsidRPr="00610904" w:rsidRDefault="007D72DC" w:rsidP="00610904">
      <w:pPr>
        <w:pStyle w:val="Heading2"/>
        <w:spacing w:before="0" w:after="0"/>
        <w:rPr>
          <w:rFonts w:eastAsia="Calibri"/>
          <w:noProof w:val="0"/>
          <w:lang w:val="en-US"/>
        </w:rPr>
      </w:pPr>
      <w:bookmarkStart w:id="48" w:name="_Toc443399078"/>
      <w:r w:rsidRPr="00610904">
        <w:rPr>
          <w:rFonts w:eastAsia="Calibri"/>
          <w:noProof w:val="0"/>
          <w:lang w:val="en-US"/>
        </w:rPr>
        <w:t>The determination of the presumed victims in this case</w:t>
      </w:r>
      <w:bookmarkEnd w:id="48"/>
    </w:p>
    <w:p w:rsidR="00022F5E" w:rsidRPr="00610904" w:rsidRDefault="00022F5E" w:rsidP="00610904">
      <w:pPr>
        <w:ind w:left="1077"/>
        <w:contextualSpacing/>
        <w:rPr>
          <w:noProof w:val="0"/>
          <w:lang w:val="en-US" w:eastAsia="es-MX"/>
        </w:rPr>
      </w:pPr>
    </w:p>
    <w:p w:rsidR="00022F5E" w:rsidRPr="00610904" w:rsidRDefault="00A8072E" w:rsidP="00610904">
      <w:pPr>
        <w:rPr>
          <w:i/>
          <w:noProof w:val="0"/>
          <w:lang w:val="en-US"/>
        </w:rPr>
      </w:pPr>
      <w:r w:rsidRPr="00610904">
        <w:rPr>
          <w:i/>
          <w:noProof w:val="0"/>
          <w:lang w:val="en-US"/>
        </w:rPr>
        <w:t>Arguments of the Commission and of the parties</w:t>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lang w:val="en-US"/>
        </w:rPr>
        <w:t>The State</w:t>
      </w:r>
      <w:r w:rsidR="00022F5E" w:rsidRPr="00610904">
        <w:rPr>
          <w:noProof w:val="0"/>
          <w:lang w:val="en-US"/>
        </w:rPr>
        <w:t xml:space="preserve"> </w:t>
      </w:r>
      <w:r w:rsidR="007D72DC" w:rsidRPr="00610904">
        <w:rPr>
          <w:noProof w:val="0"/>
          <w:lang w:val="en-US"/>
        </w:rPr>
        <w:t xml:space="preserve">asserted that, in the recommendations made in its Admissibility and Merits Reports, </w:t>
      </w:r>
      <w:r w:rsidR="002F5BBA" w:rsidRPr="00610904">
        <w:rPr>
          <w:noProof w:val="0"/>
          <w:lang w:val="en-US"/>
        </w:rPr>
        <w:t>the Commission</w:t>
      </w:r>
      <w:r w:rsidR="007D72DC" w:rsidRPr="00610904">
        <w:rPr>
          <w:noProof w:val="0"/>
          <w:lang w:val="en-US"/>
        </w:rPr>
        <w:t xml:space="preserve"> had established that the State should make reparation only to </w:t>
      </w:r>
      <w:r w:rsidR="00022F5E" w:rsidRPr="00610904">
        <w:rPr>
          <w:noProof w:val="0"/>
          <w:lang w:val="en-US"/>
        </w:rPr>
        <w:t>Talía Gonzales Lluy</w:t>
      </w:r>
      <w:r w:rsidRPr="00610904">
        <w:rPr>
          <w:noProof w:val="0"/>
          <w:lang w:val="en-US"/>
        </w:rPr>
        <w:t xml:space="preserve"> and </w:t>
      </w:r>
      <w:r w:rsidR="007D72DC" w:rsidRPr="00610904">
        <w:rPr>
          <w:noProof w:val="0"/>
          <w:lang w:val="en-US"/>
        </w:rPr>
        <w:t xml:space="preserve">her mother. According to the State, this means that “it is not possible to incorporate persons who have not been named as beneficiaries of </w:t>
      </w:r>
      <w:proofErr w:type="gramStart"/>
      <w:r w:rsidR="007D72DC" w:rsidRPr="00610904">
        <w:rPr>
          <w:noProof w:val="0"/>
          <w:lang w:val="en-US"/>
        </w:rPr>
        <w:t>an eventual</w:t>
      </w:r>
      <w:proofErr w:type="gramEnd"/>
      <w:r w:rsidR="007D72DC" w:rsidRPr="00610904">
        <w:rPr>
          <w:noProof w:val="0"/>
          <w:lang w:val="en-US"/>
        </w:rPr>
        <w:t xml:space="preserve"> repar</w:t>
      </w:r>
      <w:r w:rsidR="006C7903" w:rsidRPr="00610904">
        <w:rPr>
          <w:noProof w:val="0"/>
          <w:lang w:val="en-US"/>
        </w:rPr>
        <w:t>a</w:t>
      </w:r>
      <w:r w:rsidR="007D72DC" w:rsidRPr="00610904">
        <w:rPr>
          <w:noProof w:val="0"/>
          <w:lang w:val="en-US"/>
        </w:rPr>
        <w:t xml:space="preserve">tion.” </w:t>
      </w:r>
      <w:r w:rsidR="006C7903" w:rsidRPr="00610904">
        <w:rPr>
          <w:noProof w:val="0"/>
          <w:lang w:val="en-US"/>
        </w:rPr>
        <w:t>Accordingl</w:t>
      </w:r>
      <w:r w:rsidR="007D72DC" w:rsidRPr="00610904">
        <w:rPr>
          <w:noProof w:val="0"/>
          <w:lang w:val="en-US"/>
        </w:rPr>
        <w:t>y, it asked the Court to reject “the inclusions made by the presumed victims” subsequently</w:t>
      </w:r>
      <w:r w:rsidR="00022F5E" w:rsidRPr="00610904">
        <w:rPr>
          <w:noProof w:val="0"/>
          <w:lang w:val="en-US"/>
        </w:rPr>
        <w:t xml:space="preserve">. </w:t>
      </w:r>
      <w:r w:rsidR="00022F5E" w:rsidRPr="00610904">
        <w:rPr>
          <w:b/>
          <w:noProof w:val="0"/>
          <w:lang w:val="en-US"/>
        </w:rPr>
        <w:t xml:space="preserve"> </w:t>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lang w:val="en-US"/>
        </w:rPr>
        <w:t>The representatives</w:t>
      </w:r>
      <w:r w:rsidR="00554B6F" w:rsidRPr="00610904">
        <w:rPr>
          <w:noProof w:val="0"/>
          <w:lang w:val="en-US"/>
        </w:rPr>
        <w:t xml:space="preserve"> argued that</w:t>
      </w:r>
      <w:r w:rsidR="00022F5E" w:rsidRPr="00610904">
        <w:rPr>
          <w:noProof w:val="0"/>
          <w:lang w:val="en-US"/>
        </w:rPr>
        <w:t xml:space="preserve"> Iván Lluy </w:t>
      </w:r>
      <w:r w:rsidR="00554B6F" w:rsidRPr="00610904">
        <w:rPr>
          <w:noProof w:val="0"/>
          <w:lang w:val="en-US"/>
        </w:rPr>
        <w:t xml:space="preserve">had been indicated as a presumed victim in </w:t>
      </w:r>
      <w:r w:rsidR="002112A8" w:rsidRPr="00610904">
        <w:rPr>
          <w:noProof w:val="0"/>
          <w:lang w:val="en-US"/>
        </w:rPr>
        <w:t>paragraphs</w:t>
      </w:r>
      <w:r w:rsidR="00022F5E" w:rsidRPr="00610904">
        <w:rPr>
          <w:noProof w:val="0"/>
          <w:lang w:val="en-US"/>
        </w:rPr>
        <w:t xml:space="preserve"> 3, 220</w:t>
      </w:r>
      <w:r w:rsidRPr="00610904">
        <w:rPr>
          <w:noProof w:val="0"/>
          <w:lang w:val="en-US"/>
        </w:rPr>
        <w:t xml:space="preserve"> and </w:t>
      </w:r>
      <w:r w:rsidR="00022F5E" w:rsidRPr="00610904">
        <w:rPr>
          <w:noProof w:val="0"/>
          <w:lang w:val="en-US"/>
        </w:rPr>
        <w:t xml:space="preserve">221 </w:t>
      </w:r>
      <w:r w:rsidR="00554B6F" w:rsidRPr="00610904">
        <w:rPr>
          <w:noProof w:val="0"/>
          <w:lang w:val="en-US"/>
        </w:rPr>
        <w:t>of the Merits</w:t>
      </w:r>
      <w:r w:rsidR="006E502B" w:rsidRPr="00610904">
        <w:rPr>
          <w:noProof w:val="0"/>
          <w:lang w:val="en-US"/>
        </w:rPr>
        <w:t xml:space="preserve"> Report</w:t>
      </w:r>
      <w:r w:rsidR="00022F5E" w:rsidRPr="00610904">
        <w:rPr>
          <w:noProof w:val="0"/>
          <w:lang w:val="en-US"/>
        </w:rPr>
        <w:t xml:space="preserve">, </w:t>
      </w:r>
      <w:r w:rsidR="00554B6F" w:rsidRPr="00610904">
        <w:rPr>
          <w:noProof w:val="0"/>
          <w:lang w:val="en-US"/>
        </w:rPr>
        <w:t xml:space="preserve">and “the spirit of the report” evidently </w:t>
      </w:r>
      <w:r w:rsidR="00856968" w:rsidRPr="00610904">
        <w:rPr>
          <w:noProof w:val="0"/>
          <w:lang w:val="en-US"/>
        </w:rPr>
        <w:t>included Iván</w:t>
      </w:r>
      <w:r w:rsidR="00022F5E" w:rsidRPr="00610904">
        <w:rPr>
          <w:noProof w:val="0"/>
          <w:lang w:val="en-US"/>
        </w:rPr>
        <w:t xml:space="preserve"> Lluy </w:t>
      </w:r>
      <w:r w:rsidR="00554B6F" w:rsidRPr="00610904">
        <w:rPr>
          <w:noProof w:val="0"/>
          <w:lang w:val="en-US"/>
        </w:rPr>
        <w:t>as a presumed victim. The</w:t>
      </w:r>
      <w:r w:rsidR="006C7903" w:rsidRPr="00610904">
        <w:rPr>
          <w:noProof w:val="0"/>
          <w:lang w:val="en-US"/>
        </w:rPr>
        <w:t>y also argued that the Court has clearly indicated that</w:t>
      </w:r>
      <w:r w:rsidR="00554B6F" w:rsidRPr="00610904">
        <w:rPr>
          <w:noProof w:val="0"/>
          <w:lang w:val="en-US"/>
        </w:rPr>
        <w:t xml:space="preserve"> family members can also be victims, because they suffer th</w:t>
      </w:r>
      <w:r w:rsidR="006C7903" w:rsidRPr="00610904">
        <w:rPr>
          <w:noProof w:val="0"/>
          <w:lang w:val="en-US"/>
        </w:rPr>
        <w:t>e consequences of the violation of the rights. Thus,</w:t>
      </w:r>
      <w:r w:rsidR="00554B6F" w:rsidRPr="00610904">
        <w:rPr>
          <w:noProof w:val="0"/>
          <w:lang w:val="en-US"/>
        </w:rPr>
        <w:t xml:space="preserve"> they </w:t>
      </w:r>
      <w:r w:rsidR="00856968" w:rsidRPr="00610904">
        <w:rPr>
          <w:noProof w:val="0"/>
          <w:lang w:val="en-US"/>
        </w:rPr>
        <w:t>considered</w:t>
      </w:r>
      <w:r w:rsidR="00554B6F" w:rsidRPr="00610904">
        <w:rPr>
          <w:noProof w:val="0"/>
          <w:lang w:val="en-US"/>
        </w:rPr>
        <w:t xml:space="preserve"> that Iván Lluy had to become a child worker to help his mother and obtain what was required for his sister’s ne</w:t>
      </w:r>
      <w:r w:rsidR="006C7903" w:rsidRPr="00610904">
        <w:rPr>
          <w:noProof w:val="0"/>
          <w:lang w:val="en-US"/>
        </w:rPr>
        <w:t>eds</w:t>
      </w:r>
      <w:r w:rsidR="00554B6F" w:rsidRPr="00610904">
        <w:rPr>
          <w:noProof w:val="0"/>
          <w:lang w:val="en-US"/>
        </w:rPr>
        <w:t xml:space="preserve">, and that he also suffered the consequences of the discrimination and emotional harm. Lastly, they indicated that the presumed victims have the right to present their pleadings, motions and evidence autonomously pursuant to </w:t>
      </w:r>
      <w:r w:rsidRPr="00610904">
        <w:rPr>
          <w:noProof w:val="0"/>
          <w:lang w:val="en-US"/>
        </w:rPr>
        <w:t>Article</w:t>
      </w:r>
      <w:r w:rsidR="00022F5E" w:rsidRPr="00610904">
        <w:rPr>
          <w:noProof w:val="0"/>
          <w:lang w:val="en-US"/>
        </w:rPr>
        <w:t xml:space="preserve"> 23</w:t>
      </w:r>
      <w:r w:rsidRPr="00610904">
        <w:rPr>
          <w:noProof w:val="0"/>
          <w:lang w:val="en-US"/>
        </w:rPr>
        <w:t xml:space="preserve"> of the Court’s Rules of Procedur</w:t>
      </w:r>
      <w:r w:rsidR="002112A8" w:rsidRPr="00610904">
        <w:rPr>
          <w:noProof w:val="0"/>
          <w:lang w:val="en-US"/>
        </w:rPr>
        <w:t>e</w:t>
      </w:r>
      <w:r w:rsidRPr="00610904">
        <w:rPr>
          <w:noProof w:val="0"/>
          <w:lang w:val="en-US"/>
        </w:rPr>
        <w:t xml:space="preserve"> and </w:t>
      </w:r>
      <w:r w:rsidR="00554B6F" w:rsidRPr="00610904">
        <w:rPr>
          <w:noProof w:val="0"/>
          <w:lang w:val="en-US"/>
        </w:rPr>
        <w:t xml:space="preserve">that, in exercise of this </w:t>
      </w:r>
      <w:proofErr w:type="gramStart"/>
      <w:r w:rsidR="00554B6F" w:rsidRPr="00610904">
        <w:rPr>
          <w:noProof w:val="0"/>
          <w:lang w:val="en-US"/>
        </w:rPr>
        <w:t>autonomy,</w:t>
      </w:r>
      <w:proofErr w:type="gramEnd"/>
      <w:r w:rsidR="00554B6F" w:rsidRPr="00610904">
        <w:rPr>
          <w:noProof w:val="0"/>
          <w:lang w:val="en-US"/>
        </w:rPr>
        <w:t xml:space="preserve"> they considered that all </w:t>
      </w:r>
      <w:r w:rsidR="006C7903" w:rsidRPr="00610904">
        <w:rPr>
          <w:noProof w:val="0"/>
          <w:lang w:val="en-US"/>
        </w:rPr>
        <w:t>the members of the Lluy family we</w:t>
      </w:r>
      <w:r w:rsidR="00554B6F" w:rsidRPr="00610904">
        <w:rPr>
          <w:noProof w:val="0"/>
          <w:lang w:val="en-US"/>
        </w:rPr>
        <w:t>re presumed victims in this case.</w:t>
      </w:r>
    </w:p>
    <w:p w:rsidR="00022F5E" w:rsidRPr="00610904" w:rsidRDefault="00022F5E" w:rsidP="00610904">
      <w:pPr>
        <w:rPr>
          <w:noProof w:val="0"/>
          <w:lang w:val="en-US"/>
        </w:rPr>
      </w:pPr>
    </w:p>
    <w:p w:rsidR="00022F5E" w:rsidRPr="00610904" w:rsidRDefault="002F5BBA" w:rsidP="00610904">
      <w:pPr>
        <w:numPr>
          <w:ilvl w:val="0"/>
          <w:numId w:val="1"/>
        </w:numPr>
        <w:rPr>
          <w:noProof w:val="0"/>
          <w:lang w:val="en-US"/>
        </w:rPr>
      </w:pPr>
      <w:r w:rsidRPr="00610904">
        <w:rPr>
          <w:noProof w:val="0"/>
          <w:lang w:val="en-US"/>
        </w:rPr>
        <w:t>The Commission</w:t>
      </w:r>
      <w:r w:rsidR="00022F5E" w:rsidRPr="00610904">
        <w:rPr>
          <w:b/>
          <w:i/>
          <w:noProof w:val="0"/>
          <w:lang w:val="en-US"/>
        </w:rPr>
        <w:t xml:space="preserve"> </w:t>
      </w:r>
      <w:r w:rsidR="00554B6F" w:rsidRPr="00610904">
        <w:rPr>
          <w:noProof w:val="0"/>
          <w:lang w:val="en-US"/>
        </w:rPr>
        <w:t>referred to</w:t>
      </w:r>
      <w:r w:rsidR="00022F5E" w:rsidRPr="00610904">
        <w:rPr>
          <w:noProof w:val="0"/>
          <w:lang w:val="en-US"/>
        </w:rPr>
        <w:t xml:space="preserve"> </w:t>
      </w:r>
      <w:r w:rsidR="002112A8" w:rsidRPr="00610904">
        <w:rPr>
          <w:noProof w:val="0"/>
          <w:lang w:val="en-US"/>
        </w:rPr>
        <w:t>paragraphs</w:t>
      </w:r>
      <w:r w:rsidR="00022F5E" w:rsidRPr="00610904">
        <w:rPr>
          <w:noProof w:val="0"/>
          <w:lang w:val="en-US"/>
        </w:rPr>
        <w:t xml:space="preserve"> 196, 220</w:t>
      </w:r>
      <w:r w:rsidR="009F3D78" w:rsidRPr="00610904">
        <w:rPr>
          <w:noProof w:val="0"/>
          <w:lang w:val="en-US"/>
        </w:rPr>
        <w:t xml:space="preserve"> and </w:t>
      </w:r>
      <w:r w:rsidR="00022F5E" w:rsidRPr="00610904">
        <w:rPr>
          <w:noProof w:val="0"/>
          <w:lang w:val="en-US"/>
        </w:rPr>
        <w:t xml:space="preserve">221 </w:t>
      </w:r>
      <w:r w:rsidR="00554B6F" w:rsidRPr="00610904">
        <w:rPr>
          <w:noProof w:val="0"/>
          <w:lang w:val="en-US"/>
        </w:rPr>
        <w:t>of the Merits</w:t>
      </w:r>
      <w:r w:rsidR="006E502B" w:rsidRPr="00610904">
        <w:rPr>
          <w:noProof w:val="0"/>
          <w:lang w:val="en-US"/>
        </w:rPr>
        <w:t xml:space="preserve"> Report</w:t>
      </w:r>
      <w:r w:rsidR="00022F5E" w:rsidRPr="00610904">
        <w:rPr>
          <w:noProof w:val="0"/>
          <w:lang w:val="en-US"/>
        </w:rPr>
        <w:t xml:space="preserve">, </w:t>
      </w:r>
      <w:r w:rsidR="00554B6F" w:rsidRPr="00610904">
        <w:rPr>
          <w:noProof w:val="0"/>
          <w:lang w:val="en-US"/>
        </w:rPr>
        <w:t xml:space="preserve">in which it was expressly stated that </w:t>
      </w:r>
      <w:r w:rsidR="009F3D78" w:rsidRPr="00610904">
        <w:rPr>
          <w:noProof w:val="0"/>
          <w:lang w:val="en-US"/>
        </w:rPr>
        <w:t>the presumed victims</w:t>
      </w:r>
      <w:r w:rsidR="00022F5E" w:rsidRPr="00610904">
        <w:rPr>
          <w:noProof w:val="0"/>
          <w:lang w:val="en-US"/>
        </w:rPr>
        <w:t xml:space="preserve"> </w:t>
      </w:r>
      <w:r w:rsidR="00554B6F" w:rsidRPr="00610904">
        <w:rPr>
          <w:noProof w:val="0"/>
          <w:lang w:val="en-US"/>
        </w:rPr>
        <w:t>in this case are</w:t>
      </w:r>
      <w:r w:rsidR="00022F5E" w:rsidRPr="00610904">
        <w:rPr>
          <w:noProof w:val="0"/>
          <w:lang w:val="en-US"/>
        </w:rPr>
        <w:t xml:space="preserve"> Talía Gonzales Lluy, Teresa Lluy </w:t>
      </w:r>
      <w:r w:rsidR="00554B6F" w:rsidRPr="00610904">
        <w:rPr>
          <w:noProof w:val="0"/>
          <w:lang w:val="en-US"/>
        </w:rPr>
        <w:t xml:space="preserve">and </w:t>
      </w:r>
      <w:r w:rsidR="00022F5E" w:rsidRPr="00610904">
        <w:rPr>
          <w:noProof w:val="0"/>
          <w:lang w:val="en-US"/>
        </w:rPr>
        <w:t xml:space="preserve">Iván Lluy. </w:t>
      </w:r>
      <w:r w:rsidR="00554B6F" w:rsidRPr="00610904">
        <w:rPr>
          <w:noProof w:val="0"/>
          <w:lang w:val="en-US"/>
        </w:rPr>
        <w:t xml:space="preserve">Also, during </w:t>
      </w:r>
      <w:r w:rsidR="00A8072E" w:rsidRPr="00610904">
        <w:rPr>
          <w:noProof w:val="0"/>
          <w:lang w:val="en-US"/>
        </w:rPr>
        <w:t xml:space="preserve">the </w:t>
      </w:r>
      <w:r w:rsidR="00AD687D" w:rsidRPr="00610904">
        <w:rPr>
          <w:noProof w:val="0"/>
          <w:lang w:val="en-US"/>
        </w:rPr>
        <w:t>public hearing</w:t>
      </w:r>
      <w:r w:rsidR="00022F5E" w:rsidRPr="00610904">
        <w:rPr>
          <w:noProof w:val="0"/>
          <w:lang w:val="en-US"/>
        </w:rPr>
        <w:t xml:space="preserve">, </w:t>
      </w:r>
      <w:r w:rsidRPr="00610904">
        <w:rPr>
          <w:noProof w:val="0"/>
          <w:lang w:val="en-US"/>
        </w:rPr>
        <w:t>the Commission</w:t>
      </w:r>
      <w:r w:rsidR="00022F5E" w:rsidRPr="00610904">
        <w:rPr>
          <w:noProof w:val="0"/>
          <w:lang w:val="en-US"/>
        </w:rPr>
        <w:t xml:space="preserve"> </w:t>
      </w:r>
      <w:r w:rsidR="00554B6F" w:rsidRPr="00610904">
        <w:rPr>
          <w:noProof w:val="0"/>
          <w:lang w:val="en-US"/>
        </w:rPr>
        <w:t>emphasized that the failure to includ</w:t>
      </w:r>
      <w:r w:rsidR="006C7903" w:rsidRPr="00610904">
        <w:rPr>
          <w:noProof w:val="0"/>
          <w:lang w:val="en-US"/>
        </w:rPr>
        <w:t>e</w:t>
      </w:r>
      <w:r w:rsidR="005550B0" w:rsidRPr="00610904">
        <w:rPr>
          <w:noProof w:val="0"/>
          <w:lang w:val="en-US"/>
        </w:rPr>
        <w:t xml:space="preserve"> Iván</w:t>
      </w:r>
      <w:r w:rsidR="00022F5E" w:rsidRPr="00610904">
        <w:rPr>
          <w:noProof w:val="0"/>
          <w:lang w:val="en-US"/>
        </w:rPr>
        <w:t xml:space="preserve"> Lluy </w:t>
      </w:r>
      <w:r w:rsidR="00554B6F" w:rsidRPr="00610904">
        <w:rPr>
          <w:noProof w:val="0"/>
          <w:lang w:val="en-US"/>
        </w:rPr>
        <w:t>within the recommendations of the Merits</w:t>
      </w:r>
      <w:r w:rsidR="006E502B" w:rsidRPr="00610904">
        <w:rPr>
          <w:noProof w:val="0"/>
          <w:lang w:val="en-US"/>
        </w:rPr>
        <w:t xml:space="preserve"> Report</w:t>
      </w:r>
      <w:r w:rsidR="00022F5E" w:rsidRPr="00610904">
        <w:rPr>
          <w:noProof w:val="0"/>
          <w:lang w:val="en-US"/>
        </w:rPr>
        <w:t xml:space="preserve"> </w:t>
      </w:r>
      <w:r w:rsidR="00554B6F" w:rsidRPr="00610904">
        <w:rPr>
          <w:noProof w:val="0"/>
          <w:lang w:val="en-US"/>
        </w:rPr>
        <w:t>was due to a</w:t>
      </w:r>
      <w:r w:rsidR="00022F5E" w:rsidRPr="00610904">
        <w:rPr>
          <w:noProof w:val="0"/>
          <w:lang w:val="en-US"/>
        </w:rPr>
        <w:t xml:space="preserve"> “</w:t>
      </w:r>
      <w:r w:rsidR="00554B6F" w:rsidRPr="00610904">
        <w:rPr>
          <w:noProof w:val="0"/>
          <w:lang w:val="en-US"/>
        </w:rPr>
        <w:t xml:space="preserve">factual </w:t>
      </w:r>
      <w:r w:rsidR="00022F5E" w:rsidRPr="00610904">
        <w:rPr>
          <w:noProof w:val="0"/>
          <w:lang w:val="en-US"/>
        </w:rPr>
        <w:t>error</w:t>
      </w:r>
      <w:r w:rsidR="00554B6F" w:rsidRPr="00610904">
        <w:rPr>
          <w:noProof w:val="0"/>
          <w:lang w:val="en-US"/>
        </w:rPr>
        <w:t>.”</w:t>
      </w:r>
      <w:r w:rsidR="00022F5E" w:rsidRPr="00610904">
        <w:rPr>
          <w:noProof w:val="0"/>
          <w:lang w:val="en-US"/>
        </w:rPr>
        <w:t xml:space="preserve"> </w:t>
      </w:r>
    </w:p>
    <w:p w:rsidR="00022F5E" w:rsidRPr="00610904" w:rsidRDefault="00022F5E" w:rsidP="00610904">
      <w:pPr>
        <w:rPr>
          <w:noProof w:val="0"/>
          <w:lang w:val="en-US"/>
        </w:rPr>
      </w:pPr>
    </w:p>
    <w:p w:rsidR="00022F5E"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022F5E" w:rsidRPr="00610904" w:rsidRDefault="00022F5E" w:rsidP="00610904">
      <w:pPr>
        <w:rPr>
          <w:noProof w:val="0"/>
          <w:lang w:val="en-US"/>
        </w:rPr>
      </w:pPr>
    </w:p>
    <w:p w:rsidR="00190273" w:rsidRPr="00610904" w:rsidRDefault="00554B6F" w:rsidP="00610904">
      <w:pPr>
        <w:numPr>
          <w:ilvl w:val="0"/>
          <w:numId w:val="1"/>
        </w:numPr>
        <w:rPr>
          <w:noProof w:val="0"/>
          <w:lang w:val="en-US"/>
        </w:rPr>
      </w:pPr>
      <w:r w:rsidRPr="00610904">
        <w:rPr>
          <w:noProof w:val="0"/>
          <w:lang w:val="en-US"/>
        </w:rPr>
        <w:t>Regarding</w:t>
      </w:r>
      <w:r w:rsidR="009F3D78" w:rsidRPr="00610904">
        <w:rPr>
          <w:noProof w:val="0"/>
          <w:lang w:val="en-US"/>
        </w:rPr>
        <w:t xml:space="preserve"> the State</w:t>
      </w:r>
      <w:r w:rsidRPr="00610904">
        <w:rPr>
          <w:noProof w:val="0"/>
          <w:lang w:val="en-US"/>
        </w:rPr>
        <w:t>’s request to exclud</w:t>
      </w:r>
      <w:r w:rsidR="006C7903" w:rsidRPr="00610904">
        <w:rPr>
          <w:noProof w:val="0"/>
          <w:lang w:val="en-US"/>
        </w:rPr>
        <w:t>e</w:t>
      </w:r>
      <w:r w:rsidR="005550B0" w:rsidRPr="00610904">
        <w:rPr>
          <w:noProof w:val="0"/>
          <w:lang w:val="en-US"/>
        </w:rPr>
        <w:t xml:space="preserve"> Iván</w:t>
      </w:r>
      <w:r w:rsidR="00022F5E" w:rsidRPr="00610904">
        <w:rPr>
          <w:noProof w:val="0"/>
          <w:lang w:val="en-US"/>
        </w:rPr>
        <w:t xml:space="preserve"> Lluy </w:t>
      </w:r>
      <w:r w:rsidRPr="00610904">
        <w:rPr>
          <w:noProof w:val="0"/>
          <w:lang w:val="en-US"/>
        </w:rPr>
        <w:t>as a possible beneficiary of an eventual reparation, because he was not mentioned in the chapter</w:t>
      </w:r>
      <w:r w:rsidR="00022F5E" w:rsidRPr="00610904">
        <w:rPr>
          <w:noProof w:val="0"/>
          <w:lang w:val="en-US"/>
        </w:rPr>
        <w:t xml:space="preserve"> </w:t>
      </w:r>
      <w:r w:rsidRPr="00610904">
        <w:rPr>
          <w:noProof w:val="0"/>
          <w:lang w:val="en-US"/>
        </w:rPr>
        <w:t>of the Merits</w:t>
      </w:r>
      <w:r w:rsidR="006E502B" w:rsidRPr="00610904">
        <w:rPr>
          <w:noProof w:val="0"/>
          <w:lang w:val="en-US"/>
        </w:rPr>
        <w:t xml:space="preserve"> Report</w:t>
      </w:r>
      <w:r w:rsidRPr="00610904">
        <w:rPr>
          <w:noProof w:val="0"/>
          <w:lang w:val="en-US"/>
        </w:rPr>
        <w:t xml:space="preserve"> on recommendations</w:t>
      </w:r>
      <w:r w:rsidR="00022F5E" w:rsidRPr="00610904">
        <w:rPr>
          <w:noProof w:val="0"/>
          <w:lang w:val="en-US"/>
        </w:rPr>
        <w:t xml:space="preserve">, </w:t>
      </w:r>
      <w:r w:rsidR="009F3D78" w:rsidRPr="00610904">
        <w:rPr>
          <w:noProof w:val="0"/>
          <w:lang w:val="en-US"/>
        </w:rPr>
        <w:t>the Court</w:t>
      </w:r>
      <w:r w:rsidRPr="00610904">
        <w:rPr>
          <w:noProof w:val="0"/>
          <w:lang w:val="en-US"/>
        </w:rPr>
        <w:t xml:space="preserve"> notes that</w:t>
      </w:r>
      <w:r w:rsidR="00022F5E" w:rsidRPr="00610904">
        <w:rPr>
          <w:noProof w:val="0"/>
          <w:lang w:val="en-US"/>
        </w:rPr>
        <w:t xml:space="preserve"> </w:t>
      </w:r>
      <w:r w:rsidR="002F5BBA" w:rsidRPr="00610904">
        <w:rPr>
          <w:noProof w:val="0"/>
          <w:lang w:val="en-US"/>
        </w:rPr>
        <w:t>the Commission</w:t>
      </w:r>
      <w:r w:rsidR="00022F5E" w:rsidRPr="00610904">
        <w:rPr>
          <w:noProof w:val="0"/>
          <w:lang w:val="en-US"/>
        </w:rPr>
        <w:t xml:space="preserve"> </w:t>
      </w:r>
      <w:r w:rsidRPr="00610904">
        <w:rPr>
          <w:noProof w:val="0"/>
          <w:lang w:val="en-US"/>
        </w:rPr>
        <w:t>expressly mentioned him throughout the Merits</w:t>
      </w:r>
      <w:r w:rsidR="006E502B" w:rsidRPr="00610904">
        <w:rPr>
          <w:noProof w:val="0"/>
          <w:lang w:val="en-US"/>
        </w:rPr>
        <w:t xml:space="preserve"> Report</w:t>
      </w:r>
      <w:r w:rsidR="009F3D78" w:rsidRPr="00610904">
        <w:rPr>
          <w:noProof w:val="0"/>
          <w:lang w:val="en-US"/>
        </w:rPr>
        <w:t xml:space="preserve"> and</w:t>
      </w:r>
      <w:r w:rsidRPr="00610904">
        <w:rPr>
          <w:noProof w:val="0"/>
          <w:lang w:val="en-US"/>
        </w:rPr>
        <w:t xml:space="preserve">, in its conclusions on the </w:t>
      </w:r>
      <w:r w:rsidR="00223622" w:rsidRPr="00610904">
        <w:rPr>
          <w:noProof w:val="0"/>
          <w:lang w:val="en-US"/>
        </w:rPr>
        <w:t>alleged</w:t>
      </w:r>
      <w:r w:rsidRPr="00610904">
        <w:rPr>
          <w:noProof w:val="0"/>
          <w:lang w:val="en-US"/>
        </w:rPr>
        <w:t xml:space="preserve"> violation of</w:t>
      </w:r>
      <w:r w:rsidR="00022F5E" w:rsidRPr="00610904">
        <w:rPr>
          <w:noProof w:val="0"/>
          <w:lang w:val="en-US"/>
        </w:rPr>
        <w:t xml:space="preserve"> </w:t>
      </w:r>
      <w:r w:rsidR="009F3D78" w:rsidRPr="00610904">
        <w:rPr>
          <w:noProof w:val="0"/>
          <w:lang w:val="en-US"/>
        </w:rPr>
        <w:t>Articles</w:t>
      </w:r>
      <w:r w:rsidR="00022F5E" w:rsidRPr="00610904">
        <w:rPr>
          <w:noProof w:val="0"/>
          <w:lang w:val="en-US"/>
        </w:rPr>
        <w:t xml:space="preserve"> 5, 8</w:t>
      </w:r>
      <w:r w:rsidR="009F3D78" w:rsidRPr="00610904">
        <w:rPr>
          <w:noProof w:val="0"/>
          <w:lang w:val="en-US"/>
        </w:rPr>
        <w:t xml:space="preserve"> and </w:t>
      </w:r>
      <w:r w:rsidR="00022F5E" w:rsidRPr="00610904">
        <w:rPr>
          <w:noProof w:val="0"/>
          <w:lang w:val="en-US"/>
        </w:rPr>
        <w:t>25</w:t>
      </w:r>
      <w:r w:rsidR="009F3D78" w:rsidRPr="00610904">
        <w:rPr>
          <w:noProof w:val="0"/>
          <w:lang w:val="en-US"/>
        </w:rPr>
        <w:t xml:space="preserve"> of the American Convention</w:t>
      </w:r>
      <w:r w:rsidR="00022F5E" w:rsidRPr="00610904">
        <w:rPr>
          <w:noProof w:val="0"/>
          <w:lang w:val="en-US"/>
        </w:rPr>
        <w:t xml:space="preserve"> </w:t>
      </w:r>
      <w:r w:rsidRPr="00610904">
        <w:rPr>
          <w:noProof w:val="0"/>
          <w:lang w:val="en-US"/>
        </w:rPr>
        <w:t>in relation to</w:t>
      </w:r>
      <w:r w:rsidR="00022F5E" w:rsidRPr="00610904">
        <w:rPr>
          <w:noProof w:val="0"/>
          <w:lang w:val="en-US"/>
        </w:rPr>
        <w:t xml:space="preserve"> </w:t>
      </w:r>
      <w:r w:rsidR="006E502B" w:rsidRPr="00610904">
        <w:rPr>
          <w:noProof w:val="0"/>
          <w:lang w:val="en-US"/>
        </w:rPr>
        <w:t>Article 1(1)</w:t>
      </w:r>
      <w:r w:rsidR="00022F5E" w:rsidRPr="00610904">
        <w:rPr>
          <w:noProof w:val="0"/>
          <w:lang w:val="en-US"/>
        </w:rPr>
        <w:t xml:space="preserve"> </w:t>
      </w:r>
      <w:r w:rsidRPr="00610904">
        <w:rPr>
          <w:noProof w:val="0"/>
          <w:lang w:val="en-US"/>
        </w:rPr>
        <w:t>of this instrument</w:t>
      </w:r>
      <w:r w:rsidR="00022F5E" w:rsidRPr="00610904">
        <w:rPr>
          <w:noProof w:val="0"/>
          <w:lang w:val="en-US"/>
        </w:rPr>
        <w:t xml:space="preserve">. </w:t>
      </w:r>
      <w:r w:rsidRPr="00610904">
        <w:rPr>
          <w:noProof w:val="0"/>
          <w:lang w:val="en-US"/>
        </w:rPr>
        <w:t xml:space="preserve">Therefore, </w:t>
      </w:r>
      <w:r w:rsidR="009F3D78" w:rsidRPr="00610904">
        <w:rPr>
          <w:noProof w:val="0"/>
          <w:lang w:val="en-US"/>
        </w:rPr>
        <w:t>the Court</w:t>
      </w:r>
      <w:r w:rsidRPr="00610904">
        <w:rPr>
          <w:noProof w:val="0"/>
          <w:lang w:val="en-US"/>
        </w:rPr>
        <w:t xml:space="preserve"> finds that </w:t>
      </w:r>
      <w:r w:rsidR="00022F5E" w:rsidRPr="00610904">
        <w:rPr>
          <w:noProof w:val="0"/>
          <w:lang w:val="en-US"/>
        </w:rPr>
        <w:t xml:space="preserve">Iván Lluy </w:t>
      </w:r>
      <w:r w:rsidRPr="00610904">
        <w:rPr>
          <w:noProof w:val="0"/>
          <w:lang w:val="en-US"/>
        </w:rPr>
        <w:t xml:space="preserve">was identified as a presumed victim </w:t>
      </w:r>
      <w:r w:rsidR="00A8072E" w:rsidRPr="00610904">
        <w:rPr>
          <w:noProof w:val="0"/>
          <w:lang w:val="en-US"/>
        </w:rPr>
        <w:t>in the</w:t>
      </w:r>
      <w:r w:rsidR="006C7903" w:rsidRPr="00610904">
        <w:rPr>
          <w:noProof w:val="0"/>
          <w:lang w:val="en-US"/>
        </w:rPr>
        <w:t xml:space="preserve"> Commission’s</w:t>
      </w:r>
      <w:r w:rsidR="00A8072E" w:rsidRPr="00610904">
        <w:rPr>
          <w:noProof w:val="0"/>
          <w:lang w:val="en-US"/>
        </w:rPr>
        <w:t xml:space="preserve"> Merits</w:t>
      </w:r>
      <w:r w:rsidR="006E502B" w:rsidRPr="00610904">
        <w:rPr>
          <w:noProof w:val="0"/>
          <w:lang w:val="en-US"/>
        </w:rPr>
        <w:t xml:space="preserve"> Report</w:t>
      </w:r>
      <w:r w:rsidR="00022F5E" w:rsidRPr="00610904">
        <w:rPr>
          <w:noProof w:val="0"/>
          <w:lang w:val="en-US"/>
        </w:rPr>
        <w:t xml:space="preserve">, </w:t>
      </w:r>
      <w:r w:rsidRPr="00610904">
        <w:rPr>
          <w:noProof w:val="0"/>
          <w:lang w:val="en-US"/>
        </w:rPr>
        <w:t xml:space="preserve">in accordance with the provisions of Article </w:t>
      </w:r>
      <w:r w:rsidR="00022F5E" w:rsidRPr="00610904">
        <w:rPr>
          <w:noProof w:val="0"/>
          <w:lang w:val="en-US"/>
        </w:rPr>
        <w:t>50</w:t>
      </w:r>
      <w:r w:rsidR="009F3D78" w:rsidRPr="00610904">
        <w:rPr>
          <w:noProof w:val="0"/>
          <w:lang w:val="en-US"/>
        </w:rPr>
        <w:t xml:space="preserve"> of the Convention and Article</w:t>
      </w:r>
      <w:r w:rsidRPr="00610904">
        <w:rPr>
          <w:noProof w:val="0"/>
          <w:lang w:val="en-US"/>
        </w:rPr>
        <w:t xml:space="preserve"> 35(</w:t>
      </w:r>
      <w:r w:rsidR="00022F5E" w:rsidRPr="00610904">
        <w:rPr>
          <w:noProof w:val="0"/>
          <w:lang w:val="en-US"/>
        </w:rPr>
        <w:t>1</w:t>
      </w:r>
      <w:r w:rsidRPr="00610904">
        <w:rPr>
          <w:noProof w:val="0"/>
          <w:lang w:val="en-US"/>
        </w:rPr>
        <w:t>)</w:t>
      </w:r>
      <w:r w:rsidR="009F3D78" w:rsidRPr="00610904">
        <w:rPr>
          <w:noProof w:val="0"/>
          <w:lang w:val="en-US"/>
        </w:rPr>
        <w:t xml:space="preserve"> of</w:t>
      </w:r>
      <w:r w:rsidRPr="00610904">
        <w:rPr>
          <w:noProof w:val="0"/>
          <w:lang w:val="en-US"/>
        </w:rPr>
        <w:t xml:space="preserve"> the Court’s Rules of Procedure</w:t>
      </w:r>
      <w:r w:rsidR="00022F5E" w:rsidRPr="00610904">
        <w:rPr>
          <w:noProof w:val="0"/>
          <w:lang w:val="en-US"/>
        </w:rPr>
        <w:t xml:space="preserve">. </w:t>
      </w:r>
      <w:r w:rsidRPr="00610904">
        <w:rPr>
          <w:noProof w:val="0"/>
          <w:lang w:val="en-US"/>
        </w:rPr>
        <w:t xml:space="preserve">Consequently, the Court must rule on the presumed violations of the human rights of this presumed victim and on the reparations claimed for him by </w:t>
      </w:r>
      <w:r w:rsidR="002F5BBA" w:rsidRPr="00610904">
        <w:rPr>
          <w:noProof w:val="0"/>
          <w:lang w:val="en-US"/>
        </w:rPr>
        <w:t>the Commission</w:t>
      </w:r>
      <w:r w:rsidR="009F3D78" w:rsidRPr="00610904">
        <w:rPr>
          <w:noProof w:val="0"/>
          <w:lang w:val="en-US"/>
        </w:rPr>
        <w:t xml:space="preserve"> and the representatives</w:t>
      </w:r>
      <w:r w:rsidR="00022F5E" w:rsidRPr="00610904">
        <w:rPr>
          <w:noProof w:val="0"/>
          <w:lang w:val="en-US"/>
        </w:rPr>
        <w:t>.</w:t>
      </w:r>
      <w:bookmarkEnd w:id="44"/>
      <w:bookmarkEnd w:id="45"/>
    </w:p>
    <w:p w:rsidR="00554B6F" w:rsidRPr="00610904" w:rsidRDefault="00554B6F" w:rsidP="00610904">
      <w:pPr>
        <w:rPr>
          <w:noProof w:val="0"/>
          <w:lang w:val="en-US"/>
        </w:rPr>
      </w:pPr>
    </w:p>
    <w:p w:rsidR="00022F5E" w:rsidRPr="00610904" w:rsidRDefault="00022F5E" w:rsidP="00610904">
      <w:pPr>
        <w:pStyle w:val="Heading1"/>
        <w:spacing w:before="0" w:after="0"/>
        <w:rPr>
          <w:caps w:val="0"/>
          <w:noProof w:val="0"/>
          <w:lang w:val="en-US"/>
        </w:rPr>
      </w:pPr>
      <w:r w:rsidRPr="00610904">
        <w:rPr>
          <w:noProof w:val="0"/>
          <w:lang w:val="en-US"/>
        </w:rPr>
        <w:t xml:space="preserve"> </w:t>
      </w:r>
      <w:bookmarkStart w:id="49" w:name="_Toc443399079"/>
      <w:r w:rsidRPr="00610904">
        <w:rPr>
          <w:caps w:val="0"/>
          <w:noProof w:val="0"/>
          <w:lang w:val="en-US"/>
        </w:rPr>
        <w:t>VI</w:t>
      </w:r>
      <w:r w:rsidRPr="00610904">
        <w:rPr>
          <w:caps w:val="0"/>
          <w:noProof w:val="0"/>
          <w:lang w:val="en-US"/>
        </w:rPr>
        <w:br/>
      </w:r>
      <w:r w:rsidR="00A8072E" w:rsidRPr="00610904">
        <w:rPr>
          <w:caps w:val="0"/>
          <w:noProof w:val="0"/>
          <w:lang w:val="en-US"/>
        </w:rPr>
        <w:t>ALLEGED ACKNOWLEDGEMENT OF ONE FACT</w:t>
      </w:r>
      <w:bookmarkEnd w:id="49"/>
    </w:p>
    <w:p w:rsidR="00022F5E" w:rsidRPr="00610904" w:rsidRDefault="00022F5E" w:rsidP="00610904">
      <w:pPr>
        <w:rPr>
          <w:noProof w:val="0"/>
          <w:lang w:val="en-US" w:eastAsia="es-ES"/>
        </w:rPr>
      </w:pPr>
    </w:p>
    <w:p w:rsidR="00022F5E" w:rsidRPr="00610904" w:rsidRDefault="00022F5E" w:rsidP="00610904">
      <w:pPr>
        <w:numPr>
          <w:ilvl w:val="0"/>
          <w:numId w:val="1"/>
        </w:numPr>
        <w:rPr>
          <w:noProof w:val="0"/>
          <w:lang w:val="en-US"/>
        </w:rPr>
      </w:pPr>
      <w:r w:rsidRPr="00610904">
        <w:rPr>
          <w:noProof w:val="0"/>
          <w:lang w:val="en-US"/>
        </w:rPr>
        <w:t xml:space="preserve"> </w:t>
      </w:r>
      <w:r w:rsidR="009F3D78" w:rsidRPr="00610904">
        <w:rPr>
          <w:noProof w:val="0"/>
          <w:lang w:val="en-US"/>
        </w:rPr>
        <w:t>The State</w:t>
      </w:r>
      <w:r w:rsidR="00554B6F" w:rsidRPr="00610904">
        <w:rPr>
          <w:noProof w:val="0"/>
          <w:lang w:val="en-US"/>
        </w:rPr>
        <w:t>, during</w:t>
      </w:r>
      <w:r w:rsidRPr="00610904">
        <w:rPr>
          <w:noProof w:val="0"/>
          <w:lang w:val="en-US"/>
        </w:rPr>
        <w:t xml:space="preserve"> </w:t>
      </w:r>
      <w:r w:rsidR="00AD687D" w:rsidRPr="00610904">
        <w:rPr>
          <w:noProof w:val="0"/>
          <w:lang w:val="en-US"/>
        </w:rPr>
        <w:t>the public hearing</w:t>
      </w:r>
      <w:r w:rsidR="00554B6F" w:rsidRPr="00610904">
        <w:rPr>
          <w:noProof w:val="0"/>
          <w:lang w:val="en-US"/>
        </w:rPr>
        <w:t>,</w:t>
      </w:r>
      <w:r w:rsidRPr="00610904">
        <w:rPr>
          <w:noProof w:val="0"/>
          <w:lang w:val="en-US"/>
        </w:rPr>
        <w:t xml:space="preserve"> </w:t>
      </w:r>
      <w:r w:rsidR="00554B6F" w:rsidRPr="00610904">
        <w:rPr>
          <w:noProof w:val="0"/>
          <w:lang w:val="en-US"/>
        </w:rPr>
        <w:t>made an</w:t>
      </w:r>
      <w:r w:rsidRPr="00610904">
        <w:rPr>
          <w:noProof w:val="0"/>
          <w:lang w:val="en-US"/>
        </w:rPr>
        <w:t xml:space="preserve"> “</w:t>
      </w:r>
      <w:r w:rsidR="00554B6F" w:rsidRPr="00610904">
        <w:rPr>
          <w:noProof w:val="0"/>
          <w:lang w:val="en-US"/>
        </w:rPr>
        <w:t xml:space="preserve">acknowledgement </w:t>
      </w:r>
      <w:r w:rsidRPr="00610904">
        <w:rPr>
          <w:noProof w:val="0"/>
          <w:lang w:val="en-US"/>
        </w:rPr>
        <w:t xml:space="preserve">[…] </w:t>
      </w:r>
      <w:r w:rsidR="006C7903" w:rsidRPr="00610904">
        <w:rPr>
          <w:noProof w:val="0"/>
          <w:lang w:val="en-US"/>
        </w:rPr>
        <w:t xml:space="preserve">of one specific </w:t>
      </w:r>
      <w:r w:rsidR="00554B6F" w:rsidRPr="00610904">
        <w:rPr>
          <w:noProof w:val="0"/>
          <w:lang w:val="en-US"/>
        </w:rPr>
        <w:t>fact”</w:t>
      </w:r>
      <w:r w:rsidR="006C7903" w:rsidRPr="00610904">
        <w:rPr>
          <w:noProof w:val="0"/>
          <w:lang w:val="en-US"/>
        </w:rPr>
        <w:t>:</w:t>
      </w:r>
      <w:r w:rsidR="00554B6F" w:rsidRPr="00610904">
        <w:rPr>
          <w:noProof w:val="0"/>
          <w:lang w:val="en-US"/>
        </w:rPr>
        <w:t xml:space="preserve"> “that, at the time the regrettable facts that constitute the case took place, it should not have delegated to a private entity the function of administering the national blood system</w:t>
      </w:r>
      <w:r w:rsidR="006C7903" w:rsidRPr="00610904">
        <w:rPr>
          <w:noProof w:val="0"/>
          <w:lang w:val="en-US"/>
        </w:rPr>
        <w:t>,</w:t>
      </w:r>
      <w:r w:rsidR="00554B6F" w:rsidRPr="00610904">
        <w:rPr>
          <w:noProof w:val="0"/>
          <w:lang w:val="en-US"/>
        </w:rPr>
        <w:t xml:space="preserve">” and that “the State now has technical norms in </w:t>
      </w:r>
      <w:r w:rsidR="006C7903" w:rsidRPr="00610904">
        <w:rPr>
          <w:noProof w:val="0"/>
          <w:lang w:val="en-US"/>
        </w:rPr>
        <w:t>keeping</w:t>
      </w:r>
      <w:r w:rsidR="00554B6F" w:rsidRPr="00610904">
        <w:rPr>
          <w:noProof w:val="0"/>
          <w:lang w:val="en-US"/>
        </w:rPr>
        <w:t xml:space="preserve"> with international standards.” It also indicated that this was the “acknowledgement of on</w:t>
      </w:r>
      <w:r w:rsidR="006C7903" w:rsidRPr="00610904">
        <w:rPr>
          <w:noProof w:val="0"/>
          <w:lang w:val="en-US"/>
        </w:rPr>
        <w:t>e</w:t>
      </w:r>
      <w:r w:rsidR="00554B6F" w:rsidRPr="00610904">
        <w:rPr>
          <w:noProof w:val="0"/>
          <w:lang w:val="en-US"/>
        </w:rPr>
        <w:t xml:space="preserve"> very specific fact that had a very </w:t>
      </w:r>
      <w:r w:rsidR="006C7903" w:rsidRPr="00610904">
        <w:rPr>
          <w:noProof w:val="0"/>
          <w:lang w:val="en-US"/>
        </w:rPr>
        <w:t>particular</w:t>
      </w:r>
      <w:r w:rsidR="00554B6F" w:rsidRPr="00610904">
        <w:rPr>
          <w:noProof w:val="0"/>
          <w:lang w:val="en-US"/>
        </w:rPr>
        <w:t xml:space="preserve"> dimension” and asked the Court to interpret this acknowledgment with the help of </w:t>
      </w:r>
      <w:r w:rsidR="00DE34D0" w:rsidRPr="00610904">
        <w:rPr>
          <w:noProof w:val="0"/>
          <w:lang w:val="en-US"/>
        </w:rPr>
        <w:t xml:space="preserve">the </w:t>
      </w:r>
      <w:r w:rsidR="00554B6F" w:rsidRPr="00610904">
        <w:rPr>
          <w:noProof w:val="0"/>
          <w:lang w:val="en-US"/>
        </w:rPr>
        <w:t>“</w:t>
      </w:r>
      <w:r w:rsidR="00DE34D0" w:rsidRPr="00610904">
        <w:rPr>
          <w:noProof w:val="0"/>
          <w:lang w:val="en-US"/>
        </w:rPr>
        <w:t>hermeneutical tools of deliberation, precise context</w:t>
      </w:r>
      <w:r w:rsidR="006C7903" w:rsidRPr="00610904">
        <w:rPr>
          <w:noProof w:val="0"/>
          <w:lang w:val="en-US"/>
        </w:rPr>
        <w:t>,</w:t>
      </w:r>
      <w:r w:rsidR="00DE34D0" w:rsidRPr="00610904">
        <w:rPr>
          <w:noProof w:val="0"/>
          <w:lang w:val="en-US"/>
        </w:rPr>
        <w:t xml:space="preserve"> and good faith,” “appreciating the State’s willingness and its commitment to the human rights justice </w:t>
      </w:r>
      <w:r w:rsidR="006C7903" w:rsidRPr="00610904">
        <w:rPr>
          <w:noProof w:val="0"/>
          <w:lang w:val="en-US"/>
        </w:rPr>
        <w:t>promoted</w:t>
      </w:r>
      <w:r w:rsidR="00DE34D0" w:rsidRPr="00610904">
        <w:rPr>
          <w:noProof w:val="0"/>
          <w:lang w:val="en-US"/>
        </w:rPr>
        <w:t xml:space="preserve"> by the Court.” In addition, it presented proposals for reparation in case the Court should declare the State responsible.</w:t>
      </w:r>
      <w:r w:rsidRPr="00610904">
        <w:rPr>
          <w:rStyle w:val="FootnoteReference"/>
          <w:noProof w:val="0"/>
          <w:lang w:val="en-US"/>
        </w:rPr>
        <w:footnoteReference w:id="37"/>
      </w:r>
    </w:p>
    <w:p w:rsidR="00022F5E" w:rsidRPr="00610904" w:rsidRDefault="00022F5E" w:rsidP="00610904">
      <w:pPr>
        <w:rPr>
          <w:noProof w:val="0"/>
          <w:lang w:val="en-US"/>
        </w:rPr>
      </w:pPr>
      <w:r w:rsidRPr="00610904">
        <w:rPr>
          <w:b/>
          <w:noProof w:val="0"/>
          <w:lang w:val="en-US"/>
        </w:rPr>
        <w:t xml:space="preserve"> </w:t>
      </w:r>
    </w:p>
    <w:p w:rsidR="00DE34D0" w:rsidRPr="00610904" w:rsidRDefault="00022F5E" w:rsidP="00610904">
      <w:pPr>
        <w:numPr>
          <w:ilvl w:val="0"/>
          <w:numId w:val="1"/>
        </w:numPr>
        <w:rPr>
          <w:noProof w:val="0"/>
          <w:lang w:val="en-US"/>
        </w:rPr>
      </w:pPr>
      <w:r w:rsidRPr="00610904">
        <w:rPr>
          <w:noProof w:val="0"/>
          <w:lang w:val="en-US"/>
        </w:rPr>
        <w:t>Dur</w:t>
      </w:r>
      <w:r w:rsidR="00DE34D0" w:rsidRPr="00610904">
        <w:rPr>
          <w:noProof w:val="0"/>
          <w:lang w:val="en-US"/>
        </w:rPr>
        <w:t>ing</w:t>
      </w:r>
      <w:r w:rsidRPr="00610904">
        <w:rPr>
          <w:noProof w:val="0"/>
          <w:lang w:val="en-US"/>
        </w:rPr>
        <w:t xml:space="preserve"> </w:t>
      </w:r>
      <w:r w:rsidR="00AD687D" w:rsidRPr="00610904">
        <w:rPr>
          <w:noProof w:val="0"/>
          <w:lang w:val="en-US"/>
        </w:rPr>
        <w:t>the public hearing</w:t>
      </w:r>
      <w:r w:rsidRPr="00610904">
        <w:rPr>
          <w:noProof w:val="0"/>
          <w:lang w:val="en-US"/>
        </w:rPr>
        <w:t xml:space="preserve">, </w:t>
      </w:r>
      <w:r w:rsidR="00DE34D0" w:rsidRPr="00610904">
        <w:rPr>
          <w:noProof w:val="0"/>
          <w:lang w:val="en-US"/>
        </w:rPr>
        <w:t xml:space="preserve">in answer to questions from the judges as to whether this declaration constituted an acknowledgement of international responsibility for the violation of rights, </w:t>
      </w:r>
      <w:r w:rsidR="006C7903" w:rsidRPr="00610904">
        <w:rPr>
          <w:noProof w:val="0"/>
          <w:lang w:val="en-US"/>
        </w:rPr>
        <w:t>the State affirmed that “what the State</w:t>
      </w:r>
      <w:r w:rsidR="00DE34D0" w:rsidRPr="00610904">
        <w:rPr>
          <w:noProof w:val="0"/>
          <w:lang w:val="en-US"/>
        </w:rPr>
        <w:t xml:space="preserve"> has offered is an acknowledgement pursuant to Article 62 [of the Rules of Procedure] of a fact, and the specific fact is that it should not have delegated to a private entity the function of administering the national blood system.” Accordingly, it was an “acknowledgement of that fact</w:t>
      </w:r>
      <w:r w:rsidR="006C7903" w:rsidRPr="00610904">
        <w:rPr>
          <w:noProof w:val="0"/>
          <w:lang w:val="en-US"/>
        </w:rPr>
        <w:t>,</w:t>
      </w:r>
      <w:r w:rsidR="00DE34D0" w:rsidRPr="00610904">
        <w:rPr>
          <w:noProof w:val="0"/>
          <w:lang w:val="en-US"/>
        </w:rPr>
        <w:t xml:space="preserve"> and there i</w:t>
      </w:r>
      <w:r w:rsidR="00C76E6E" w:rsidRPr="00610904">
        <w:rPr>
          <w:noProof w:val="0"/>
          <w:lang w:val="en-US"/>
        </w:rPr>
        <w:t>s not, there is no acquiescence to</w:t>
      </w:r>
      <w:r w:rsidR="00DE34D0" w:rsidRPr="00610904">
        <w:rPr>
          <w:noProof w:val="0"/>
          <w:lang w:val="en-US"/>
        </w:rPr>
        <w:t xml:space="preserve"> </w:t>
      </w:r>
      <w:r w:rsidR="00430B22" w:rsidRPr="00610904">
        <w:rPr>
          <w:noProof w:val="0"/>
          <w:lang w:val="en-US"/>
        </w:rPr>
        <w:t>[specific] articles</w:t>
      </w:r>
      <w:r w:rsidR="00DE34D0" w:rsidRPr="00610904">
        <w:rPr>
          <w:noProof w:val="0"/>
          <w:lang w:val="en-US"/>
        </w:rPr>
        <w:t xml:space="preserve">; it is an </w:t>
      </w:r>
      <w:r w:rsidR="00C76E6E" w:rsidRPr="00610904">
        <w:rPr>
          <w:noProof w:val="0"/>
          <w:lang w:val="en-US"/>
        </w:rPr>
        <w:t>acquiescence to</w:t>
      </w:r>
      <w:r w:rsidR="00DE34D0" w:rsidRPr="00610904">
        <w:rPr>
          <w:noProof w:val="0"/>
          <w:lang w:val="en-US"/>
        </w:rPr>
        <w:t xml:space="preserve"> a fact that refer</w:t>
      </w:r>
      <w:r w:rsidR="00C76E6E" w:rsidRPr="00610904">
        <w:rPr>
          <w:noProof w:val="0"/>
          <w:lang w:val="en-US"/>
        </w:rPr>
        <w:t>s to</w:t>
      </w:r>
      <w:r w:rsidR="00DE34D0" w:rsidRPr="00610904">
        <w:rPr>
          <w:noProof w:val="0"/>
          <w:lang w:val="en-US"/>
        </w:rPr>
        <w:t xml:space="preserve"> acknowledgement of a specific situation.” It added that, “based on this acknowledgement,” the State was offering the presumed victim “a decent life, health, education, a public apology; it is an </w:t>
      </w:r>
      <w:r w:rsidR="00856968" w:rsidRPr="00610904">
        <w:rPr>
          <w:noProof w:val="0"/>
          <w:lang w:val="en-US"/>
        </w:rPr>
        <w:t>acknowledgement</w:t>
      </w:r>
      <w:r w:rsidR="00DE34D0" w:rsidRPr="00610904">
        <w:rPr>
          <w:noProof w:val="0"/>
          <w:lang w:val="en-US"/>
        </w:rPr>
        <w:t xml:space="preserve"> of a specific fact: having delegated the responsibility to a private institution, </w:t>
      </w:r>
      <w:r w:rsidR="002D6E02" w:rsidRPr="00610904">
        <w:rPr>
          <w:noProof w:val="0"/>
          <w:lang w:val="en-US"/>
        </w:rPr>
        <w:t>such as the Red Cross</w:t>
      </w:r>
      <w:r w:rsidR="00DE34D0" w:rsidRPr="00610904">
        <w:rPr>
          <w:noProof w:val="0"/>
          <w:lang w:val="en-US"/>
        </w:rPr>
        <w:t xml:space="preserve">.” </w:t>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lang w:val="en-US"/>
        </w:rPr>
        <w:t>The Court</w:t>
      </w:r>
      <w:r w:rsidR="00022F5E" w:rsidRPr="00610904">
        <w:rPr>
          <w:noProof w:val="0"/>
          <w:lang w:val="en-US"/>
        </w:rPr>
        <w:t xml:space="preserve"> </w:t>
      </w:r>
      <w:r w:rsidR="002D6E02" w:rsidRPr="00610904">
        <w:rPr>
          <w:noProof w:val="0"/>
          <w:lang w:val="en-US"/>
        </w:rPr>
        <w:t>asked the State to clarify the scope of its acknowledgement in its final arguments. The State responded to this r</w:t>
      </w:r>
      <w:r w:rsidR="00C76E6E" w:rsidRPr="00610904">
        <w:rPr>
          <w:noProof w:val="0"/>
          <w:lang w:val="en-US"/>
        </w:rPr>
        <w:t>e</w:t>
      </w:r>
      <w:r w:rsidR="002D6E02" w:rsidRPr="00610904">
        <w:rPr>
          <w:noProof w:val="0"/>
          <w:lang w:val="en-US"/>
        </w:rPr>
        <w:t xml:space="preserve">quest referring to what it had expressly indicated during </w:t>
      </w:r>
      <w:r w:rsidR="00AD687D" w:rsidRPr="00610904">
        <w:rPr>
          <w:noProof w:val="0"/>
          <w:lang w:val="en-US"/>
        </w:rPr>
        <w:t>the public hearing</w:t>
      </w:r>
      <w:r w:rsidR="00022F5E" w:rsidRPr="00610904">
        <w:rPr>
          <w:noProof w:val="0"/>
          <w:lang w:val="en-US"/>
        </w:rPr>
        <w:t xml:space="preserve"> (</w:t>
      </w:r>
      <w:r w:rsidR="00022F5E" w:rsidRPr="00610904">
        <w:rPr>
          <w:i/>
          <w:noProof w:val="0"/>
          <w:lang w:val="en-US"/>
        </w:rPr>
        <w:t xml:space="preserve">supra </w:t>
      </w:r>
      <w:r w:rsidR="006E502B" w:rsidRPr="00610904">
        <w:rPr>
          <w:noProof w:val="0"/>
          <w:lang w:val="en-US"/>
        </w:rPr>
        <w:t>para.</w:t>
      </w:r>
      <w:r w:rsidR="00022F5E" w:rsidRPr="00610904">
        <w:rPr>
          <w:noProof w:val="0"/>
          <w:lang w:val="en-US"/>
        </w:rPr>
        <w:t xml:space="preserve"> 42). </w:t>
      </w:r>
    </w:p>
    <w:p w:rsidR="00022F5E" w:rsidRPr="00610904" w:rsidRDefault="00022F5E" w:rsidP="00610904">
      <w:pPr>
        <w:rPr>
          <w:noProof w:val="0"/>
          <w:lang w:val="en-US"/>
        </w:rPr>
      </w:pPr>
    </w:p>
    <w:p w:rsidR="00022F5E" w:rsidRPr="00610904" w:rsidRDefault="002F5BBA" w:rsidP="00610904">
      <w:pPr>
        <w:numPr>
          <w:ilvl w:val="0"/>
          <w:numId w:val="1"/>
        </w:numPr>
        <w:rPr>
          <w:noProof w:val="0"/>
          <w:lang w:val="en-US"/>
        </w:rPr>
      </w:pPr>
      <w:r w:rsidRPr="00610904">
        <w:rPr>
          <w:noProof w:val="0"/>
          <w:lang w:val="en-US"/>
        </w:rPr>
        <w:lastRenderedPageBreak/>
        <w:t>The Commission</w:t>
      </w:r>
      <w:r w:rsidR="00022F5E" w:rsidRPr="00610904">
        <w:rPr>
          <w:b/>
          <w:i/>
          <w:noProof w:val="0"/>
          <w:lang w:val="en-US"/>
        </w:rPr>
        <w:t xml:space="preserve"> </w:t>
      </w:r>
      <w:r w:rsidR="002D6E02" w:rsidRPr="00610904">
        <w:rPr>
          <w:noProof w:val="0"/>
          <w:lang w:val="en-US"/>
        </w:rPr>
        <w:t xml:space="preserve">pointed out that the State’s affirmations “do not constitute </w:t>
      </w:r>
      <w:proofErr w:type="gramStart"/>
      <w:r w:rsidR="002D6E02" w:rsidRPr="00610904">
        <w:rPr>
          <w:noProof w:val="0"/>
          <w:lang w:val="en-US"/>
        </w:rPr>
        <w:t>an acq</w:t>
      </w:r>
      <w:r w:rsidR="00C76E6E" w:rsidRPr="00610904">
        <w:rPr>
          <w:noProof w:val="0"/>
          <w:lang w:val="en-US"/>
        </w:rPr>
        <w:t>uiescence</w:t>
      </w:r>
      <w:proofErr w:type="gramEnd"/>
      <w:r w:rsidR="00C76E6E" w:rsidRPr="00610904">
        <w:rPr>
          <w:noProof w:val="0"/>
          <w:lang w:val="en-US"/>
        </w:rPr>
        <w:t xml:space="preserve"> to either facts or </w:t>
      </w:r>
      <w:r w:rsidR="002D6E02" w:rsidRPr="00610904">
        <w:rPr>
          <w:noProof w:val="0"/>
          <w:lang w:val="en-US"/>
        </w:rPr>
        <w:t xml:space="preserve">claims in the terms </w:t>
      </w:r>
      <w:r w:rsidR="006E502B" w:rsidRPr="00610904">
        <w:rPr>
          <w:noProof w:val="0"/>
          <w:lang w:val="en-US"/>
        </w:rPr>
        <w:t>of Article</w:t>
      </w:r>
      <w:r w:rsidR="00022F5E" w:rsidRPr="00610904">
        <w:rPr>
          <w:noProof w:val="0"/>
          <w:lang w:val="en-US"/>
        </w:rPr>
        <w:t xml:space="preserve"> 62</w:t>
      </w:r>
      <w:r w:rsidR="009F3D78" w:rsidRPr="00610904">
        <w:rPr>
          <w:noProof w:val="0"/>
          <w:lang w:val="en-US"/>
        </w:rPr>
        <w:t xml:space="preserve"> of the Court’s Rules o</w:t>
      </w:r>
      <w:r w:rsidR="002D6E02" w:rsidRPr="00610904">
        <w:rPr>
          <w:noProof w:val="0"/>
          <w:lang w:val="en-US"/>
        </w:rPr>
        <w:t xml:space="preserve">f Procedure.” However, it assessed positively the offer of housing made </w:t>
      </w:r>
      <w:r w:rsidR="00856968" w:rsidRPr="00610904">
        <w:rPr>
          <w:noProof w:val="0"/>
          <w:lang w:val="en-US"/>
        </w:rPr>
        <w:t>to the</w:t>
      </w:r>
      <w:r w:rsidR="00A8072E" w:rsidRPr="00610904">
        <w:rPr>
          <w:noProof w:val="0"/>
          <w:lang w:val="en-US"/>
        </w:rPr>
        <w:t xml:space="preserve"> presumed victim</w:t>
      </w:r>
      <w:r w:rsidR="00022F5E" w:rsidRPr="00610904">
        <w:rPr>
          <w:noProof w:val="0"/>
          <w:lang w:val="en-US"/>
        </w:rPr>
        <w:t xml:space="preserve">, </w:t>
      </w:r>
      <w:r w:rsidR="002D6E02" w:rsidRPr="00610904">
        <w:rPr>
          <w:noProof w:val="0"/>
          <w:lang w:val="en-US"/>
        </w:rPr>
        <w:t>although it observed that the other reparation proposals made by the Sta</w:t>
      </w:r>
      <w:r w:rsidR="00C76E6E" w:rsidRPr="00610904">
        <w:rPr>
          <w:noProof w:val="0"/>
          <w:lang w:val="en-US"/>
        </w:rPr>
        <w:t>te were made “conditional” on the Court declaring the State responsible</w:t>
      </w:r>
      <w:r w:rsidR="002D6E02" w:rsidRPr="00610904">
        <w:rPr>
          <w:noProof w:val="0"/>
          <w:lang w:val="en-US"/>
        </w:rPr>
        <w:t xml:space="preserve">. Consequently, it reaffirmed that the State’s </w:t>
      </w:r>
      <w:r w:rsidR="00C76E6E" w:rsidRPr="00610904">
        <w:rPr>
          <w:noProof w:val="0"/>
          <w:lang w:val="en-US"/>
        </w:rPr>
        <w:t>affirmations</w:t>
      </w:r>
      <w:r w:rsidR="002D6E02" w:rsidRPr="00610904">
        <w:rPr>
          <w:noProof w:val="0"/>
          <w:lang w:val="en-US"/>
        </w:rPr>
        <w:t xml:space="preserve"> did not </w:t>
      </w:r>
      <w:r w:rsidR="00856968" w:rsidRPr="00610904">
        <w:rPr>
          <w:noProof w:val="0"/>
          <w:lang w:val="en-US"/>
        </w:rPr>
        <w:t>constitute</w:t>
      </w:r>
      <w:r w:rsidR="002D6E02" w:rsidRPr="00610904">
        <w:rPr>
          <w:noProof w:val="0"/>
          <w:lang w:val="en-US"/>
        </w:rPr>
        <w:t xml:space="preserve"> an acknowledgement of responsibility.</w:t>
      </w:r>
    </w:p>
    <w:p w:rsidR="00022F5E" w:rsidRPr="00610904" w:rsidRDefault="00022F5E" w:rsidP="00610904">
      <w:pPr>
        <w:rPr>
          <w:noProof w:val="0"/>
          <w:lang w:val="en-US"/>
        </w:rPr>
      </w:pPr>
    </w:p>
    <w:p w:rsidR="00830022" w:rsidRPr="00610904" w:rsidRDefault="009F3D78" w:rsidP="00610904">
      <w:pPr>
        <w:numPr>
          <w:ilvl w:val="0"/>
          <w:numId w:val="1"/>
        </w:numPr>
        <w:rPr>
          <w:noProof w:val="0"/>
          <w:lang w:val="en-US"/>
        </w:rPr>
      </w:pPr>
      <w:r w:rsidRPr="00610904">
        <w:rPr>
          <w:noProof w:val="0"/>
          <w:lang w:val="en-US"/>
        </w:rPr>
        <w:t>The representatives</w:t>
      </w:r>
      <w:r w:rsidR="00022F5E" w:rsidRPr="00610904">
        <w:rPr>
          <w:noProof w:val="0"/>
          <w:lang w:val="en-US"/>
        </w:rPr>
        <w:t xml:space="preserve"> </w:t>
      </w:r>
      <w:r w:rsidR="00830022" w:rsidRPr="00610904">
        <w:rPr>
          <w:noProof w:val="0"/>
          <w:lang w:val="en-US"/>
        </w:rPr>
        <w:t>argued that</w:t>
      </w:r>
      <w:r w:rsidR="00022F5E" w:rsidRPr="00610904">
        <w:rPr>
          <w:noProof w:val="0"/>
          <w:lang w:val="en-US"/>
        </w:rPr>
        <w:t xml:space="preserve"> </w:t>
      </w:r>
      <w:r w:rsidRPr="00610904">
        <w:rPr>
          <w:noProof w:val="0"/>
          <w:lang w:val="en-US"/>
        </w:rPr>
        <w:t>the State</w:t>
      </w:r>
      <w:r w:rsidR="00022F5E" w:rsidRPr="00610904">
        <w:rPr>
          <w:noProof w:val="0"/>
          <w:lang w:val="en-US"/>
        </w:rPr>
        <w:t xml:space="preserve"> </w:t>
      </w:r>
      <w:r w:rsidR="00830022" w:rsidRPr="00610904">
        <w:rPr>
          <w:noProof w:val="0"/>
          <w:lang w:val="en-US"/>
        </w:rPr>
        <w:t xml:space="preserve">had not referred to the scope of the acknowledgement, or to the implications of the fact acknowledged on “the </w:t>
      </w:r>
      <w:r w:rsidR="00436E84" w:rsidRPr="00610904">
        <w:rPr>
          <w:noProof w:val="0"/>
          <w:lang w:val="en-US"/>
        </w:rPr>
        <w:t>infection</w:t>
      </w:r>
      <w:r w:rsidR="00830022" w:rsidRPr="00610904">
        <w:rPr>
          <w:noProof w:val="0"/>
          <w:lang w:val="en-US"/>
        </w:rPr>
        <w:t xml:space="preserve"> of a child with HIV, or on the rights [presumably] violated.” Regarding the offer of reparations, they pointed out that these refer</w:t>
      </w:r>
      <w:r w:rsidR="00C76E6E" w:rsidRPr="00610904">
        <w:rPr>
          <w:noProof w:val="0"/>
          <w:lang w:val="en-US"/>
        </w:rPr>
        <w:t>red</w:t>
      </w:r>
      <w:r w:rsidR="00830022" w:rsidRPr="00610904">
        <w:rPr>
          <w:noProof w:val="0"/>
          <w:lang w:val="en-US"/>
        </w:rPr>
        <w:t xml:space="preserve"> only to acknowledgeme</w:t>
      </w:r>
      <w:r w:rsidR="00C76E6E" w:rsidRPr="00610904">
        <w:rPr>
          <w:noProof w:val="0"/>
          <w:lang w:val="en-US"/>
        </w:rPr>
        <w:t>n</w:t>
      </w:r>
      <w:r w:rsidR="00830022" w:rsidRPr="00610904">
        <w:rPr>
          <w:noProof w:val="0"/>
          <w:lang w:val="en-US"/>
        </w:rPr>
        <w:t>t of that fact and not to other presumed violations of rights in this case.</w:t>
      </w:r>
      <w:r w:rsidR="00C76E6E" w:rsidRPr="00610904">
        <w:rPr>
          <w:noProof w:val="0"/>
          <w:lang w:val="en-US"/>
        </w:rPr>
        <w:t xml:space="preserve"> </w:t>
      </w:r>
    </w:p>
    <w:p w:rsidR="00022F5E" w:rsidRPr="00610904" w:rsidRDefault="00022F5E" w:rsidP="00610904">
      <w:pPr>
        <w:rPr>
          <w:noProof w:val="0"/>
          <w:lang w:val="en-US"/>
        </w:rPr>
      </w:pPr>
    </w:p>
    <w:p w:rsidR="00022F5E" w:rsidRPr="00610904" w:rsidRDefault="00A8072E" w:rsidP="00610904">
      <w:pPr>
        <w:ind w:left="450"/>
        <w:rPr>
          <w:noProof w:val="0"/>
          <w:lang w:val="en-US"/>
        </w:rPr>
      </w:pPr>
      <w:r w:rsidRPr="00610904">
        <w:rPr>
          <w:i/>
          <w:noProof w:val="0"/>
          <w:lang w:val="en-US"/>
        </w:rPr>
        <w:t>Considerations</w:t>
      </w:r>
      <w:r w:rsidR="009F3D78" w:rsidRPr="00610904">
        <w:rPr>
          <w:i/>
          <w:noProof w:val="0"/>
          <w:lang w:val="en-US"/>
        </w:rPr>
        <w:t xml:space="preserve"> of the Court</w:t>
      </w:r>
    </w:p>
    <w:p w:rsidR="00022F5E" w:rsidRPr="00610904" w:rsidRDefault="00022F5E" w:rsidP="00610904">
      <w:pPr>
        <w:rPr>
          <w:noProof w:val="0"/>
          <w:lang w:val="en-US"/>
        </w:rPr>
      </w:pPr>
    </w:p>
    <w:p w:rsidR="00022F5E" w:rsidRPr="00610904" w:rsidRDefault="00830022" w:rsidP="00610904">
      <w:pPr>
        <w:numPr>
          <w:ilvl w:val="0"/>
          <w:numId w:val="1"/>
        </w:numPr>
        <w:rPr>
          <w:noProof w:val="0"/>
          <w:color w:val="FF0000"/>
          <w:lang w:val="en-US"/>
        </w:rPr>
      </w:pPr>
      <w:r w:rsidRPr="00610904">
        <w:rPr>
          <w:noProof w:val="0"/>
          <w:szCs w:val="20"/>
          <w:lang w:val="en-US"/>
        </w:rPr>
        <w:t>Pursuant to</w:t>
      </w:r>
      <w:r w:rsidR="00022F5E" w:rsidRPr="00610904">
        <w:rPr>
          <w:noProof w:val="0"/>
          <w:szCs w:val="20"/>
          <w:lang w:val="en-US"/>
        </w:rPr>
        <w:t xml:space="preserve"> </w:t>
      </w:r>
      <w:r w:rsidR="009F3D78" w:rsidRPr="00610904">
        <w:rPr>
          <w:noProof w:val="0"/>
          <w:szCs w:val="20"/>
          <w:lang w:val="en-US"/>
        </w:rPr>
        <w:t>Articles</w:t>
      </w:r>
      <w:r w:rsidR="00022F5E" w:rsidRPr="00610904">
        <w:rPr>
          <w:noProof w:val="0"/>
          <w:szCs w:val="20"/>
          <w:lang w:val="en-US"/>
        </w:rPr>
        <w:t xml:space="preserve"> 62</w:t>
      </w:r>
      <w:r w:rsidR="00022F5E" w:rsidRPr="00610904">
        <w:rPr>
          <w:noProof w:val="0"/>
          <w:szCs w:val="20"/>
          <w:vertAlign w:val="superscript"/>
          <w:lang w:val="en-US"/>
        </w:rPr>
        <w:footnoteReference w:id="38"/>
      </w:r>
      <w:r w:rsidR="009F3D78" w:rsidRPr="00610904">
        <w:rPr>
          <w:noProof w:val="0"/>
          <w:szCs w:val="20"/>
          <w:lang w:val="en-US"/>
        </w:rPr>
        <w:t xml:space="preserve"> and </w:t>
      </w:r>
      <w:r w:rsidR="00022F5E" w:rsidRPr="00610904">
        <w:rPr>
          <w:noProof w:val="0"/>
          <w:szCs w:val="20"/>
          <w:lang w:val="en-US"/>
        </w:rPr>
        <w:t>64</w:t>
      </w:r>
      <w:r w:rsidR="00022F5E" w:rsidRPr="00610904">
        <w:rPr>
          <w:noProof w:val="0"/>
          <w:szCs w:val="20"/>
          <w:vertAlign w:val="superscript"/>
          <w:lang w:val="en-US"/>
        </w:rPr>
        <w:footnoteReference w:id="39"/>
      </w:r>
      <w:r w:rsidR="009F3D78" w:rsidRPr="00610904">
        <w:rPr>
          <w:noProof w:val="0"/>
          <w:szCs w:val="20"/>
          <w:lang w:val="en-US"/>
        </w:rPr>
        <w:t xml:space="preserve"> of the Rules of Procedure</w:t>
      </w:r>
      <w:r w:rsidRPr="00610904">
        <w:rPr>
          <w:noProof w:val="0"/>
          <w:szCs w:val="20"/>
          <w:lang w:val="en-US"/>
        </w:rPr>
        <w:t>,</w:t>
      </w:r>
      <w:r w:rsidR="009F3D78" w:rsidRPr="00610904">
        <w:rPr>
          <w:noProof w:val="0"/>
          <w:szCs w:val="20"/>
          <w:lang w:val="en-US"/>
        </w:rPr>
        <w:t xml:space="preserve"> and </w:t>
      </w:r>
      <w:r w:rsidRPr="00610904">
        <w:rPr>
          <w:noProof w:val="0"/>
          <w:szCs w:val="20"/>
          <w:lang w:val="en-US"/>
        </w:rPr>
        <w:t xml:space="preserve">in exercise of its powers for the international judicial protection of human rights, a matter of international public order that </w:t>
      </w:r>
      <w:r w:rsidR="00C76E6E" w:rsidRPr="00610904">
        <w:rPr>
          <w:noProof w:val="0"/>
          <w:szCs w:val="20"/>
          <w:lang w:val="en-US"/>
        </w:rPr>
        <w:t xml:space="preserve">transcends </w:t>
      </w:r>
      <w:r w:rsidRPr="00610904">
        <w:rPr>
          <w:noProof w:val="0"/>
          <w:szCs w:val="20"/>
          <w:lang w:val="en-US"/>
        </w:rPr>
        <w:t>the will of the parties, it is incumbent on this Court to ensure that acts of acquiescence are acceptable for the objectives sought by the int</w:t>
      </w:r>
      <w:r w:rsidR="00C76E6E" w:rsidRPr="00610904">
        <w:rPr>
          <w:noProof w:val="0"/>
          <w:szCs w:val="20"/>
          <w:lang w:val="en-US"/>
        </w:rPr>
        <w:t>er-American system. In this task</w:t>
      </w:r>
      <w:r w:rsidRPr="00610904">
        <w:rPr>
          <w:noProof w:val="0"/>
          <w:szCs w:val="20"/>
          <w:lang w:val="en-US"/>
        </w:rPr>
        <w:t>, it is not restricted to merely confirming, recording or taking note of the acknowledgement made by the State, or to verifying the fo</w:t>
      </w:r>
      <w:r w:rsidR="00C76E6E" w:rsidRPr="00610904">
        <w:rPr>
          <w:noProof w:val="0"/>
          <w:szCs w:val="20"/>
          <w:lang w:val="en-US"/>
        </w:rPr>
        <w:t>rmal conditions of the said acts</w:t>
      </w:r>
      <w:r w:rsidRPr="00610904">
        <w:rPr>
          <w:noProof w:val="0"/>
          <w:szCs w:val="20"/>
          <w:lang w:val="en-US"/>
        </w:rPr>
        <w:t>, but it must relate them to the nature and severity of the violations that have been alleged, the demands and interests of justice, the particular circumstances of the specific case, and the attitude and position of the parties,</w:t>
      </w:r>
      <w:r w:rsidR="00022F5E" w:rsidRPr="00610904">
        <w:rPr>
          <w:noProof w:val="0"/>
          <w:szCs w:val="20"/>
          <w:vertAlign w:val="superscript"/>
          <w:lang w:val="en-US"/>
        </w:rPr>
        <w:footnoteReference w:id="40"/>
      </w:r>
      <w:r w:rsidRPr="00610904">
        <w:rPr>
          <w:noProof w:val="0"/>
          <w:szCs w:val="20"/>
          <w:lang w:val="en-US"/>
        </w:rPr>
        <w:t xml:space="preserve"> </w:t>
      </w:r>
      <w:r w:rsidR="00C76E6E" w:rsidRPr="00610904">
        <w:rPr>
          <w:noProof w:val="0"/>
          <w:szCs w:val="20"/>
          <w:lang w:val="en-US"/>
        </w:rPr>
        <w:t>in order to</w:t>
      </w:r>
      <w:r w:rsidRPr="00610904">
        <w:rPr>
          <w:noProof w:val="0"/>
          <w:szCs w:val="20"/>
          <w:lang w:val="en-US"/>
        </w:rPr>
        <w:t xml:space="preserve"> clarify, to the extent possible and in the exercise of its jurisdiction, the truth of what happened.</w:t>
      </w:r>
      <w:r w:rsidR="00022F5E" w:rsidRPr="00610904">
        <w:rPr>
          <w:noProof w:val="0"/>
          <w:szCs w:val="20"/>
          <w:vertAlign w:val="superscript"/>
          <w:lang w:val="en-US"/>
        </w:rPr>
        <w:footnoteReference w:id="41"/>
      </w:r>
      <w:r w:rsidR="00C76E6E" w:rsidRPr="00610904">
        <w:rPr>
          <w:noProof w:val="0"/>
          <w:szCs w:val="20"/>
          <w:lang w:val="en-US"/>
        </w:rPr>
        <w:t xml:space="preserve"> Thus, an</w:t>
      </w:r>
      <w:r w:rsidRPr="00610904">
        <w:rPr>
          <w:noProof w:val="0"/>
          <w:szCs w:val="20"/>
          <w:lang w:val="en-US"/>
        </w:rPr>
        <w:t xml:space="preserve"> acknowledgement cannot </w:t>
      </w:r>
      <w:r w:rsidR="00C76E6E" w:rsidRPr="00610904">
        <w:rPr>
          <w:noProof w:val="0"/>
          <w:szCs w:val="20"/>
          <w:lang w:val="en-US"/>
        </w:rPr>
        <w:t>limit</w:t>
      </w:r>
      <w:r w:rsidRPr="00610904">
        <w:rPr>
          <w:noProof w:val="0"/>
          <w:szCs w:val="20"/>
          <w:lang w:val="en-US"/>
        </w:rPr>
        <w:t>, either directly or indirectly, the exercise of the Court’s powers to hear the case that has been submitted to it,</w:t>
      </w:r>
      <w:r w:rsidR="00022F5E" w:rsidRPr="00610904">
        <w:rPr>
          <w:rFonts w:eastAsia="Times New Roman"/>
          <w:noProof w:val="0"/>
          <w:vertAlign w:val="superscript"/>
          <w:lang w:val="en-US"/>
        </w:rPr>
        <w:footnoteReference w:id="42"/>
      </w:r>
      <w:r w:rsidR="009F3D78" w:rsidRPr="00610904">
        <w:rPr>
          <w:rFonts w:eastAsia="Times New Roman"/>
          <w:noProof w:val="0"/>
          <w:szCs w:val="20"/>
          <w:lang w:val="en-US"/>
        </w:rPr>
        <w:t xml:space="preserve"> and </w:t>
      </w:r>
      <w:r w:rsidR="00C76E6E" w:rsidRPr="00610904">
        <w:rPr>
          <w:rFonts w:eastAsia="Times New Roman"/>
          <w:noProof w:val="0"/>
          <w:szCs w:val="20"/>
          <w:lang w:val="en-US"/>
        </w:rPr>
        <w:t>to decide whether</w:t>
      </w:r>
      <w:r w:rsidRPr="00610904">
        <w:rPr>
          <w:rFonts w:eastAsia="Times New Roman"/>
          <w:noProof w:val="0"/>
          <w:szCs w:val="20"/>
          <w:lang w:val="en-US"/>
        </w:rPr>
        <w:t xml:space="preserve"> there has been a violation of a right or freedom protected by </w:t>
      </w:r>
      <w:r w:rsidR="009F3D78" w:rsidRPr="00610904">
        <w:rPr>
          <w:rFonts w:eastAsia="Times New Roman"/>
          <w:noProof w:val="0"/>
          <w:szCs w:val="20"/>
          <w:lang w:val="en-US"/>
        </w:rPr>
        <w:t>the Convention</w:t>
      </w:r>
      <w:r w:rsidR="00C76E6E" w:rsidRPr="00610904">
        <w:rPr>
          <w:rFonts w:eastAsia="Times New Roman"/>
          <w:noProof w:val="0"/>
          <w:szCs w:val="20"/>
          <w:lang w:val="en-US"/>
        </w:rPr>
        <w:t>.</w:t>
      </w:r>
      <w:r w:rsidR="00022F5E" w:rsidRPr="00610904">
        <w:rPr>
          <w:rFonts w:eastAsia="Times New Roman"/>
          <w:noProof w:val="0"/>
          <w:vertAlign w:val="superscript"/>
          <w:lang w:val="en-US"/>
        </w:rPr>
        <w:footnoteReference w:id="43"/>
      </w:r>
      <w:r w:rsidR="00022F5E" w:rsidRPr="00610904">
        <w:rPr>
          <w:noProof w:val="0"/>
          <w:color w:val="FF0000"/>
          <w:lang w:val="en-US"/>
        </w:rPr>
        <w:t xml:space="preserve"> </w:t>
      </w:r>
      <w:r w:rsidRPr="00610904">
        <w:rPr>
          <w:rFonts w:eastAsia="Times New Roman"/>
          <w:noProof w:val="0"/>
          <w:szCs w:val="20"/>
          <w:lang w:val="en-US"/>
        </w:rPr>
        <w:t>The</w:t>
      </w:r>
      <w:r w:rsidR="00A8072E" w:rsidRPr="00610904">
        <w:rPr>
          <w:rFonts w:eastAsia="Times New Roman"/>
          <w:noProof w:val="0"/>
          <w:szCs w:val="20"/>
          <w:lang w:val="en-US"/>
        </w:rPr>
        <w:t xml:space="preserve"> Court</w:t>
      </w:r>
      <w:r w:rsidR="00022F5E" w:rsidRPr="00610904">
        <w:rPr>
          <w:rFonts w:eastAsia="Times New Roman"/>
          <w:noProof w:val="0"/>
          <w:szCs w:val="20"/>
          <w:lang w:val="en-US"/>
        </w:rPr>
        <w:t xml:space="preserve"> </w:t>
      </w:r>
      <w:r w:rsidRPr="00610904">
        <w:rPr>
          <w:rFonts w:eastAsia="Times New Roman"/>
          <w:noProof w:val="0"/>
          <w:szCs w:val="20"/>
          <w:lang w:val="en-US"/>
        </w:rPr>
        <w:t xml:space="preserve">notes that the acknowledgement of </w:t>
      </w:r>
      <w:r w:rsidR="00C76E6E" w:rsidRPr="00610904">
        <w:rPr>
          <w:rFonts w:eastAsia="Times New Roman"/>
          <w:noProof w:val="0"/>
          <w:szCs w:val="20"/>
          <w:lang w:val="en-US"/>
        </w:rPr>
        <w:t>specific iso</w:t>
      </w:r>
      <w:r w:rsidRPr="00610904">
        <w:rPr>
          <w:rFonts w:eastAsia="Times New Roman"/>
          <w:noProof w:val="0"/>
          <w:szCs w:val="20"/>
          <w:lang w:val="en-US"/>
        </w:rPr>
        <w:t>lated facts and violations may have effects and consequences on its analysis of the other facts and violations alleged in the case, insofar as they all form part of a same set of circumstances.</w:t>
      </w:r>
      <w:r w:rsidR="00022F5E" w:rsidRPr="00610904">
        <w:rPr>
          <w:rStyle w:val="FootnoteReference"/>
          <w:noProof w:val="0"/>
          <w:lang w:val="en-US"/>
        </w:rPr>
        <w:footnoteReference w:id="44"/>
      </w:r>
    </w:p>
    <w:p w:rsidR="00022F5E" w:rsidRPr="00610904" w:rsidRDefault="00022F5E" w:rsidP="00610904">
      <w:pPr>
        <w:rPr>
          <w:noProof w:val="0"/>
          <w:color w:val="FF0000"/>
          <w:lang w:val="en-US"/>
        </w:rPr>
      </w:pPr>
    </w:p>
    <w:p w:rsidR="00022F5E" w:rsidRPr="00610904" w:rsidRDefault="00830022" w:rsidP="00610904">
      <w:pPr>
        <w:numPr>
          <w:ilvl w:val="0"/>
          <w:numId w:val="1"/>
        </w:numPr>
        <w:rPr>
          <w:noProof w:val="0"/>
          <w:color w:val="FF0000"/>
          <w:lang w:val="en-US"/>
        </w:rPr>
      </w:pPr>
      <w:r w:rsidRPr="00610904">
        <w:rPr>
          <w:noProof w:val="0"/>
          <w:lang w:val="en-US"/>
        </w:rPr>
        <w:t>In this case, the State’s assertions reveal that it has not relat</w:t>
      </w:r>
      <w:r w:rsidR="00430B22" w:rsidRPr="00610904">
        <w:rPr>
          <w:noProof w:val="0"/>
          <w:lang w:val="en-US"/>
        </w:rPr>
        <w:t>e</w:t>
      </w:r>
      <w:r w:rsidRPr="00610904">
        <w:rPr>
          <w:noProof w:val="0"/>
          <w:lang w:val="en-US"/>
        </w:rPr>
        <w:t xml:space="preserve">d its presumed responsibility to the violation of specific norms. The Court notes that </w:t>
      </w:r>
      <w:r w:rsidR="00A8072E" w:rsidRPr="00610904">
        <w:rPr>
          <w:noProof w:val="0"/>
          <w:lang w:val="en-US"/>
        </w:rPr>
        <w:t>Ecuador</w:t>
      </w:r>
      <w:r w:rsidR="00022F5E" w:rsidRPr="00610904">
        <w:rPr>
          <w:noProof w:val="0"/>
          <w:lang w:val="en-US"/>
        </w:rPr>
        <w:t xml:space="preserve"> </w:t>
      </w:r>
      <w:r w:rsidR="00430B22" w:rsidRPr="00610904">
        <w:rPr>
          <w:noProof w:val="0"/>
          <w:lang w:val="en-US"/>
        </w:rPr>
        <w:t>acknowle</w:t>
      </w:r>
      <w:r w:rsidRPr="00610904">
        <w:rPr>
          <w:noProof w:val="0"/>
          <w:lang w:val="en-US"/>
        </w:rPr>
        <w:t xml:space="preserve">dged an aspect of the case that was not </w:t>
      </w:r>
      <w:r w:rsidR="00430B22" w:rsidRPr="00610904">
        <w:rPr>
          <w:noProof w:val="0"/>
          <w:lang w:val="en-US"/>
        </w:rPr>
        <w:t xml:space="preserve">being disputed, even though it could have </w:t>
      </w:r>
      <w:r w:rsidRPr="00610904">
        <w:rPr>
          <w:noProof w:val="0"/>
          <w:lang w:val="en-US"/>
        </w:rPr>
        <w:t>i</w:t>
      </w:r>
      <w:r w:rsidR="00430B22" w:rsidRPr="00610904">
        <w:rPr>
          <w:noProof w:val="0"/>
          <w:lang w:val="en-US"/>
        </w:rPr>
        <w:t>mplications on aspects associat</w:t>
      </w:r>
      <w:r w:rsidRPr="00610904">
        <w:rPr>
          <w:noProof w:val="0"/>
          <w:lang w:val="en-US"/>
        </w:rPr>
        <w:t>ed with the determination of the facts and the merits of this case. Consequently</w:t>
      </w:r>
      <w:r w:rsidR="00022F5E" w:rsidRPr="00610904">
        <w:rPr>
          <w:noProof w:val="0"/>
          <w:lang w:val="en-US"/>
        </w:rPr>
        <w:t xml:space="preserve">, </w:t>
      </w:r>
      <w:r w:rsidR="009F3D78" w:rsidRPr="00610904">
        <w:rPr>
          <w:noProof w:val="0"/>
          <w:lang w:val="en-US"/>
        </w:rPr>
        <w:t>the Court</w:t>
      </w:r>
      <w:r w:rsidR="00430B22" w:rsidRPr="00610904">
        <w:rPr>
          <w:noProof w:val="0"/>
          <w:lang w:val="en-US"/>
        </w:rPr>
        <w:t xml:space="preserve"> </w:t>
      </w:r>
      <w:r w:rsidRPr="00610904">
        <w:rPr>
          <w:noProof w:val="0"/>
          <w:lang w:val="en-US"/>
        </w:rPr>
        <w:t>will take</w:t>
      </w:r>
      <w:r w:rsidR="00430B22" w:rsidRPr="00610904">
        <w:rPr>
          <w:noProof w:val="0"/>
          <w:lang w:val="en-US"/>
        </w:rPr>
        <w:t xml:space="preserve"> the State’s acknowledgement into account</w:t>
      </w:r>
      <w:r w:rsidR="00022F5E" w:rsidRPr="00610904">
        <w:rPr>
          <w:noProof w:val="0"/>
          <w:lang w:val="en-US"/>
        </w:rPr>
        <w:t xml:space="preserve">, </w:t>
      </w:r>
      <w:r w:rsidRPr="00610904">
        <w:rPr>
          <w:noProof w:val="0"/>
          <w:lang w:val="en-US"/>
        </w:rPr>
        <w:t>as appropriate, when analyzing the substantive aspects or merits of the alleged human rights violations in the corresponding chapters,</w:t>
      </w:r>
      <w:r w:rsidR="00022F5E" w:rsidRPr="00610904">
        <w:rPr>
          <w:rStyle w:val="FootnoteReference"/>
          <w:noProof w:val="0"/>
          <w:lang w:val="en-US"/>
        </w:rPr>
        <w:footnoteReference w:id="45"/>
      </w:r>
      <w:r w:rsidRPr="00610904">
        <w:rPr>
          <w:noProof w:val="0"/>
          <w:lang w:val="en-US"/>
        </w:rPr>
        <w:t xml:space="preserve"> in accordance with </w:t>
      </w:r>
      <w:r w:rsidR="009F3D78" w:rsidRPr="00610904">
        <w:rPr>
          <w:noProof w:val="0"/>
          <w:lang w:val="en-US"/>
        </w:rPr>
        <w:t xml:space="preserve">the American Convention and </w:t>
      </w:r>
      <w:r w:rsidR="00022F5E" w:rsidRPr="00610904">
        <w:rPr>
          <w:noProof w:val="0"/>
          <w:lang w:val="en-US"/>
        </w:rPr>
        <w:t>t</w:t>
      </w:r>
      <w:r w:rsidRPr="00610904">
        <w:rPr>
          <w:noProof w:val="0"/>
          <w:lang w:val="en-US"/>
        </w:rPr>
        <w:t xml:space="preserve">aking into account the observations of Ecuador during </w:t>
      </w:r>
      <w:r w:rsidR="00AD687D" w:rsidRPr="00610904">
        <w:rPr>
          <w:noProof w:val="0"/>
          <w:lang w:val="en-US"/>
        </w:rPr>
        <w:t>the public hearing</w:t>
      </w:r>
      <w:r w:rsidR="009F3D78" w:rsidRPr="00610904">
        <w:rPr>
          <w:noProof w:val="0"/>
          <w:lang w:val="en-US"/>
        </w:rPr>
        <w:t xml:space="preserve"> and </w:t>
      </w:r>
      <w:r w:rsidRPr="00610904">
        <w:rPr>
          <w:noProof w:val="0"/>
          <w:lang w:val="en-US"/>
        </w:rPr>
        <w:t>in its final</w:t>
      </w:r>
      <w:r w:rsidR="00430B22" w:rsidRPr="00610904">
        <w:rPr>
          <w:noProof w:val="0"/>
          <w:lang w:val="en-US"/>
        </w:rPr>
        <w:t xml:space="preserve"> written</w:t>
      </w:r>
      <w:r w:rsidRPr="00610904">
        <w:rPr>
          <w:noProof w:val="0"/>
          <w:lang w:val="en-US"/>
        </w:rPr>
        <w:t xml:space="preserve"> arguments. </w:t>
      </w:r>
    </w:p>
    <w:p w:rsidR="00022F5E" w:rsidRPr="00610904" w:rsidRDefault="00022F5E" w:rsidP="00610904">
      <w:pPr>
        <w:rPr>
          <w:noProof w:val="0"/>
          <w:lang w:val="en-US"/>
        </w:rPr>
      </w:pPr>
      <w:bookmarkStart w:id="50" w:name="_Toc404770059"/>
      <w:bookmarkStart w:id="51" w:name="_Toc416164798"/>
      <w:bookmarkStart w:id="52" w:name="_Toc315133577"/>
      <w:bookmarkStart w:id="53" w:name="_Toc316919762"/>
      <w:bookmarkStart w:id="54" w:name="_Toc329703867"/>
      <w:bookmarkStart w:id="55" w:name="_Toc336638904"/>
      <w:bookmarkStart w:id="56" w:name="_Toc359314424"/>
      <w:bookmarkStart w:id="57" w:name="_Toc361671574"/>
      <w:bookmarkStart w:id="58" w:name="_Toc361671994"/>
      <w:bookmarkStart w:id="59" w:name="_Toc361732791"/>
      <w:bookmarkStart w:id="60" w:name="_Toc361732834"/>
      <w:bookmarkStart w:id="61" w:name="_Toc362456865"/>
      <w:bookmarkStart w:id="62" w:name="_Toc365021394"/>
      <w:bookmarkStart w:id="63" w:name="_Toc369076780"/>
      <w:bookmarkStart w:id="64" w:name="_Toc369989372"/>
      <w:bookmarkStart w:id="65" w:name="_Toc369989459"/>
      <w:bookmarkStart w:id="66" w:name="_Toc36998974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022F5E" w:rsidRPr="00610904" w:rsidRDefault="00022F5E" w:rsidP="00610904">
      <w:pPr>
        <w:pStyle w:val="Heading1"/>
        <w:spacing w:before="0" w:after="0"/>
        <w:rPr>
          <w:noProof w:val="0"/>
          <w:lang w:val="en-US"/>
        </w:rPr>
      </w:pPr>
      <w:bookmarkStart w:id="67" w:name="_Toc443399080"/>
      <w:r w:rsidRPr="00610904">
        <w:rPr>
          <w:caps w:val="0"/>
          <w:noProof w:val="0"/>
          <w:lang w:val="en-US"/>
        </w:rPr>
        <w:t>VII</w:t>
      </w:r>
      <w:r w:rsidRPr="00610904">
        <w:rPr>
          <w:noProof w:val="0"/>
          <w:lang w:val="en-US"/>
        </w:rPr>
        <w:br/>
      </w:r>
      <w:r w:rsidR="00A8072E" w:rsidRPr="00610904">
        <w:rPr>
          <w:noProof w:val="0"/>
          <w:lang w:val="en-US"/>
        </w:rPr>
        <w:t>EVIDENCE</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22F5E" w:rsidRPr="00610904" w:rsidRDefault="00022F5E" w:rsidP="00610904">
      <w:pPr>
        <w:rPr>
          <w:noProof w:val="0"/>
          <w:lang w:val="en-US" w:eastAsia="es-ES"/>
        </w:rPr>
      </w:pPr>
    </w:p>
    <w:p w:rsidR="00022F5E" w:rsidRPr="00610904" w:rsidRDefault="00A8072E" w:rsidP="00610904">
      <w:pPr>
        <w:pStyle w:val="Heading2"/>
        <w:numPr>
          <w:ilvl w:val="0"/>
          <w:numId w:val="7"/>
        </w:numPr>
        <w:spacing w:before="0" w:after="0"/>
        <w:ind w:left="709"/>
        <w:rPr>
          <w:noProof w:val="0"/>
          <w:lang w:val="en-US"/>
        </w:rPr>
      </w:pPr>
      <w:bookmarkStart w:id="68" w:name="_Toc400025662"/>
      <w:bookmarkStart w:id="69" w:name="_Toc400031342"/>
      <w:bookmarkStart w:id="70" w:name="_Toc400035794"/>
      <w:bookmarkStart w:id="71" w:name="_Toc400116405"/>
      <w:bookmarkStart w:id="72" w:name="_Toc400118176"/>
      <w:bookmarkStart w:id="73" w:name="_Toc443399081"/>
      <w:bookmarkEnd w:id="68"/>
      <w:bookmarkEnd w:id="69"/>
      <w:bookmarkEnd w:id="70"/>
      <w:bookmarkEnd w:id="71"/>
      <w:bookmarkEnd w:id="72"/>
      <w:r w:rsidRPr="00610904">
        <w:rPr>
          <w:noProof w:val="0"/>
          <w:lang w:val="en-US"/>
        </w:rPr>
        <w:t>Documentary, testimonial and expert evidence</w:t>
      </w:r>
      <w:bookmarkStart w:id="74" w:name="_Ref305145673"/>
      <w:bookmarkEnd w:id="73"/>
    </w:p>
    <w:p w:rsidR="00022F5E" w:rsidRPr="00610904" w:rsidRDefault="00022F5E" w:rsidP="00610904">
      <w:pPr>
        <w:rPr>
          <w:noProof w:val="0"/>
          <w:lang w:val="en-US"/>
        </w:rPr>
      </w:pPr>
    </w:p>
    <w:p w:rsidR="00022F5E" w:rsidRPr="00610904" w:rsidRDefault="00A8072E" w:rsidP="00610904">
      <w:pPr>
        <w:numPr>
          <w:ilvl w:val="0"/>
          <w:numId w:val="1"/>
        </w:numPr>
        <w:rPr>
          <w:noProof w:val="0"/>
          <w:lang w:val="en-US"/>
        </w:rPr>
      </w:pPr>
      <w:r w:rsidRPr="00610904">
        <w:rPr>
          <w:noProof w:val="0"/>
          <w:lang w:val="en-US" w:eastAsia="es-ES"/>
        </w:rPr>
        <w:t>The Court</w:t>
      </w:r>
      <w:r w:rsidR="00022F5E" w:rsidRPr="00610904">
        <w:rPr>
          <w:noProof w:val="0"/>
          <w:lang w:val="en-US" w:eastAsia="es-ES"/>
        </w:rPr>
        <w:t xml:space="preserve"> rec</w:t>
      </w:r>
      <w:r w:rsidRPr="00610904">
        <w:rPr>
          <w:noProof w:val="0"/>
          <w:lang w:val="en-US" w:eastAsia="es-ES"/>
        </w:rPr>
        <w:t xml:space="preserve">eived diverse documents presented as evidence by </w:t>
      </w:r>
      <w:r w:rsidR="002F5BBA" w:rsidRPr="00610904">
        <w:rPr>
          <w:noProof w:val="0"/>
          <w:lang w:val="en-US"/>
        </w:rPr>
        <w:t>the Commission</w:t>
      </w:r>
      <w:r w:rsidR="009F3D78" w:rsidRPr="00610904">
        <w:rPr>
          <w:noProof w:val="0"/>
          <w:lang w:val="en-US"/>
        </w:rPr>
        <w:t xml:space="preserve"> and </w:t>
      </w:r>
      <w:r w:rsidRPr="00610904">
        <w:rPr>
          <w:noProof w:val="0"/>
          <w:lang w:val="en-US"/>
        </w:rPr>
        <w:t xml:space="preserve">the parties, attached to their main briefs </w:t>
      </w:r>
      <w:r w:rsidR="00022F5E" w:rsidRPr="00610904">
        <w:rPr>
          <w:noProof w:val="0"/>
          <w:lang w:val="en-US"/>
        </w:rPr>
        <w:t>(</w:t>
      </w:r>
      <w:r w:rsidR="00022F5E" w:rsidRPr="00610904">
        <w:rPr>
          <w:i/>
          <w:noProof w:val="0"/>
          <w:lang w:val="en-US"/>
        </w:rPr>
        <w:t xml:space="preserve">supra </w:t>
      </w:r>
      <w:r w:rsidR="006E502B" w:rsidRPr="00610904">
        <w:rPr>
          <w:noProof w:val="0"/>
          <w:lang w:val="en-US"/>
        </w:rPr>
        <w:t>paras.</w:t>
      </w:r>
      <w:r w:rsidR="008D5E1D" w:rsidRPr="00610904">
        <w:rPr>
          <w:noProof w:val="0"/>
          <w:lang w:val="en-US"/>
        </w:rPr>
        <w:t xml:space="preserve"> 3, 6</w:t>
      </w:r>
      <w:r w:rsidR="009F3D78" w:rsidRPr="00610904">
        <w:rPr>
          <w:noProof w:val="0"/>
          <w:lang w:val="en-US"/>
        </w:rPr>
        <w:t xml:space="preserve"> and </w:t>
      </w:r>
      <w:r w:rsidR="008D5E1D" w:rsidRPr="00610904">
        <w:rPr>
          <w:noProof w:val="0"/>
          <w:lang w:val="en-US"/>
        </w:rPr>
        <w:t>7</w:t>
      </w:r>
      <w:r w:rsidR="00022F5E" w:rsidRPr="00610904">
        <w:rPr>
          <w:noProof w:val="0"/>
          <w:lang w:val="en-US"/>
        </w:rPr>
        <w:t xml:space="preserve">). </w:t>
      </w:r>
      <w:r w:rsidRPr="00610904">
        <w:rPr>
          <w:noProof w:val="0"/>
          <w:lang w:val="en-US"/>
        </w:rPr>
        <w:t xml:space="preserve">The Court also received from the parties documents that it had requested as helpful evidence under </w:t>
      </w:r>
      <w:r w:rsidR="009F3D78" w:rsidRPr="00610904">
        <w:rPr>
          <w:noProof w:val="0"/>
          <w:lang w:val="en-US"/>
        </w:rPr>
        <w:t>Article</w:t>
      </w:r>
      <w:r w:rsidR="00022F5E" w:rsidRPr="00610904">
        <w:rPr>
          <w:noProof w:val="0"/>
          <w:lang w:val="en-US"/>
        </w:rPr>
        <w:t xml:space="preserve"> 58</w:t>
      </w:r>
      <w:r w:rsidRPr="00610904">
        <w:rPr>
          <w:noProof w:val="0"/>
          <w:lang w:val="en-US"/>
        </w:rPr>
        <w:t xml:space="preserve"> of the Rules of Procedure</w:t>
      </w:r>
      <w:r w:rsidR="00022F5E" w:rsidRPr="00610904">
        <w:rPr>
          <w:noProof w:val="0"/>
          <w:lang w:val="en-US"/>
        </w:rPr>
        <w:t xml:space="preserve">. </w:t>
      </w:r>
      <w:r w:rsidRPr="00610904">
        <w:rPr>
          <w:noProof w:val="0"/>
          <w:lang w:val="en-US"/>
        </w:rPr>
        <w:t xml:space="preserve">In addition, the Court received the affidavits of </w:t>
      </w:r>
      <w:r w:rsidR="009F3D78" w:rsidRPr="00610904">
        <w:rPr>
          <w:noProof w:val="0"/>
          <w:lang w:val="en-US"/>
        </w:rPr>
        <w:t>the presumed victims</w:t>
      </w:r>
      <w:r w:rsidR="00022F5E" w:rsidRPr="00610904">
        <w:rPr>
          <w:noProof w:val="0"/>
          <w:lang w:val="en-US"/>
        </w:rPr>
        <w:t xml:space="preserve"> Teresa Lluy</w:t>
      </w:r>
      <w:r w:rsidRPr="00610904">
        <w:rPr>
          <w:noProof w:val="0"/>
          <w:lang w:val="en-US"/>
        </w:rPr>
        <w:t xml:space="preserve"> and Ivan</w:t>
      </w:r>
      <w:r w:rsidR="00022F5E" w:rsidRPr="00610904">
        <w:rPr>
          <w:noProof w:val="0"/>
          <w:lang w:val="en-US"/>
        </w:rPr>
        <w:t xml:space="preserve"> Mauricio Lluy, </w:t>
      </w:r>
      <w:r w:rsidRPr="00610904">
        <w:rPr>
          <w:noProof w:val="0"/>
          <w:lang w:val="en-US"/>
        </w:rPr>
        <w:t>proposed by</w:t>
      </w:r>
      <w:r w:rsidR="00022F5E" w:rsidRPr="00610904">
        <w:rPr>
          <w:noProof w:val="0"/>
          <w:lang w:val="en-US"/>
        </w:rPr>
        <w:t xml:space="preserve"> </w:t>
      </w:r>
      <w:r w:rsidR="009F3D78" w:rsidRPr="00610904">
        <w:rPr>
          <w:noProof w:val="0"/>
          <w:lang w:val="en-US"/>
        </w:rPr>
        <w:t>the representatives</w:t>
      </w:r>
      <w:r w:rsidR="00022F5E" w:rsidRPr="00610904">
        <w:rPr>
          <w:noProof w:val="0"/>
          <w:lang w:val="en-US"/>
        </w:rPr>
        <w:t xml:space="preserve">; </w:t>
      </w:r>
      <w:r w:rsidRPr="00610904">
        <w:rPr>
          <w:noProof w:val="0"/>
          <w:lang w:val="en-US"/>
        </w:rPr>
        <w:t>the witnesses</w:t>
      </w:r>
      <w:r w:rsidR="00022F5E" w:rsidRPr="00610904">
        <w:rPr>
          <w:noProof w:val="0"/>
          <w:lang w:val="en-US"/>
        </w:rPr>
        <w:t xml:space="preserve"> Clara Vinueza</w:t>
      </w:r>
      <w:r w:rsidR="009F3D78" w:rsidRPr="00610904">
        <w:rPr>
          <w:noProof w:val="0"/>
          <w:lang w:val="en-US"/>
        </w:rPr>
        <w:t xml:space="preserve"> and </w:t>
      </w:r>
      <w:r w:rsidR="00022F5E" w:rsidRPr="00610904">
        <w:rPr>
          <w:noProof w:val="0"/>
          <w:lang w:val="en-US"/>
        </w:rPr>
        <w:t xml:space="preserve">María Soledad Salinas, </w:t>
      </w:r>
      <w:r w:rsidRPr="00610904">
        <w:rPr>
          <w:noProof w:val="0"/>
          <w:lang w:val="en-US"/>
        </w:rPr>
        <w:t>proposed by</w:t>
      </w:r>
      <w:r w:rsidR="00022F5E" w:rsidRPr="00610904">
        <w:rPr>
          <w:noProof w:val="0"/>
          <w:lang w:val="en-US"/>
        </w:rPr>
        <w:t xml:space="preserve"> </w:t>
      </w:r>
      <w:r w:rsidR="009F3D78" w:rsidRPr="00610904">
        <w:rPr>
          <w:noProof w:val="0"/>
          <w:lang w:val="en-US"/>
        </w:rPr>
        <w:t>the representatives</w:t>
      </w:r>
      <w:r w:rsidR="00022F5E" w:rsidRPr="00610904">
        <w:rPr>
          <w:noProof w:val="0"/>
          <w:lang w:val="en-US"/>
        </w:rPr>
        <w:t>,</w:t>
      </w:r>
      <w:r w:rsidR="009F3D78" w:rsidRPr="00610904">
        <w:rPr>
          <w:noProof w:val="0"/>
          <w:lang w:val="en-US"/>
        </w:rPr>
        <w:t xml:space="preserve"> and </w:t>
      </w:r>
      <w:r w:rsidRPr="00610904">
        <w:rPr>
          <w:noProof w:val="0"/>
          <w:lang w:val="en-US"/>
        </w:rPr>
        <w:t>the expert witnesses</w:t>
      </w:r>
      <w:r w:rsidR="00022F5E" w:rsidRPr="00610904">
        <w:rPr>
          <w:noProof w:val="0"/>
          <w:lang w:val="en-US"/>
        </w:rPr>
        <w:t xml:space="preserve"> Sonia Nivelo Cabrera, Fernanda Solis, Farith Simon, Daniela Salazar, Diana Milena Murcia, Claudia Storini</w:t>
      </w:r>
      <w:r w:rsidR="009F3D78" w:rsidRPr="00610904">
        <w:rPr>
          <w:noProof w:val="0"/>
          <w:lang w:val="en-US"/>
        </w:rPr>
        <w:t xml:space="preserve"> and </w:t>
      </w:r>
      <w:r w:rsidR="00022F5E" w:rsidRPr="00610904">
        <w:rPr>
          <w:noProof w:val="0"/>
          <w:lang w:val="en-US"/>
        </w:rPr>
        <w:t xml:space="preserve">Marcelo Pazmiño, </w:t>
      </w:r>
      <w:r w:rsidRPr="00610904">
        <w:rPr>
          <w:noProof w:val="0"/>
          <w:lang w:val="en-US"/>
        </w:rPr>
        <w:t>proposed by</w:t>
      </w:r>
      <w:r w:rsidR="00022F5E" w:rsidRPr="00610904">
        <w:rPr>
          <w:noProof w:val="0"/>
          <w:lang w:val="en-US"/>
        </w:rPr>
        <w:t xml:space="preserve"> </w:t>
      </w:r>
      <w:r w:rsidR="009F3D78" w:rsidRPr="00610904">
        <w:rPr>
          <w:noProof w:val="0"/>
          <w:lang w:val="en-US"/>
        </w:rPr>
        <w:t>the representatives</w:t>
      </w:r>
      <w:r w:rsidR="00022F5E" w:rsidRPr="00610904">
        <w:rPr>
          <w:noProof w:val="0"/>
          <w:lang w:val="en-US"/>
        </w:rPr>
        <w:t>; Paul Hunt</w:t>
      </w:r>
      <w:r w:rsidR="009F3D78" w:rsidRPr="00610904">
        <w:rPr>
          <w:noProof w:val="0"/>
          <w:lang w:val="en-US"/>
        </w:rPr>
        <w:t xml:space="preserve"> and </w:t>
      </w:r>
      <w:r w:rsidR="00022F5E" w:rsidRPr="00610904">
        <w:rPr>
          <w:noProof w:val="0"/>
          <w:lang w:val="en-US"/>
        </w:rPr>
        <w:t xml:space="preserve">Alejandro Morlachetti, </w:t>
      </w:r>
      <w:r w:rsidRPr="00610904">
        <w:rPr>
          <w:noProof w:val="0"/>
          <w:lang w:val="en-US"/>
        </w:rPr>
        <w:t>proposed by</w:t>
      </w:r>
      <w:r w:rsidR="00022F5E" w:rsidRPr="00610904">
        <w:rPr>
          <w:noProof w:val="0"/>
          <w:lang w:val="en-US"/>
        </w:rPr>
        <w:t xml:space="preserve"> </w:t>
      </w:r>
      <w:r w:rsidR="002F5BBA" w:rsidRPr="00610904">
        <w:rPr>
          <w:noProof w:val="0"/>
          <w:lang w:val="en-US"/>
        </w:rPr>
        <w:t>the Inter-American Commission</w:t>
      </w:r>
      <w:r w:rsidR="00022F5E" w:rsidRPr="00610904">
        <w:rPr>
          <w:noProof w:val="0"/>
          <w:lang w:val="en-US"/>
        </w:rPr>
        <w:t>,</w:t>
      </w:r>
      <w:r w:rsidR="009F3D78" w:rsidRPr="00610904">
        <w:rPr>
          <w:noProof w:val="0"/>
          <w:lang w:val="en-US"/>
        </w:rPr>
        <w:t xml:space="preserve"> and </w:t>
      </w:r>
      <w:r w:rsidR="00022F5E" w:rsidRPr="00610904">
        <w:rPr>
          <w:noProof w:val="0"/>
          <w:lang w:val="en-US"/>
        </w:rPr>
        <w:t>John Antón, Gustavo Medinaceli, Antonio Salamanca Serrano, Roxana Arroyo, Stephanie León, Juan Montaña, Nilda Estela Villacrés, María Jerovi Naranjo, Diana Molina, Carmen Carrasco, Juan Bernardo Sánchez, Aimée Dubois Sánchez, Jimmy Tandazo, Carolina Zevallos, Pablo Alarcón Peña, Pamela Juliana Aguirre</w:t>
      </w:r>
      <w:r w:rsidR="009F3D78" w:rsidRPr="00610904">
        <w:rPr>
          <w:noProof w:val="0"/>
          <w:lang w:val="en-US"/>
        </w:rPr>
        <w:t xml:space="preserve"> and </w:t>
      </w:r>
      <w:r w:rsidR="00022F5E" w:rsidRPr="00610904">
        <w:rPr>
          <w:noProof w:val="0"/>
          <w:lang w:val="en-US"/>
        </w:rPr>
        <w:t xml:space="preserve">Carlos Delgado, </w:t>
      </w:r>
      <w:r w:rsidRPr="00610904">
        <w:rPr>
          <w:noProof w:val="0"/>
          <w:lang w:val="en-US"/>
        </w:rPr>
        <w:t>proposed by</w:t>
      </w:r>
      <w:r w:rsidR="00022F5E" w:rsidRPr="00610904">
        <w:rPr>
          <w:noProof w:val="0"/>
          <w:lang w:val="en-US"/>
        </w:rPr>
        <w:t xml:space="preserve"> </w:t>
      </w:r>
      <w:r w:rsidR="009F3D78" w:rsidRPr="00610904">
        <w:rPr>
          <w:noProof w:val="0"/>
          <w:lang w:val="en-US"/>
        </w:rPr>
        <w:t>the State</w:t>
      </w:r>
      <w:r w:rsidRPr="00610904">
        <w:rPr>
          <w:noProof w:val="0"/>
          <w:lang w:val="en-US"/>
        </w:rPr>
        <w:t>.</w:t>
      </w:r>
      <w:r w:rsidR="00022F5E" w:rsidRPr="00610904">
        <w:rPr>
          <w:rStyle w:val="FootnoteReference"/>
          <w:noProof w:val="0"/>
          <w:lang w:val="en-US"/>
        </w:rPr>
        <w:footnoteReference w:id="46"/>
      </w:r>
      <w:r w:rsidR="00022F5E" w:rsidRPr="00610904">
        <w:rPr>
          <w:noProof w:val="0"/>
          <w:lang w:val="en-US"/>
        </w:rPr>
        <w:t xml:space="preserve"> </w:t>
      </w:r>
      <w:r w:rsidRPr="00610904">
        <w:rPr>
          <w:noProof w:val="0"/>
          <w:lang w:val="en-US"/>
        </w:rPr>
        <w:t xml:space="preserve">Regarding the evidence provided during the </w:t>
      </w:r>
      <w:r w:rsidR="00AD687D" w:rsidRPr="00610904">
        <w:rPr>
          <w:noProof w:val="0"/>
          <w:lang w:val="en-US"/>
        </w:rPr>
        <w:t>public hearing</w:t>
      </w:r>
      <w:r w:rsidR="00022F5E" w:rsidRPr="00610904">
        <w:rPr>
          <w:noProof w:val="0"/>
          <w:lang w:val="en-US"/>
        </w:rPr>
        <w:t xml:space="preserve">, </w:t>
      </w:r>
      <w:r w:rsidR="009F3D78" w:rsidRPr="00610904">
        <w:rPr>
          <w:noProof w:val="0"/>
          <w:lang w:val="en-US"/>
        </w:rPr>
        <w:t>the Court</w:t>
      </w:r>
      <w:r w:rsidR="00022F5E" w:rsidRPr="00610904">
        <w:rPr>
          <w:noProof w:val="0"/>
          <w:lang w:val="en-US"/>
        </w:rPr>
        <w:t xml:space="preserve"> </w:t>
      </w:r>
      <w:r w:rsidRPr="00610904">
        <w:rPr>
          <w:noProof w:val="0"/>
          <w:lang w:val="en-US"/>
        </w:rPr>
        <w:t>received the testimony of the presumed victim</w:t>
      </w:r>
      <w:r w:rsidR="00022F5E" w:rsidRPr="00610904">
        <w:rPr>
          <w:noProof w:val="0"/>
          <w:lang w:val="en-US"/>
        </w:rPr>
        <w:t xml:space="preserve"> Talía Gonzales Lluy, </w:t>
      </w:r>
      <w:r w:rsidRPr="00610904">
        <w:rPr>
          <w:noProof w:val="0"/>
          <w:lang w:val="en-US"/>
        </w:rPr>
        <w:t>proposed by</w:t>
      </w:r>
      <w:r w:rsidR="00022F5E" w:rsidRPr="00610904">
        <w:rPr>
          <w:noProof w:val="0"/>
          <w:lang w:val="en-US"/>
        </w:rPr>
        <w:t xml:space="preserve"> </w:t>
      </w:r>
      <w:r w:rsidR="009F3D78" w:rsidRPr="00610904">
        <w:rPr>
          <w:noProof w:val="0"/>
          <w:lang w:val="en-US"/>
        </w:rPr>
        <w:t>the representatives</w:t>
      </w:r>
      <w:r w:rsidR="00022F5E" w:rsidRPr="00610904">
        <w:rPr>
          <w:noProof w:val="0"/>
          <w:lang w:val="en-US"/>
        </w:rPr>
        <w:t>,</w:t>
      </w:r>
      <w:r w:rsidR="009F3D78" w:rsidRPr="00610904">
        <w:rPr>
          <w:noProof w:val="0"/>
          <w:lang w:val="en-US"/>
        </w:rPr>
        <w:t xml:space="preserve"> and </w:t>
      </w:r>
      <w:r w:rsidRPr="00610904">
        <w:rPr>
          <w:noProof w:val="0"/>
          <w:lang w:val="en-US"/>
        </w:rPr>
        <w:t>the expert witnesses</w:t>
      </w:r>
      <w:r w:rsidR="00022F5E" w:rsidRPr="00610904">
        <w:rPr>
          <w:noProof w:val="0"/>
          <w:lang w:val="en-US"/>
        </w:rPr>
        <w:t xml:space="preserve"> Christian Courtis, Julio César Trujillo</w:t>
      </w:r>
      <w:r w:rsidR="009F3D78" w:rsidRPr="00610904">
        <w:rPr>
          <w:noProof w:val="0"/>
          <w:lang w:val="en-US"/>
        </w:rPr>
        <w:t xml:space="preserve"> and </w:t>
      </w:r>
      <w:r w:rsidR="00022F5E" w:rsidRPr="00610904">
        <w:rPr>
          <w:noProof w:val="0"/>
          <w:lang w:val="en-US"/>
        </w:rPr>
        <w:t xml:space="preserve">Diego Zalamea </w:t>
      </w:r>
      <w:r w:rsidRPr="00610904">
        <w:rPr>
          <w:noProof w:val="0"/>
          <w:lang w:val="en-US"/>
        </w:rPr>
        <w:t>proposed by</w:t>
      </w:r>
      <w:r w:rsidR="00022F5E" w:rsidRPr="00610904">
        <w:rPr>
          <w:noProof w:val="0"/>
          <w:lang w:val="en-US"/>
        </w:rPr>
        <w:t xml:space="preserve"> </w:t>
      </w:r>
      <w:r w:rsidR="002F5BBA" w:rsidRPr="00610904">
        <w:rPr>
          <w:noProof w:val="0"/>
          <w:lang w:val="en-US"/>
        </w:rPr>
        <w:t>the Commission</w:t>
      </w:r>
      <w:r w:rsidR="00022F5E" w:rsidRPr="00610904">
        <w:rPr>
          <w:noProof w:val="0"/>
          <w:lang w:val="en-US"/>
        </w:rPr>
        <w:t xml:space="preserve">, </w:t>
      </w:r>
      <w:r w:rsidR="009F3D78" w:rsidRPr="00610904">
        <w:rPr>
          <w:noProof w:val="0"/>
          <w:lang w:val="en-US"/>
        </w:rPr>
        <w:t>the representatives and the State</w:t>
      </w:r>
      <w:r w:rsidR="00022F5E" w:rsidRPr="00610904">
        <w:rPr>
          <w:noProof w:val="0"/>
          <w:lang w:val="en-US"/>
        </w:rPr>
        <w:t xml:space="preserve">, </w:t>
      </w:r>
      <w:r w:rsidRPr="00610904">
        <w:rPr>
          <w:noProof w:val="0"/>
          <w:lang w:val="en-US"/>
        </w:rPr>
        <w:t>respectively</w:t>
      </w:r>
      <w:r w:rsidR="00022F5E" w:rsidRPr="00610904">
        <w:rPr>
          <w:noProof w:val="0"/>
          <w:lang w:val="en-US"/>
        </w:rPr>
        <w:t>.</w:t>
      </w:r>
    </w:p>
    <w:p w:rsidR="00022F5E" w:rsidRPr="00610904" w:rsidRDefault="00022F5E" w:rsidP="00610904">
      <w:pPr>
        <w:rPr>
          <w:noProof w:val="0"/>
          <w:lang w:val="en-US"/>
        </w:rPr>
      </w:pPr>
    </w:p>
    <w:p w:rsidR="00022F5E" w:rsidRPr="00610904" w:rsidRDefault="00A8072E" w:rsidP="00610904">
      <w:pPr>
        <w:pStyle w:val="Heading2"/>
        <w:numPr>
          <w:ilvl w:val="0"/>
          <w:numId w:val="7"/>
        </w:numPr>
        <w:spacing w:before="0" w:after="0"/>
        <w:ind w:left="709"/>
        <w:rPr>
          <w:noProof w:val="0"/>
          <w:lang w:val="en-US"/>
        </w:rPr>
      </w:pPr>
      <w:bookmarkStart w:id="75" w:name="_Toc443399082"/>
      <w:bookmarkEnd w:id="74"/>
      <w:r w:rsidRPr="00610904">
        <w:rPr>
          <w:noProof w:val="0"/>
          <w:lang w:val="en-US"/>
        </w:rPr>
        <w:t>Admission of the evidence</w:t>
      </w:r>
      <w:bookmarkEnd w:id="75"/>
    </w:p>
    <w:p w:rsidR="00022F5E" w:rsidRPr="00610904" w:rsidRDefault="00022F5E" w:rsidP="00610904">
      <w:pPr>
        <w:rPr>
          <w:noProof w:val="0"/>
          <w:lang w:val="en-US"/>
        </w:rPr>
      </w:pPr>
    </w:p>
    <w:p w:rsidR="00022F5E" w:rsidRPr="00610904" w:rsidRDefault="00022F5E" w:rsidP="00610904">
      <w:pPr>
        <w:pStyle w:val="Heading3"/>
        <w:rPr>
          <w:noProof w:val="0"/>
          <w:lang w:val="en-US"/>
        </w:rPr>
      </w:pPr>
      <w:bookmarkStart w:id="76" w:name="_Toc443399083"/>
      <w:r w:rsidRPr="00610904">
        <w:rPr>
          <w:noProof w:val="0"/>
          <w:lang w:val="en-US"/>
        </w:rPr>
        <w:t xml:space="preserve">B.1) </w:t>
      </w:r>
      <w:r w:rsidR="00A8072E" w:rsidRPr="00610904">
        <w:rPr>
          <w:noProof w:val="0"/>
          <w:lang w:val="en-US"/>
        </w:rPr>
        <w:t xml:space="preserve">Admission of the </w:t>
      </w:r>
      <w:r w:rsidR="00856968" w:rsidRPr="00610904">
        <w:rPr>
          <w:noProof w:val="0"/>
          <w:lang w:val="en-US"/>
        </w:rPr>
        <w:t>documentary</w:t>
      </w:r>
      <w:r w:rsidR="00A8072E" w:rsidRPr="00610904">
        <w:rPr>
          <w:noProof w:val="0"/>
          <w:lang w:val="en-US"/>
        </w:rPr>
        <w:t xml:space="preserve"> evidence</w:t>
      </w:r>
      <w:bookmarkEnd w:id="76"/>
    </w:p>
    <w:p w:rsidR="00022F5E" w:rsidRPr="00610904" w:rsidRDefault="00022F5E" w:rsidP="00610904">
      <w:pPr>
        <w:rPr>
          <w:noProof w:val="0"/>
          <w:lang w:val="en-US"/>
        </w:rPr>
      </w:pPr>
    </w:p>
    <w:p w:rsidR="00022F5E" w:rsidRPr="00610904" w:rsidRDefault="00A8072E" w:rsidP="00610904">
      <w:pPr>
        <w:numPr>
          <w:ilvl w:val="0"/>
          <w:numId w:val="1"/>
        </w:numPr>
        <w:rPr>
          <w:noProof w:val="0"/>
          <w:lang w:val="en-US"/>
        </w:rPr>
      </w:pPr>
      <w:r w:rsidRPr="00610904">
        <w:rPr>
          <w:noProof w:val="0"/>
          <w:lang w:val="en-US"/>
        </w:rPr>
        <w:t>This Court</w:t>
      </w:r>
      <w:r w:rsidR="00830022" w:rsidRPr="00610904">
        <w:rPr>
          <w:noProof w:val="0"/>
          <w:lang w:val="en-US"/>
        </w:rPr>
        <w:t xml:space="preserve"> admits those documents presented at the appropriate procedural </w:t>
      </w:r>
      <w:r w:rsidR="00430B22" w:rsidRPr="00610904">
        <w:rPr>
          <w:noProof w:val="0"/>
          <w:lang w:val="en-US"/>
        </w:rPr>
        <w:t>opportunity</w:t>
      </w:r>
      <w:r w:rsidR="00830022" w:rsidRPr="00610904">
        <w:rPr>
          <w:noProof w:val="0"/>
          <w:lang w:val="en-US"/>
        </w:rPr>
        <w:t xml:space="preserve"> by the parties </w:t>
      </w:r>
      <w:r w:rsidR="009F3D78" w:rsidRPr="00610904">
        <w:rPr>
          <w:noProof w:val="0"/>
          <w:szCs w:val="20"/>
          <w:lang w:val="en-US"/>
        </w:rPr>
        <w:t xml:space="preserve">and </w:t>
      </w:r>
      <w:r w:rsidR="002F5BBA" w:rsidRPr="00610904">
        <w:rPr>
          <w:noProof w:val="0"/>
          <w:szCs w:val="20"/>
          <w:lang w:val="en-US"/>
        </w:rPr>
        <w:t>the Commission</w:t>
      </w:r>
      <w:r w:rsidR="00022F5E" w:rsidRPr="00610904">
        <w:rPr>
          <w:noProof w:val="0"/>
          <w:szCs w:val="20"/>
          <w:lang w:val="en-US"/>
        </w:rPr>
        <w:t>,</w:t>
      </w:r>
      <w:r w:rsidR="00830022" w:rsidRPr="00610904">
        <w:rPr>
          <w:noProof w:val="0"/>
          <w:szCs w:val="20"/>
          <w:lang w:val="en-US"/>
        </w:rPr>
        <w:t xml:space="preserve"> the admissibility of which was neither contested </w:t>
      </w:r>
      <w:r w:rsidR="00430B22" w:rsidRPr="00610904">
        <w:rPr>
          <w:noProof w:val="0"/>
          <w:szCs w:val="20"/>
          <w:lang w:val="en-US"/>
        </w:rPr>
        <w:t>n</w:t>
      </w:r>
      <w:r w:rsidR="00830022" w:rsidRPr="00610904">
        <w:rPr>
          <w:noProof w:val="0"/>
          <w:szCs w:val="20"/>
          <w:lang w:val="en-US"/>
        </w:rPr>
        <w:t>or opposed.</w:t>
      </w:r>
      <w:r w:rsidR="00022F5E" w:rsidRPr="00610904">
        <w:rPr>
          <w:rStyle w:val="FootnoteReference"/>
          <w:noProof w:val="0"/>
          <w:lang w:val="en-US"/>
        </w:rPr>
        <w:footnoteReference w:id="47"/>
      </w:r>
      <w:r w:rsidR="00830022" w:rsidRPr="00610904">
        <w:rPr>
          <w:rFonts w:eastAsia="Times New Roman"/>
          <w:noProof w:val="0"/>
          <w:szCs w:val="20"/>
          <w:lang w:val="en-US"/>
        </w:rPr>
        <w:t xml:space="preserve"> The documents requested by the Court that were provided by the parties following</w:t>
      </w:r>
      <w:r w:rsidR="00022F5E" w:rsidRPr="00610904">
        <w:rPr>
          <w:rFonts w:eastAsia="Times New Roman"/>
          <w:noProof w:val="0"/>
          <w:szCs w:val="20"/>
          <w:lang w:val="en-US"/>
        </w:rPr>
        <w:t xml:space="preserve"> </w:t>
      </w:r>
      <w:r w:rsidR="00AD687D" w:rsidRPr="00610904">
        <w:rPr>
          <w:rFonts w:eastAsia="Times New Roman"/>
          <w:noProof w:val="0"/>
          <w:szCs w:val="20"/>
          <w:lang w:val="en-US"/>
        </w:rPr>
        <w:t>the public hearing</w:t>
      </w:r>
      <w:r w:rsidR="00022F5E" w:rsidRPr="00610904">
        <w:rPr>
          <w:rFonts w:eastAsia="Times New Roman"/>
          <w:noProof w:val="0"/>
          <w:szCs w:val="20"/>
          <w:lang w:val="en-US"/>
        </w:rPr>
        <w:t xml:space="preserve"> </w:t>
      </w:r>
      <w:r w:rsidR="00830022" w:rsidRPr="00610904">
        <w:rPr>
          <w:rFonts w:eastAsia="Times New Roman"/>
          <w:noProof w:val="0"/>
          <w:szCs w:val="20"/>
          <w:lang w:val="en-US"/>
        </w:rPr>
        <w:t xml:space="preserve">are incorporated into the body of evidence in application </w:t>
      </w:r>
      <w:r w:rsidR="006E502B" w:rsidRPr="00610904">
        <w:rPr>
          <w:rFonts w:eastAsia="Times New Roman"/>
          <w:noProof w:val="0"/>
          <w:szCs w:val="20"/>
          <w:lang w:val="en-US"/>
        </w:rPr>
        <w:t>of Article</w:t>
      </w:r>
      <w:r w:rsidR="00022F5E" w:rsidRPr="00610904">
        <w:rPr>
          <w:rFonts w:eastAsia="Times New Roman"/>
          <w:noProof w:val="0"/>
          <w:szCs w:val="20"/>
          <w:lang w:val="en-US"/>
        </w:rPr>
        <w:t xml:space="preserve"> 58</w:t>
      </w:r>
      <w:r w:rsidR="00830022" w:rsidRPr="00610904">
        <w:rPr>
          <w:rFonts w:eastAsia="Times New Roman"/>
          <w:noProof w:val="0"/>
          <w:szCs w:val="20"/>
          <w:lang w:val="en-US"/>
        </w:rPr>
        <w:t xml:space="preserve"> of the Rules of Procedure</w:t>
      </w:r>
      <w:r w:rsidR="00022F5E" w:rsidRPr="00610904">
        <w:rPr>
          <w:rFonts w:eastAsia="Times New Roman"/>
          <w:noProof w:val="0"/>
          <w:szCs w:val="20"/>
          <w:lang w:val="en-US"/>
        </w:rPr>
        <w:t>.</w:t>
      </w:r>
    </w:p>
    <w:p w:rsidR="00022F5E" w:rsidRPr="00610904" w:rsidRDefault="00022F5E" w:rsidP="00610904">
      <w:pPr>
        <w:rPr>
          <w:noProof w:val="0"/>
          <w:lang w:val="en-US"/>
        </w:rPr>
      </w:pPr>
      <w:r w:rsidRPr="00610904">
        <w:rPr>
          <w:rFonts w:eastAsia="Times New Roman"/>
          <w:noProof w:val="0"/>
          <w:szCs w:val="20"/>
          <w:lang w:val="en-US"/>
        </w:rPr>
        <w:t xml:space="preserve"> </w:t>
      </w:r>
    </w:p>
    <w:p w:rsidR="00022F5E" w:rsidRPr="00610904" w:rsidRDefault="00022F5E" w:rsidP="00610904">
      <w:pPr>
        <w:numPr>
          <w:ilvl w:val="0"/>
          <w:numId w:val="1"/>
        </w:numPr>
        <w:rPr>
          <w:noProof w:val="0"/>
          <w:lang w:val="en-US"/>
        </w:rPr>
      </w:pPr>
      <w:r w:rsidRPr="00610904">
        <w:rPr>
          <w:noProof w:val="0"/>
          <w:szCs w:val="20"/>
          <w:lang w:val="en-US"/>
        </w:rPr>
        <w:lastRenderedPageBreak/>
        <w:t>Re</w:t>
      </w:r>
      <w:r w:rsidR="00830022" w:rsidRPr="00610904">
        <w:rPr>
          <w:noProof w:val="0"/>
          <w:szCs w:val="20"/>
          <w:lang w:val="en-US"/>
        </w:rPr>
        <w:t xml:space="preserve">garding some documents indicated by means of electronic links, the Court has established that, if a party or </w:t>
      </w:r>
      <w:r w:rsidR="002F5BBA" w:rsidRPr="00610904">
        <w:rPr>
          <w:noProof w:val="0"/>
          <w:szCs w:val="20"/>
          <w:lang w:val="en-US"/>
        </w:rPr>
        <w:t>the Commission</w:t>
      </w:r>
      <w:r w:rsidRPr="00610904">
        <w:rPr>
          <w:noProof w:val="0"/>
          <w:szCs w:val="20"/>
          <w:lang w:val="en-US"/>
        </w:rPr>
        <w:t xml:space="preserve"> pro</w:t>
      </w:r>
      <w:r w:rsidR="00830022" w:rsidRPr="00610904">
        <w:rPr>
          <w:noProof w:val="0"/>
          <w:szCs w:val="20"/>
          <w:lang w:val="en-US"/>
        </w:rPr>
        <w:t>vides</w:t>
      </w:r>
      <w:r w:rsidR="00430B22" w:rsidRPr="00610904">
        <w:rPr>
          <w:noProof w:val="0"/>
          <w:szCs w:val="20"/>
          <w:lang w:val="en-US"/>
        </w:rPr>
        <w:t>,</w:t>
      </w:r>
      <w:r w:rsidR="00830022" w:rsidRPr="00610904">
        <w:rPr>
          <w:noProof w:val="0"/>
          <w:szCs w:val="20"/>
          <w:lang w:val="en-US"/>
        </w:rPr>
        <w:t xml:space="preserve"> at least</w:t>
      </w:r>
      <w:r w:rsidR="00430B22" w:rsidRPr="00610904">
        <w:rPr>
          <w:noProof w:val="0"/>
          <w:szCs w:val="20"/>
          <w:lang w:val="en-US"/>
        </w:rPr>
        <w:t>,</w:t>
      </w:r>
      <w:r w:rsidR="00830022" w:rsidRPr="00610904">
        <w:rPr>
          <w:noProof w:val="0"/>
          <w:szCs w:val="20"/>
          <w:lang w:val="en-US"/>
        </w:rPr>
        <w:t xml:space="preserve"> the direct electronic link to the document it cites as evidence and it is possible to access this, neither legal certainty nor procedural equality is harmed, because it can be found immediately by the Court and the other parties</w:t>
      </w:r>
      <w:r w:rsidR="00430B22" w:rsidRPr="00610904">
        <w:rPr>
          <w:noProof w:val="0"/>
          <w:szCs w:val="20"/>
          <w:lang w:val="en-US"/>
        </w:rPr>
        <w:t>,</w:t>
      </w:r>
      <w:r w:rsidRPr="00610904">
        <w:rPr>
          <w:rStyle w:val="FootnoteReference"/>
          <w:noProof w:val="0"/>
          <w:lang w:val="en-US"/>
        </w:rPr>
        <w:footnoteReference w:id="48"/>
      </w:r>
      <w:r w:rsidR="009F3D78" w:rsidRPr="00610904">
        <w:rPr>
          <w:noProof w:val="0"/>
          <w:szCs w:val="20"/>
          <w:lang w:val="en-US"/>
        </w:rPr>
        <w:t xml:space="preserve"> </w:t>
      </w:r>
      <w:r w:rsidR="00430B22" w:rsidRPr="00610904">
        <w:rPr>
          <w:noProof w:val="0"/>
          <w:szCs w:val="20"/>
          <w:lang w:val="en-US"/>
        </w:rPr>
        <w:t xml:space="preserve">and is available </w:t>
      </w:r>
      <w:r w:rsidR="00830022" w:rsidRPr="00610904">
        <w:rPr>
          <w:noProof w:val="0"/>
          <w:szCs w:val="20"/>
          <w:lang w:val="en-US"/>
        </w:rPr>
        <w:t>up until the judgment is delivered</w:t>
      </w:r>
      <w:r w:rsidRPr="00610904">
        <w:rPr>
          <w:noProof w:val="0"/>
          <w:szCs w:val="20"/>
          <w:lang w:val="en-US"/>
        </w:rPr>
        <w:t xml:space="preserve">. </w:t>
      </w:r>
    </w:p>
    <w:p w:rsidR="00022F5E" w:rsidRPr="00610904" w:rsidRDefault="00022F5E" w:rsidP="00610904">
      <w:pPr>
        <w:rPr>
          <w:noProof w:val="0"/>
          <w:lang w:val="en-US"/>
        </w:rPr>
      </w:pPr>
    </w:p>
    <w:p w:rsidR="00022F5E" w:rsidRPr="00610904" w:rsidRDefault="00022F5E" w:rsidP="00610904">
      <w:pPr>
        <w:numPr>
          <w:ilvl w:val="0"/>
          <w:numId w:val="1"/>
        </w:numPr>
        <w:rPr>
          <w:noProof w:val="0"/>
          <w:lang w:val="en-US"/>
        </w:rPr>
      </w:pPr>
      <w:r w:rsidRPr="00610904">
        <w:rPr>
          <w:noProof w:val="0"/>
          <w:lang w:val="en-US"/>
        </w:rPr>
        <w:t>A</w:t>
      </w:r>
      <w:r w:rsidR="00830022" w:rsidRPr="00610904">
        <w:rPr>
          <w:noProof w:val="0"/>
          <w:lang w:val="en-US"/>
        </w:rPr>
        <w:t xml:space="preserve">lso, with regard to the document presented by </w:t>
      </w:r>
      <w:r w:rsidR="002F5BBA" w:rsidRPr="00610904">
        <w:rPr>
          <w:noProof w:val="0"/>
          <w:lang w:val="en-US"/>
        </w:rPr>
        <w:t>the Commission</w:t>
      </w:r>
      <w:r w:rsidRPr="00610904">
        <w:rPr>
          <w:noProof w:val="0"/>
          <w:lang w:val="en-US"/>
        </w:rPr>
        <w:t xml:space="preserve"> </w:t>
      </w:r>
      <w:r w:rsidR="00830022" w:rsidRPr="00610904">
        <w:rPr>
          <w:noProof w:val="0"/>
          <w:lang w:val="en-US"/>
        </w:rPr>
        <w:t>on May 8,</w:t>
      </w:r>
      <w:r w:rsidRPr="00610904">
        <w:rPr>
          <w:noProof w:val="0"/>
          <w:lang w:val="en-US"/>
        </w:rPr>
        <w:t xml:space="preserve"> 2014</w:t>
      </w:r>
      <w:r w:rsidR="00830022" w:rsidRPr="00610904">
        <w:rPr>
          <w:noProof w:val="0"/>
          <w:lang w:val="en-US"/>
        </w:rPr>
        <w:t>,</w:t>
      </w:r>
      <w:r w:rsidRPr="00610904">
        <w:rPr>
          <w:noProof w:val="0"/>
          <w:lang w:val="en-US"/>
        </w:rPr>
        <w:t xml:space="preserve"> </w:t>
      </w:r>
      <w:r w:rsidR="00830022" w:rsidRPr="00610904">
        <w:rPr>
          <w:noProof w:val="0"/>
          <w:lang w:val="en-US"/>
        </w:rPr>
        <w:t xml:space="preserve">regarding a report that the State sent to </w:t>
      </w:r>
      <w:r w:rsidR="002F5BBA" w:rsidRPr="00610904">
        <w:rPr>
          <w:noProof w:val="0"/>
          <w:lang w:val="en-US"/>
        </w:rPr>
        <w:t>the Inter-American Commission</w:t>
      </w:r>
      <w:r w:rsidRPr="00610904">
        <w:rPr>
          <w:noProof w:val="0"/>
          <w:lang w:val="en-US"/>
        </w:rPr>
        <w:t xml:space="preserve"> </w:t>
      </w:r>
      <w:r w:rsidR="00830022" w:rsidRPr="00610904">
        <w:rPr>
          <w:noProof w:val="0"/>
          <w:lang w:val="en-US"/>
        </w:rPr>
        <w:t xml:space="preserve">concerning the implementation </w:t>
      </w:r>
      <w:r w:rsidR="00554B6F" w:rsidRPr="00610904">
        <w:rPr>
          <w:noProof w:val="0"/>
          <w:lang w:val="en-US"/>
        </w:rPr>
        <w:t>of the Merits</w:t>
      </w:r>
      <w:r w:rsidR="006E502B" w:rsidRPr="00610904">
        <w:rPr>
          <w:noProof w:val="0"/>
          <w:lang w:val="en-US"/>
        </w:rPr>
        <w:t xml:space="preserve"> Report</w:t>
      </w:r>
      <w:r w:rsidRPr="00610904">
        <w:rPr>
          <w:noProof w:val="0"/>
          <w:lang w:val="en-US"/>
        </w:rPr>
        <w:t xml:space="preserve"> </w:t>
      </w:r>
      <w:r w:rsidR="00A8072E" w:rsidRPr="00610904">
        <w:rPr>
          <w:noProof w:val="0"/>
          <w:lang w:val="en-US"/>
        </w:rPr>
        <w:t>of April 14,</w:t>
      </w:r>
      <w:r w:rsidRPr="00610904">
        <w:rPr>
          <w:noProof w:val="0"/>
          <w:lang w:val="en-US"/>
        </w:rPr>
        <w:t xml:space="preserve"> 2014, </w:t>
      </w:r>
      <w:r w:rsidR="009F3D78" w:rsidRPr="00610904">
        <w:rPr>
          <w:noProof w:val="0"/>
          <w:lang w:val="en-US"/>
        </w:rPr>
        <w:t>the Court</w:t>
      </w:r>
      <w:r w:rsidRPr="00610904">
        <w:rPr>
          <w:noProof w:val="0"/>
          <w:lang w:val="en-US"/>
        </w:rPr>
        <w:t xml:space="preserve"> </w:t>
      </w:r>
      <w:r w:rsidR="00830022" w:rsidRPr="00610904">
        <w:rPr>
          <w:noProof w:val="0"/>
          <w:lang w:val="en-US"/>
        </w:rPr>
        <w:t xml:space="preserve">notes that it was issued after the case had been submitted to </w:t>
      </w:r>
      <w:r w:rsidR="00A8072E" w:rsidRPr="00610904">
        <w:rPr>
          <w:noProof w:val="0"/>
          <w:lang w:val="en-US"/>
        </w:rPr>
        <w:t>this Court</w:t>
      </w:r>
      <w:r w:rsidRPr="00610904">
        <w:rPr>
          <w:noProof w:val="0"/>
          <w:lang w:val="en-US"/>
        </w:rPr>
        <w:t xml:space="preserve">. </w:t>
      </w:r>
      <w:r w:rsidR="00830022" w:rsidRPr="00610904">
        <w:rPr>
          <w:noProof w:val="0"/>
          <w:lang w:val="en-US"/>
        </w:rPr>
        <w:t>Therefore, this document is admitted under</w:t>
      </w:r>
      <w:r w:rsidRPr="00610904">
        <w:rPr>
          <w:noProof w:val="0"/>
          <w:lang w:val="en-US"/>
        </w:rPr>
        <w:t xml:space="preserve"> </w:t>
      </w:r>
      <w:r w:rsidR="009F3D78" w:rsidRPr="00610904">
        <w:rPr>
          <w:noProof w:val="0"/>
          <w:lang w:val="en-US"/>
        </w:rPr>
        <w:t>Article</w:t>
      </w:r>
      <w:r w:rsidR="00830022" w:rsidRPr="00610904">
        <w:rPr>
          <w:noProof w:val="0"/>
          <w:lang w:val="en-US"/>
        </w:rPr>
        <w:t xml:space="preserve"> 57(</w:t>
      </w:r>
      <w:r w:rsidRPr="00610904">
        <w:rPr>
          <w:noProof w:val="0"/>
          <w:lang w:val="en-US"/>
        </w:rPr>
        <w:t>2</w:t>
      </w:r>
      <w:r w:rsidR="00830022" w:rsidRPr="00610904">
        <w:rPr>
          <w:noProof w:val="0"/>
          <w:lang w:val="en-US"/>
        </w:rPr>
        <w:t>)</w:t>
      </w:r>
      <w:r w:rsidR="009F3D78" w:rsidRPr="00610904">
        <w:rPr>
          <w:noProof w:val="0"/>
          <w:lang w:val="en-US"/>
        </w:rPr>
        <w:t xml:space="preserve"> of the Rules of Procedure and </w:t>
      </w:r>
      <w:r w:rsidR="00830022" w:rsidRPr="00610904">
        <w:rPr>
          <w:noProof w:val="0"/>
          <w:lang w:val="en-US"/>
        </w:rPr>
        <w:t>taking into account its usefulness to decide some aspects of this case</w:t>
      </w:r>
      <w:r w:rsidRPr="00610904">
        <w:rPr>
          <w:noProof w:val="0"/>
          <w:lang w:val="en-US"/>
        </w:rPr>
        <w:t>.</w:t>
      </w:r>
    </w:p>
    <w:p w:rsidR="00022F5E" w:rsidRPr="00610904" w:rsidRDefault="00022F5E" w:rsidP="00610904">
      <w:pPr>
        <w:rPr>
          <w:noProof w:val="0"/>
          <w:lang w:val="en-US"/>
        </w:rPr>
      </w:pPr>
    </w:p>
    <w:p w:rsidR="00022F5E" w:rsidRPr="00610904" w:rsidRDefault="00830022" w:rsidP="00610904">
      <w:pPr>
        <w:numPr>
          <w:ilvl w:val="0"/>
          <w:numId w:val="1"/>
        </w:numPr>
        <w:rPr>
          <w:noProof w:val="0"/>
          <w:lang w:val="en-US"/>
        </w:rPr>
      </w:pPr>
      <w:r w:rsidRPr="00610904">
        <w:rPr>
          <w:noProof w:val="0"/>
          <w:lang w:val="en-US"/>
        </w:rPr>
        <w:t xml:space="preserve">In addition, </w:t>
      </w:r>
      <w:r w:rsidR="009F3D78" w:rsidRPr="00610904">
        <w:rPr>
          <w:noProof w:val="0"/>
          <w:lang w:val="en-US"/>
        </w:rPr>
        <w:t>the State and the representatives</w:t>
      </w:r>
      <w:r w:rsidR="00022F5E" w:rsidRPr="00610904">
        <w:rPr>
          <w:noProof w:val="0"/>
          <w:lang w:val="en-US"/>
        </w:rPr>
        <w:t xml:space="preserve"> present</w:t>
      </w:r>
      <w:r w:rsidRPr="00610904">
        <w:rPr>
          <w:noProof w:val="0"/>
          <w:lang w:val="en-US"/>
        </w:rPr>
        <w:t xml:space="preserve">ed certain documentation as annexes to their </w:t>
      </w:r>
      <w:r w:rsidR="00A8072E" w:rsidRPr="00610904">
        <w:rPr>
          <w:noProof w:val="0"/>
          <w:lang w:val="en-US"/>
        </w:rPr>
        <w:t>final written arguments</w:t>
      </w:r>
      <w:r w:rsidR="00022F5E" w:rsidRPr="00610904">
        <w:rPr>
          <w:noProof w:val="0"/>
          <w:lang w:val="en-US"/>
        </w:rPr>
        <w:t xml:space="preserve">. </w:t>
      </w:r>
      <w:r w:rsidR="00430B22" w:rsidRPr="00610904">
        <w:rPr>
          <w:noProof w:val="0"/>
          <w:lang w:val="en-US"/>
        </w:rPr>
        <w:t>Some of these annexes relate to</w:t>
      </w:r>
      <w:r w:rsidRPr="00610904">
        <w:rPr>
          <w:noProof w:val="0"/>
          <w:lang w:val="en-US"/>
        </w:rPr>
        <w:t xml:space="preserve"> answers to questions posed by the </w:t>
      </w:r>
      <w:r w:rsidR="009F3D78" w:rsidRPr="00610904">
        <w:rPr>
          <w:noProof w:val="0"/>
          <w:lang w:val="en-US"/>
        </w:rPr>
        <w:t>judges</w:t>
      </w:r>
      <w:r w:rsidRPr="00610904">
        <w:rPr>
          <w:noProof w:val="0"/>
          <w:lang w:val="en-US"/>
        </w:rPr>
        <w:t xml:space="preserve"> during </w:t>
      </w:r>
      <w:r w:rsidR="00AD687D" w:rsidRPr="00610904">
        <w:rPr>
          <w:noProof w:val="0"/>
          <w:lang w:val="en-US"/>
        </w:rPr>
        <w:t>the public hearing</w:t>
      </w:r>
      <w:r w:rsidR="00022F5E" w:rsidRPr="00610904">
        <w:rPr>
          <w:noProof w:val="0"/>
          <w:lang w:val="en-US"/>
        </w:rPr>
        <w:t xml:space="preserve">. </w:t>
      </w:r>
      <w:r w:rsidRPr="00610904">
        <w:rPr>
          <w:noProof w:val="0"/>
          <w:lang w:val="en-US"/>
        </w:rPr>
        <w:t>The parties</w:t>
      </w:r>
      <w:r w:rsidR="009F3D78" w:rsidRPr="00610904">
        <w:rPr>
          <w:noProof w:val="0"/>
          <w:lang w:val="en-US"/>
        </w:rPr>
        <w:t xml:space="preserve"> and </w:t>
      </w:r>
      <w:r w:rsidR="002F5BBA" w:rsidRPr="00610904">
        <w:rPr>
          <w:noProof w:val="0"/>
          <w:lang w:val="en-US"/>
        </w:rPr>
        <w:t>the Commission</w:t>
      </w:r>
      <w:r w:rsidR="00022F5E" w:rsidRPr="00610904">
        <w:rPr>
          <w:noProof w:val="0"/>
          <w:lang w:val="en-US"/>
        </w:rPr>
        <w:t xml:space="preserve"> </w:t>
      </w:r>
      <w:r w:rsidRPr="00610904">
        <w:rPr>
          <w:noProof w:val="0"/>
          <w:lang w:val="en-US"/>
        </w:rPr>
        <w:t xml:space="preserve">were able to present their comments on this information and documentation. Pursuant to </w:t>
      </w:r>
      <w:r w:rsidR="009F3D78" w:rsidRPr="00610904">
        <w:rPr>
          <w:noProof w:val="0"/>
          <w:lang w:val="en-US"/>
        </w:rPr>
        <w:t>Article</w:t>
      </w:r>
      <w:r w:rsidRPr="00610904">
        <w:rPr>
          <w:noProof w:val="0"/>
          <w:lang w:val="en-US"/>
        </w:rPr>
        <w:t xml:space="preserve"> 58(</w:t>
      </w:r>
      <w:r w:rsidR="00022F5E" w:rsidRPr="00610904">
        <w:rPr>
          <w:noProof w:val="0"/>
          <w:lang w:val="en-US"/>
        </w:rPr>
        <w:t>a</w:t>
      </w:r>
      <w:r w:rsidRPr="00610904">
        <w:rPr>
          <w:noProof w:val="0"/>
          <w:lang w:val="en-US"/>
        </w:rPr>
        <w:t>) of the Rules of Procedure</w:t>
      </w:r>
      <w:r w:rsidR="00022F5E" w:rsidRPr="00610904">
        <w:rPr>
          <w:noProof w:val="0"/>
          <w:lang w:val="en-US"/>
        </w:rPr>
        <w:t xml:space="preserve">, </w:t>
      </w:r>
      <w:r w:rsidR="009F3D78" w:rsidRPr="00610904">
        <w:rPr>
          <w:noProof w:val="0"/>
          <w:lang w:val="en-US"/>
        </w:rPr>
        <w:t>the Court</w:t>
      </w:r>
      <w:r w:rsidR="00022F5E" w:rsidRPr="00610904">
        <w:rPr>
          <w:noProof w:val="0"/>
          <w:lang w:val="en-US"/>
        </w:rPr>
        <w:t xml:space="preserve"> </w:t>
      </w:r>
      <w:r w:rsidRPr="00610904">
        <w:rPr>
          <w:noProof w:val="0"/>
          <w:lang w:val="en-US"/>
        </w:rPr>
        <w:t>finds it in order to admit the documents provide by the parties together with their final written arguments, insofar as they may be useful to decide this case.</w:t>
      </w:r>
    </w:p>
    <w:p w:rsidR="00022F5E" w:rsidRPr="00610904" w:rsidRDefault="00022F5E" w:rsidP="00610904">
      <w:pPr>
        <w:rPr>
          <w:noProof w:val="0"/>
          <w:lang w:val="en-US"/>
        </w:rPr>
      </w:pPr>
    </w:p>
    <w:p w:rsidR="00830022" w:rsidRPr="00610904" w:rsidRDefault="00830022" w:rsidP="00610904">
      <w:pPr>
        <w:numPr>
          <w:ilvl w:val="0"/>
          <w:numId w:val="1"/>
        </w:numPr>
        <w:rPr>
          <w:noProof w:val="0"/>
          <w:lang w:val="en-US"/>
        </w:rPr>
      </w:pPr>
      <w:r w:rsidRPr="00610904">
        <w:rPr>
          <w:noProof w:val="0"/>
          <w:lang w:val="en-US"/>
        </w:rPr>
        <w:t xml:space="preserve">In their comments on the final arguments, </w:t>
      </w:r>
      <w:r w:rsidR="009F3D78" w:rsidRPr="00610904">
        <w:rPr>
          <w:noProof w:val="0"/>
          <w:lang w:val="en-US"/>
        </w:rPr>
        <w:t>the representatives</w:t>
      </w:r>
      <w:r w:rsidR="00022F5E" w:rsidRPr="00610904">
        <w:rPr>
          <w:noProof w:val="0"/>
          <w:lang w:val="en-US"/>
        </w:rPr>
        <w:t xml:space="preserve"> </w:t>
      </w:r>
      <w:r w:rsidRPr="00610904">
        <w:rPr>
          <w:noProof w:val="0"/>
          <w:lang w:val="en-US"/>
        </w:rPr>
        <w:t xml:space="preserve">included certain </w:t>
      </w:r>
      <w:r w:rsidR="00795F5F" w:rsidRPr="00610904">
        <w:rPr>
          <w:noProof w:val="0"/>
          <w:lang w:val="en-US"/>
        </w:rPr>
        <w:t>observations</w:t>
      </w:r>
      <w:r w:rsidRPr="00610904">
        <w:rPr>
          <w:noProof w:val="0"/>
          <w:lang w:val="en-US"/>
        </w:rPr>
        <w:t xml:space="preserve"> on the evidence provided by the State. They argued that the evidence </w:t>
      </w:r>
      <w:r w:rsidR="00856968" w:rsidRPr="00610904">
        <w:rPr>
          <w:noProof w:val="0"/>
          <w:lang w:val="en-US"/>
        </w:rPr>
        <w:t>presented</w:t>
      </w:r>
      <w:r w:rsidRPr="00610904">
        <w:rPr>
          <w:noProof w:val="0"/>
          <w:lang w:val="en-US"/>
        </w:rPr>
        <w:t xml:space="preserve"> on the “[i]nternational accreditation of th</w:t>
      </w:r>
      <w:r w:rsidR="00430B22" w:rsidRPr="00610904">
        <w:rPr>
          <w:noProof w:val="0"/>
          <w:lang w:val="en-US"/>
        </w:rPr>
        <w:t>e Cuenca and Azogues hospitals,</w:t>
      </w:r>
      <w:r w:rsidRPr="00610904">
        <w:rPr>
          <w:noProof w:val="0"/>
          <w:lang w:val="en-US"/>
        </w:rPr>
        <w:t xml:space="preserve"> Ecuador, May 2015,” was time-barred, and did not answer any question posed by the Court. Also, they indicated that it was neither opportune nor pertinent, and should therefore be rejected. Furthermore, they asked that the Court reject the evidence corresponding t</w:t>
      </w:r>
      <w:r w:rsidR="00430B22" w:rsidRPr="00610904">
        <w:rPr>
          <w:noProof w:val="0"/>
          <w:lang w:val="en-US"/>
        </w:rPr>
        <w:t>o the “</w:t>
      </w:r>
      <w:r w:rsidRPr="00610904">
        <w:rPr>
          <w:noProof w:val="0"/>
          <w:lang w:val="en-US"/>
        </w:rPr>
        <w:t xml:space="preserve">[n]ational hospital network, Ministry of Public Health,” the “2013-2014 priorities for health research,” the “[p]ublic health network convention,” “[d]ecision 3557, June 14, 2013, bioethics, creation CNBS” and the “2008-2013 annual budgets,” because they </w:t>
      </w:r>
      <w:r w:rsidR="00430B22" w:rsidRPr="00610904">
        <w:rPr>
          <w:noProof w:val="0"/>
          <w:lang w:val="en-US"/>
        </w:rPr>
        <w:t>were time-barred</w:t>
      </w:r>
      <w:r w:rsidRPr="00610904">
        <w:rPr>
          <w:noProof w:val="0"/>
          <w:lang w:val="en-US"/>
        </w:rPr>
        <w:t xml:space="preserve"> and wer</w:t>
      </w:r>
      <w:r w:rsidR="00430B22" w:rsidRPr="00610904">
        <w:rPr>
          <w:noProof w:val="0"/>
          <w:lang w:val="en-US"/>
        </w:rPr>
        <w:t>e ir</w:t>
      </w:r>
      <w:r w:rsidRPr="00610904">
        <w:rPr>
          <w:noProof w:val="0"/>
          <w:lang w:val="en-US"/>
        </w:rPr>
        <w:t xml:space="preserve">relevant to the case. Meanwhile, the State presented some </w:t>
      </w:r>
      <w:r w:rsidR="00430B22" w:rsidRPr="00610904">
        <w:rPr>
          <w:noProof w:val="0"/>
          <w:lang w:val="en-US"/>
        </w:rPr>
        <w:t>observations</w:t>
      </w:r>
      <w:r w:rsidRPr="00610904">
        <w:rPr>
          <w:noProof w:val="0"/>
          <w:lang w:val="en-US"/>
        </w:rPr>
        <w:t xml:space="preserve"> on the comments made by the representatives on the evidence provided together with its final written arguments, and considered that they had “present[ed] new arguments that contain new assertions.” Consequently, the State asked the Court not to take into account the document presented by the representatives on June 1, 2015.</w:t>
      </w:r>
    </w:p>
    <w:p w:rsidR="00022F5E" w:rsidRPr="00610904" w:rsidRDefault="00022F5E" w:rsidP="00610904">
      <w:pPr>
        <w:rPr>
          <w:noProof w:val="0"/>
          <w:lang w:val="en-US"/>
        </w:rPr>
      </w:pPr>
    </w:p>
    <w:p w:rsidR="00022F5E" w:rsidRPr="00610904" w:rsidRDefault="00830022" w:rsidP="00610904">
      <w:pPr>
        <w:numPr>
          <w:ilvl w:val="0"/>
          <w:numId w:val="1"/>
        </w:numPr>
        <w:rPr>
          <w:noProof w:val="0"/>
          <w:lang w:val="en-US"/>
        </w:rPr>
      </w:pPr>
      <w:r w:rsidRPr="00610904">
        <w:rPr>
          <w:noProof w:val="0"/>
          <w:lang w:val="en-US"/>
        </w:rPr>
        <w:t xml:space="preserve">In this regard, the Court notes that the documents corresponding to the international accreditation of the </w:t>
      </w:r>
      <w:r w:rsidR="00022F5E" w:rsidRPr="00610904">
        <w:rPr>
          <w:noProof w:val="0"/>
          <w:lang w:val="en-US"/>
        </w:rPr>
        <w:t>Cuenca</w:t>
      </w:r>
      <w:r w:rsidR="009F3D78" w:rsidRPr="00610904">
        <w:rPr>
          <w:noProof w:val="0"/>
          <w:lang w:val="en-US"/>
        </w:rPr>
        <w:t xml:space="preserve"> and </w:t>
      </w:r>
      <w:r w:rsidR="00022F5E" w:rsidRPr="00610904">
        <w:rPr>
          <w:noProof w:val="0"/>
          <w:lang w:val="en-US"/>
        </w:rPr>
        <w:t>Azogues</w:t>
      </w:r>
      <w:r w:rsidRPr="00610904">
        <w:rPr>
          <w:noProof w:val="0"/>
          <w:lang w:val="en-US"/>
        </w:rPr>
        <w:t xml:space="preserve"> hospitals</w:t>
      </w:r>
      <w:r w:rsidR="00022F5E" w:rsidRPr="00610904">
        <w:rPr>
          <w:noProof w:val="0"/>
          <w:lang w:val="en-US"/>
        </w:rPr>
        <w:t>, a</w:t>
      </w:r>
      <w:r w:rsidRPr="00610904">
        <w:rPr>
          <w:noProof w:val="0"/>
          <w:lang w:val="en-US"/>
        </w:rPr>
        <w:t xml:space="preserve">nd the Public Health Network Convention are dated after the presentation of the State’s </w:t>
      </w:r>
      <w:r w:rsidR="00A8072E" w:rsidRPr="00610904">
        <w:rPr>
          <w:noProof w:val="0"/>
          <w:lang w:val="en-US"/>
        </w:rPr>
        <w:t>answering brief</w:t>
      </w:r>
      <w:r w:rsidRPr="00610904">
        <w:rPr>
          <w:noProof w:val="0"/>
          <w:lang w:val="en-US"/>
        </w:rPr>
        <w:t xml:space="preserve">; it therefore finds it in order to admit them under </w:t>
      </w:r>
      <w:r w:rsidR="00A8072E" w:rsidRPr="00610904">
        <w:rPr>
          <w:noProof w:val="0"/>
          <w:lang w:val="en-US"/>
        </w:rPr>
        <w:t>Article</w:t>
      </w:r>
      <w:r w:rsidR="00022F5E" w:rsidRPr="00610904">
        <w:rPr>
          <w:noProof w:val="0"/>
          <w:lang w:val="en-US"/>
        </w:rPr>
        <w:t xml:space="preserve"> </w:t>
      </w:r>
      <w:r w:rsidRPr="00610904">
        <w:rPr>
          <w:noProof w:val="0"/>
          <w:lang w:val="en-US"/>
        </w:rPr>
        <w:t>57(2) of the Rules of Procedure</w:t>
      </w:r>
      <w:r w:rsidR="00022F5E" w:rsidRPr="00610904">
        <w:rPr>
          <w:noProof w:val="0"/>
          <w:lang w:val="en-US"/>
        </w:rPr>
        <w:t xml:space="preserve">. </w:t>
      </w:r>
      <w:r w:rsidRPr="00610904">
        <w:rPr>
          <w:noProof w:val="0"/>
          <w:lang w:val="en-US"/>
        </w:rPr>
        <w:t>However, regarding the documents concerning: (</w:t>
      </w:r>
      <w:r w:rsidR="00022F5E" w:rsidRPr="00610904">
        <w:rPr>
          <w:noProof w:val="0"/>
          <w:lang w:val="en-US"/>
        </w:rPr>
        <w:t xml:space="preserve">i) </w:t>
      </w:r>
      <w:r w:rsidRPr="00610904">
        <w:rPr>
          <w:noProof w:val="0"/>
          <w:lang w:val="en-US"/>
        </w:rPr>
        <w:t xml:space="preserve">the national hospital network; (ii) the 2013-2014 health research priorities; (iii) decision 3557-14, and (iv) the 2008-2013 annual budgets, the Court observes that the State presented them without providing any justification for forwarding them after the answering brief and they are not directly related to the questions posed by the Court to help it decide this case. Consequently, </w:t>
      </w:r>
      <w:r w:rsidR="00430B22" w:rsidRPr="00610904">
        <w:rPr>
          <w:noProof w:val="0"/>
          <w:lang w:val="en-US"/>
        </w:rPr>
        <w:t>based on</w:t>
      </w:r>
      <w:r w:rsidRPr="00610904">
        <w:rPr>
          <w:noProof w:val="0"/>
          <w:lang w:val="en-US"/>
        </w:rPr>
        <w:t xml:space="preserve"> the provisions of </w:t>
      </w:r>
      <w:r w:rsidR="009F3D78" w:rsidRPr="00610904">
        <w:rPr>
          <w:noProof w:val="0"/>
          <w:lang w:val="en-US"/>
        </w:rPr>
        <w:t>Article</w:t>
      </w:r>
      <w:r w:rsidR="00022F5E" w:rsidRPr="00610904">
        <w:rPr>
          <w:noProof w:val="0"/>
          <w:lang w:val="en-US"/>
        </w:rPr>
        <w:t xml:space="preserve"> </w:t>
      </w:r>
      <w:r w:rsidRPr="00610904">
        <w:rPr>
          <w:noProof w:val="0"/>
          <w:lang w:val="en-US"/>
        </w:rPr>
        <w:t>57(2) of the Rules of Procedure</w:t>
      </w:r>
      <w:r w:rsidR="00022F5E" w:rsidRPr="00610904">
        <w:rPr>
          <w:noProof w:val="0"/>
          <w:lang w:val="en-US"/>
        </w:rPr>
        <w:t xml:space="preserve">, </w:t>
      </w:r>
      <w:r w:rsidR="009F3D78" w:rsidRPr="00610904">
        <w:rPr>
          <w:noProof w:val="0"/>
          <w:lang w:val="en-US"/>
        </w:rPr>
        <w:t>the Court</w:t>
      </w:r>
      <w:r w:rsidR="00022F5E" w:rsidRPr="00610904">
        <w:rPr>
          <w:noProof w:val="0"/>
          <w:lang w:val="en-US"/>
        </w:rPr>
        <w:t xml:space="preserve"> </w:t>
      </w:r>
      <w:r w:rsidRPr="00610904">
        <w:rPr>
          <w:noProof w:val="0"/>
          <w:lang w:val="en-US"/>
        </w:rPr>
        <w:t>finds that these documents are time-barred, because the State could have been aware of them before it submitted its answering brief. Therefore, the Court will not consider them in its decision.</w:t>
      </w:r>
    </w:p>
    <w:p w:rsidR="00022F5E" w:rsidRPr="00610904" w:rsidRDefault="00022F5E" w:rsidP="00610904">
      <w:pPr>
        <w:rPr>
          <w:noProof w:val="0"/>
          <w:lang w:val="en-US"/>
        </w:rPr>
      </w:pPr>
    </w:p>
    <w:p w:rsidR="00022F5E" w:rsidRPr="00610904" w:rsidRDefault="00022F5E" w:rsidP="00610904">
      <w:pPr>
        <w:numPr>
          <w:ilvl w:val="0"/>
          <w:numId w:val="1"/>
        </w:numPr>
        <w:rPr>
          <w:noProof w:val="0"/>
          <w:lang w:val="en-US"/>
        </w:rPr>
      </w:pPr>
      <w:r w:rsidRPr="00610904">
        <w:rPr>
          <w:noProof w:val="0"/>
          <w:lang w:val="en-US"/>
        </w:rPr>
        <w:lastRenderedPageBreak/>
        <w:t>Re</w:t>
      </w:r>
      <w:r w:rsidR="00830022" w:rsidRPr="00610904">
        <w:rPr>
          <w:noProof w:val="0"/>
          <w:lang w:val="en-US"/>
        </w:rPr>
        <w:t xml:space="preserve">garding the State’s request that the Court exclude certain </w:t>
      </w:r>
      <w:r w:rsidR="00223622" w:rsidRPr="00610904">
        <w:rPr>
          <w:noProof w:val="0"/>
          <w:lang w:val="en-US"/>
        </w:rPr>
        <w:t>arguments</w:t>
      </w:r>
      <w:r w:rsidR="003309BE" w:rsidRPr="00610904">
        <w:rPr>
          <w:noProof w:val="0"/>
          <w:lang w:val="en-US"/>
        </w:rPr>
        <w:t xml:space="preserve"> of the </w:t>
      </w:r>
      <w:r w:rsidR="009F3D78" w:rsidRPr="00610904">
        <w:rPr>
          <w:noProof w:val="0"/>
          <w:lang w:val="en-US"/>
        </w:rPr>
        <w:t>representatives</w:t>
      </w:r>
      <w:r w:rsidRPr="00610904">
        <w:rPr>
          <w:noProof w:val="0"/>
          <w:lang w:val="en-US"/>
        </w:rPr>
        <w:t xml:space="preserve">, </w:t>
      </w:r>
      <w:r w:rsidR="009F3D78" w:rsidRPr="00610904">
        <w:rPr>
          <w:noProof w:val="0"/>
          <w:lang w:val="en-US"/>
        </w:rPr>
        <w:t>the Court</w:t>
      </w:r>
      <w:r w:rsidRPr="00610904">
        <w:rPr>
          <w:noProof w:val="0"/>
          <w:lang w:val="en-US"/>
        </w:rPr>
        <w:t xml:space="preserve"> </w:t>
      </w:r>
      <w:r w:rsidR="00830022" w:rsidRPr="00610904">
        <w:rPr>
          <w:noProof w:val="0"/>
          <w:lang w:val="en-US"/>
        </w:rPr>
        <w:t>note</w:t>
      </w:r>
      <w:r w:rsidR="00430B22" w:rsidRPr="00610904">
        <w:rPr>
          <w:noProof w:val="0"/>
          <w:lang w:val="en-US"/>
        </w:rPr>
        <w:t>s that, to a great extent, the latter’s</w:t>
      </w:r>
      <w:r w:rsidR="00830022" w:rsidRPr="00610904">
        <w:rPr>
          <w:noProof w:val="0"/>
          <w:lang w:val="en-US"/>
        </w:rPr>
        <w:t xml:space="preserve"> brief contains their comments on the answers to the questions posed by this Court, which referred to most of the existing disputes in this case. Consequently, the Court finds it in order to admit the brief presented by the </w:t>
      </w:r>
      <w:r w:rsidR="009F3D78" w:rsidRPr="00610904">
        <w:rPr>
          <w:noProof w:val="0"/>
          <w:lang w:val="en-US"/>
        </w:rPr>
        <w:t>representatives</w:t>
      </w:r>
      <w:r w:rsidRPr="00610904">
        <w:rPr>
          <w:noProof w:val="0"/>
          <w:lang w:val="en-US"/>
        </w:rPr>
        <w:t xml:space="preserve">. </w:t>
      </w:r>
    </w:p>
    <w:p w:rsidR="00022F5E" w:rsidRPr="00610904" w:rsidRDefault="00022F5E" w:rsidP="00610904">
      <w:pPr>
        <w:rPr>
          <w:noProof w:val="0"/>
          <w:lang w:val="en-US"/>
        </w:rPr>
      </w:pPr>
    </w:p>
    <w:p w:rsidR="00022F5E" w:rsidRPr="00610904" w:rsidRDefault="00022F5E" w:rsidP="00610904">
      <w:pPr>
        <w:pStyle w:val="Heading3"/>
        <w:rPr>
          <w:noProof w:val="0"/>
          <w:lang w:val="en-US"/>
        </w:rPr>
      </w:pPr>
      <w:bookmarkStart w:id="77" w:name="_Toc443399084"/>
      <w:r w:rsidRPr="00610904">
        <w:rPr>
          <w:noProof w:val="0"/>
          <w:lang w:val="en-US"/>
        </w:rPr>
        <w:t xml:space="preserve">B.2) </w:t>
      </w:r>
      <w:r w:rsidR="00A8072E" w:rsidRPr="00610904">
        <w:rPr>
          <w:noProof w:val="0"/>
          <w:lang w:val="en-US"/>
        </w:rPr>
        <w:t>Admission of the testimonial and expert evidence</w:t>
      </w:r>
      <w:bookmarkEnd w:id="77"/>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lang w:val="en-US"/>
        </w:rPr>
        <w:t>The Court</w:t>
      </w:r>
      <w:r w:rsidR="00022F5E" w:rsidRPr="00610904">
        <w:rPr>
          <w:noProof w:val="0"/>
          <w:lang w:val="en-US"/>
        </w:rPr>
        <w:t xml:space="preserve"> </w:t>
      </w:r>
      <w:r w:rsidR="00830022" w:rsidRPr="00610904">
        <w:rPr>
          <w:noProof w:val="0"/>
          <w:lang w:val="en-US"/>
        </w:rPr>
        <w:t xml:space="preserve">finds it pertinent to admit the testimony </w:t>
      </w:r>
      <w:r w:rsidR="003309BE" w:rsidRPr="00610904">
        <w:rPr>
          <w:noProof w:val="0"/>
          <w:lang w:val="en-US"/>
        </w:rPr>
        <w:t xml:space="preserve">of the </w:t>
      </w:r>
      <w:r w:rsidRPr="00610904">
        <w:rPr>
          <w:noProof w:val="0"/>
          <w:lang w:val="en-US"/>
        </w:rPr>
        <w:t>presumed victims</w:t>
      </w:r>
      <w:r w:rsidR="00830022" w:rsidRPr="00610904">
        <w:rPr>
          <w:noProof w:val="0"/>
          <w:lang w:val="en-US"/>
        </w:rPr>
        <w:t xml:space="preserve"> and</w:t>
      </w:r>
      <w:r w:rsidR="00022F5E" w:rsidRPr="00610904">
        <w:rPr>
          <w:noProof w:val="0"/>
          <w:lang w:val="en-US"/>
        </w:rPr>
        <w:t xml:space="preserve"> </w:t>
      </w:r>
      <w:r w:rsidR="00430B22" w:rsidRPr="00610904">
        <w:rPr>
          <w:noProof w:val="0"/>
          <w:lang w:val="en-US"/>
        </w:rPr>
        <w:t>the witnesses, as well as</w:t>
      </w:r>
      <w:r w:rsidR="00830022" w:rsidRPr="00610904">
        <w:rPr>
          <w:noProof w:val="0"/>
          <w:lang w:val="en-US"/>
        </w:rPr>
        <w:t xml:space="preserve"> the expert opinions provided during </w:t>
      </w:r>
      <w:r w:rsidR="00AD687D" w:rsidRPr="00610904">
        <w:rPr>
          <w:noProof w:val="0"/>
          <w:lang w:val="en-US"/>
        </w:rPr>
        <w:t>the public hearing</w:t>
      </w:r>
      <w:r w:rsidRPr="00610904">
        <w:rPr>
          <w:noProof w:val="0"/>
          <w:lang w:val="en-US"/>
        </w:rPr>
        <w:t xml:space="preserve"> and </w:t>
      </w:r>
      <w:r w:rsidR="00830022" w:rsidRPr="00610904">
        <w:rPr>
          <w:noProof w:val="0"/>
          <w:lang w:val="en-US"/>
        </w:rPr>
        <w:t xml:space="preserve">by affidavit, insofar as they are in keeping with the purpose defined by </w:t>
      </w:r>
      <w:r w:rsidR="00795F5F" w:rsidRPr="00610904">
        <w:rPr>
          <w:noProof w:val="0"/>
          <w:lang w:val="en-US"/>
        </w:rPr>
        <w:t>the President</w:t>
      </w:r>
      <w:r w:rsidR="00022F5E" w:rsidRPr="00610904">
        <w:rPr>
          <w:noProof w:val="0"/>
          <w:lang w:val="en-US"/>
        </w:rPr>
        <w:t xml:space="preserve"> </w:t>
      </w:r>
      <w:r w:rsidR="00830022" w:rsidRPr="00610904">
        <w:rPr>
          <w:noProof w:val="0"/>
          <w:lang w:val="en-US"/>
        </w:rPr>
        <w:t xml:space="preserve">in the order requiring them </w:t>
      </w:r>
      <w:r w:rsidR="00022F5E" w:rsidRPr="00610904">
        <w:rPr>
          <w:noProof w:val="0"/>
          <w:lang w:val="en-US"/>
        </w:rPr>
        <w:t>(</w:t>
      </w:r>
      <w:r w:rsidR="00022F5E" w:rsidRPr="00610904">
        <w:rPr>
          <w:i/>
          <w:noProof w:val="0"/>
          <w:lang w:val="en-US"/>
        </w:rPr>
        <w:t xml:space="preserve">supra </w:t>
      </w:r>
      <w:r w:rsidR="006E502B" w:rsidRPr="00610904">
        <w:rPr>
          <w:noProof w:val="0"/>
          <w:lang w:val="en-US"/>
        </w:rPr>
        <w:t>para.</w:t>
      </w:r>
      <w:r w:rsidR="00022F5E" w:rsidRPr="00610904">
        <w:rPr>
          <w:noProof w:val="0"/>
          <w:lang w:val="en-US"/>
        </w:rPr>
        <w:t xml:space="preserve"> </w:t>
      </w:r>
      <w:r w:rsidR="00805AA1" w:rsidRPr="00610904">
        <w:rPr>
          <w:noProof w:val="0"/>
          <w:lang w:val="en-US"/>
        </w:rPr>
        <w:t>10</w:t>
      </w:r>
      <w:r w:rsidR="00022F5E" w:rsidRPr="00610904">
        <w:rPr>
          <w:noProof w:val="0"/>
          <w:lang w:val="en-US"/>
        </w:rPr>
        <w:t>)</w:t>
      </w:r>
      <w:r w:rsidRPr="00610904">
        <w:rPr>
          <w:noProof w:val="0"/>
          <w:lang w:val="en-US"/>
        </w:rPr>
        <w:t xml:space="preserve"> and </w:t>
      </w:r>
      <w:r w:rsidR="00830022" w:rsidRPr="00610904">
        <w:rPr>
          <w:noProof w:val="0"/>
          <w:lang w:val="en-US"/>
        </w:rPr>
        <w:t>the purpose of this case.</w:t>
      </w:r>
      <w:r w:rsidR="00022F5E" w:rsidRPr="00610904">
        <w:rPr>
          <w:noProof w:val="0"/>
          <w:lang w:val="en-US"/>
        </w:rPr>
        <w:t xml:space="preserve"> </w:t>
      </w:r>
    </w:p>
    <w:p w:rsidR="00022F5E" w:rsidRPr="00610904" w:rsidRDefault="00022F5E" w:rsidP="00610904">
      <w:pPr>
        <w:rPr>
          <w:noProof w:val="0"/>
          <w:lang w:val="en-US"/>
        </w:rPr>
      </w:pPr>
    </w:p>
    <w:p w:rsidR="00022F5E" w:rsidRPr="00610904" w:rsidRDefault="00022F5E" w:rsidP="00610904">
      <w:pPr>
        <w:keepNext/>
        <w:ind w:left="567"/>
        <w:outlineLvl w:val="2"/>
        <w:rPr>
          <w:rFonts w:eastAsia="Times New Roman" w:cs="Times New Roman"/>
          <w:bCs/>
          <w:i/>
          <w:noProof w:val="0"/>
          <w:szCs w:val="20"/>
          <w:lang w:val="en-US"/>
        </w:rPr>
      </w:pPr>
      <w:bookmarkStart w:id="78" w:name="_Toc416164803"/>
      <w:bookmarkStart w:id="79" w:name="_Toc443399085"/>
      <w:r w:rsidRPr="00610904">
        <w:rPr>
          <w:rFonts w:eastAsia="Times New Roman" w:cs="Times New Roman"/>
          <w:bCs/>
          <w:i/>
          <w:noProof w:val="0"/>
          <w:szCs w:val="20"/>
          <w:lang w:val="en-US"/>
        </w:rPr>
        <w:t>B.2.1)</w:t>
      </w:r>
      <w:r w:rsidRPr="00610904">
        <w:rPr>
          <w:rFonts w:eastAsia="Times New Roman" w:cs="Times New Roman"/>
          <w:bCs/>
          <w:i/>
          <w:noProof w:val="0"/>
          <w:szCs w:val="20"/>
          <w:lang w:val="en-US"/>
        </w:rPr>
        <w:tab/>
      </w:r>
      <w:bookmarkEnd w:id="78"/>
      <w:r w:rsidR="0056398E" w:rsidRPr="00610904">
        <w:rPr>
          <w:rFonts w:eastAsia="Times New Roman" w:cs="Times New Roman"/>
          <w:bCs/>
          <w:i/>
          <w:noProof w:val="0"/>
          <w:szCs w:val="20"/>
          <w:lang w:val="en-US"/>
        </w:rPr>
        <w:t>Observations on several affidavits presented by the State</w:t>
      </w:r>
      <w:bookmarkEnd w:id="79"/>
      <w:r w:rsidRPr="00610904">
        <w:rPr>
          <w:rFonts w:eastAsia="Times New Roman" w:cs="Times New Roman"/>
          <w:bCs/>
          <w:i/>
          <w:noProof w:val="0"/>
          <w:szCs w:val="20"/>
          <w:lang w:val="en-US"/>
        </w:rPr>
        <w:t xml:space="preserve"> </w:t>
      </w:r>
    </w:p>
    <w:p w:rsidR="00022F5E" w:rsidRPr="00610904" w:rsidRDefault="00022F5E" w:rsidP="00610904">
      <w:pPr>
        <w:rPr>
          <w:noProof w:val="0"/>
          <w:lang w:val="en-US"/>
        </w:rPr>
      </w:pPr>
    </w:p>
    <w:p w:rsidR="00F76E3B" w:rsidRPr="00610904" w:rsidRDefault="009F3D78" w:rsidP="00610904">
      <w:pPr>
        <w:numPr>
          <w:ilvl w:val="0"/>
          <w:numId w:val="1"/>
        </w:numPr>
        <w:rPr>
          <w:noProof w:val="0"/>
          <w:lang w:val="en-US"/>
        </w:rPr>
      </w:pPr>
      <w:r w:rsidRPr="00610904">
        <w:rPr>
          <w:noProof w:val="0"/>
          <w:lang w:val="en-US"/>
        </w:rPr>
        <w:t>The State</w:t>
      </w:r>
      <w:r w:rsidR="00022F5E" w:rsidRPr="00610904">
        <w:rPr>
          <w:b/>
          <w:i/>
          <w:noProof w:val="0"/>
          <w:lang w:val="en-US"/>
        </w:rPr>
        <w:t xml:space="preserve"> </w:t>
      </w:r>
      <w:r w:rsidR="00F76E3B" w:rsidRPr="00610904">
        <w:rPr>
          <w:noProof w:val="0"/>
          <w:lang w:val="en-US"/>
        </w:rPr>
        <w:t xml:space="preserve">presented various </w:t>
      </w:r>
      <w:r w:rsidR="00795F5F" w:rsidRPr="00610904">
        <w:rPr>
          <w:noProof w:val="0"/>
          <w:lang w:val="en-US"/>
        </w:rPr>
        <w:t>observations</w:t>
      </w:r>
      <w:r w:rsidR="00022F5E" w:rsidRPr="00610904">
        <w:rPr>
          <w:noProof w:val="0"/>
          <w:lang w:val="en-US"/>
        </w:rPr>
        <w:t xml:space="preserve"> </w:t>
      </w:r>
      <w:r w:rsidR="00A87026" w:rsidRPr="00610904">
        <w:rPr>
          <w:noProof w:val="0"/>
          <w:lang w:val="en-US"/>
        </w:rPr>
        <w:t>on the opinions</w:t>
      </w:r>
      <w:r w:rsidR="00F76E3B" w:rsidRPr="00610904">
        <w:rPr>
          <w:noProof w:val="0"/>
          <w:lang w:val="en-US"/>
        </w:rPr>
        <w:t xml:space="preserve"> provided by </w:t>
      </w:r>
      <w:r w:rsidR="00A8072E" w:rsidRPr="00610904">
        <w:rPr>
          <w:noProof w:val="0"/>
          <w:lang w:val="en-US"/>
        </w:rPr>
        <w:t>the expert witnesses</w:t>
      </w:r>
      <w:r w:rsidR="00022F5E" w:rsidRPr="00610904">
        <w:rPr>
          <w:noProof w:val="0"/>
          <w:lang w:val="en-US"/>
        </w:rPr>
        <w:t xml:space="preserve"> </w:t>
      </w:r>
      <w:r w:rsidR="00A8072E" w:rsidRPr="00610904">
        <w:rPr>
          <w:noProof w:val="0"/>
          <w:lang w:val="en-US"/>
        </w:rPr>
        <w:t>proposed by</w:t>
      </w:r>
      <w:r w:rsidR="00022F5E" w:rsidRPr="00610904">
        <w:rPr>
          <w:noProof w:val="0"/>
          <w:lang w:val="en-US"/>
        </w:rPr>
        <w:t xml:space="preserve"> </w:t>
      </w:r>
      <w:r w:rsidR="002F5BBA" w:rsidRPr="00610904">
        <w:rPr>
          <w:noProof w:val="0"/>
          <w:lang w:val="en-US"/>
        </w:rPr>
        <w:t>the Commission</w:t>
      </w:r>
      <w:r w:rsidRPr="00610904">
        <w:rPr>
          <w:noProof w:val="0"/>
          <w:lang w:val="en-US"/>
        </w:rPr>
        <w:t xml:space="preserve"> and the representatives</w:t>
      </w:r>
      <w:r w:rsidR="00022F5E" w:rsidRPr="00610904">
        <w:rPr>
          <w:noProof w:val="0"/>
          <w:lang w:val="en-US"/>
        </w:rPr>
        <w:t xml:space="preserve">. </w:t>
      </w:r>
      <w:r w:rsidR="00F76E3B" w:rsidRPr="00610904">
        <w:rPr>
          <w:noProof w:val="0"/>
          <w:lang w:val="en-US"/>
        </w:rPr>
        <w:t xml:space="preserve">Regarding the expert opinion of </w:t>
      </w:r>
      <w:r w:rsidR="00022F5E" w:rsidRPr="00610904">
        <w:rPr>
          <w:noProof w:val="0"/>
          <w:lang w:val="en-US"/>
        </w:rPr>
        <w:t xml:space="preserve">Paul Hunt, </w:t>
      </w:r>
      <w:r w:rsidR="00F76E3B" w:rsidRPr="00610904">
        <w:rPr>
          <w:noProof w:val="0"/>
          <w:lang w:val="en-US"/>
        </w:rPr>
        <w:t>it asserted that he failed to refer to</w:t>
      </w:r>
      <w:r w:rsidR="00A87026" w:rsidRPr="00610904">
        <w:rPr>
          <w:noProof w:val="0"/>
          <w:lang w:val="en-US"/>
        </w:rPr>
        <w:t xml:space="preserve"> the</w:t>
      </w:r>
      <w:r w:rsidR="00F76E3B" w:rsidRPr="00610904">
        <w:rPr>
          <w:noProof w:val="0"/>
          <w:lang w:val="en-US"/>
        </w:rPr>
        <w:t xml:space="preserve"> level of legislative and public policy development </w:t>
      </w:r>
      <w:r w:rsidR="00A87026" w:rsidRPr="00610904">
        <w:rPr>
          <w:noProof w:val="0"/>
          <w:lang w:val="en-US"/>
        </w:rPr>
        <w:t>that</w:t>
      </w:r>
      <w:r w:rsidR="00F76E3B" w:rsidRPr="00610904">
        <w:rPr>
          <w:noProof w:val="0"/>
          <w:lang w:val="en-US"/>
        </w:rPr>
        <w:t xml:space="preserve"> Ecuador </w:t>
      </w:r>
      <w:r w:rsidR="00A87026" w:rsidRPr="00610904">
        <w:rPr>
          <w:noProof w:val="0"/>
          <w:lang w:val="en-US"/>
        </w:rPr>
        <w:t xml:space="preserve">had achieved </w:t>
      </w:r>
      <w:r w:rsidR="00F76E3B" w:rsidRPr="00610904">
        <w:rPr>
          <w:noProof w:val="0"/>
          <w:lang w:val="en-US"/>
        </w:rPr>
        <w:t>with r</w:t>
      </w:r>
      <w:r w:rsidR="00A87026" w:rsidRPr="00610904">
        <w:rPr>
          <w:noProof w:val="0"/>
          <w:lang w:val="en-US"/>
        </w:rPr>
        <w:t>egard to the right to health</w:t>
      </w:r>
      <w:r w:rsidR="00F76E3B" w:rsidRPr="00610904">
        <w:rPr>
          <w:noProof w:val="0"/>
          <w:lang w:val="en-US"/>
        </w:rPr>
        <w:t>, especially, for persons with catastrophic illnesses. Regarding</w:t>
      </w:r>
      <w:r w:rsidR="00A87026" w:rsidRPr="00610904">
        <w:rPr>
          <w:noProof w:val="0"/>
          <w:lang w:val="en-US"/>
        </w:rPr>
        <w:t xml:space="preserve"> the opinion of</w:t>
      </w:r>
      <w:r w:rsidR="00F76E3B" w:rsidRPr="00610904">
        <w:rPr>
          <w:noProof w:val="0"/>
          <w:lang w:val="en-US"/>
        </w:rPr>
        <w:t xml:space="preserve"> </w:t>
      </w:r>
      <w:r w:rsidR="00A8072E" w:rsidRPr="00610904">
        <w:rPr>
          <w:noProof w:val="0"/>
          <w:lang w:val="en-US"/>
        </w:rPr>
        <w:t>expert witness</w:t>
      </w:r>
      <w:r w:rsidR="00022F5E" w:rsidRPr="00610904">
        <w:rPr>
          <w:noProof w:val="0"/>
          <w:lang w:val="en-US"/>
        </w:rPr>
        <w:t xml:space="preserve"> Alejandro Morlachetti, </w:t>
      </w:r>
      <w:r w:rsidR="00F76E3B" w:rsidRPr="00610904">
        <w:rPr>
          <w:noProof w:val="0"/>
          <w:lang w:val="en-US"/>
        </w:rPr>
        <w:t xml:space="preserve">it pointed out that he “appeared to be unaware of Ecuador’s experience in the area of public policy with regard to […] health” and had </w:t>
      </w:r>
      <w:r w:rsidR="00A87026" w:rsidRPr="00610904">
        <w:rPr>
          <w:noProof w:val="0"/>
          <w:lang w:val="en-US"/>
        </w:rPr>
        <w:t xml:space="preserve">only </w:t>
      </w:r>
      <w:r w:rsidR="00F76E3B" w:rsidRPr="00610904">
        <w:rPr>
          <w:noProof w:val="0"/>
          <w:lang w:val="en-US"/>
        </w:rPr>
        <w:t xml:space="preserve">referred </w:t>
      </w:r>
      <w:r w:rsidR="00A87026" w:rsidRPr="00610904">
        <w:rPr>
          <w:noProof w:val="0"/>
          <w:lang w:val="en-US"/>
        </w:rPr>
        <w:t>obliquely</w:t>
      </w:r>
      <w:r w:rsidR="00F76E3B" w:rsidRPr="00610904">
        <w:rPr>
          <w:noProof w:val="0"/>
          <w:lang w:val="en-US"/>
        </w:rPr>
        <w:t xml:space="preserve"> to Ecuador’s Multi-sectoral Strategic Plan. In addition, it argued that the expert </w:t>
      </w:r>
      <w:r w:rsidR="00A87026" w:rsidRPr="00610904">
        <w:rPr>
          <w:noProof w:val="0"/>
          <w:lang w:val="en-US"/>
        </w:rPr>
        <w:t xml:space="preserve">witness had </w:t>
      </w:r>
      <w:r w:rsidR="00F76E3B" w:rsidRPr="00610904">
        <w:rPr>
          <w:noProof w:val="0"/>
          <w:lang w:val="en-US"/>
        </w:rPr>
        <w:t>refus</w:t>
      </w:r>
      <w:r w:rsidR="00A87026" w:rsidRPr="00610904">
        <w:rPr>
          <w:noProof w:val="0"/>
          <w:lang w:val="en-US"/>
        </w:rPr>
        <w:t>ed to refer to the inclusion</w:t>
      </w:r>
      <w:r w:rsidR="00F76E3B" w:rsidRPr="00610904">
        <w:rPr>
          <w:noProof w:val="0"/>
          <w:lang w:val="en-US"/>
        </w:rPr>
        <w:t xml:space="preserve"> and safeguard of the recognition of children and adolescents under the legal category of protection of the citizenry. In the case of </w:t>
      </w:r>
      <w:r w:rsidR="00022F5E" w:rsidRPr="00610904">
        <w:rPr>
          <w:noProof w:val="0"/>
          <w:lang w:val="en-US"/>
        </w:rPr>
        <w:t xml:space="preserve">Farith Simon, </w:t>
      </w:r>
      <w:r w:rsidRPr="00610904">
        <w:rPr>
          <w:noProof w:val="0"/>
          <w:lang w:val="en-US"/>
        </w:rPr>
        <w:t>the State</w:t>
      </w:r>
      <w:r w:rsidR="00022F5E" w:rsidRPr="00610904">
        <w:rPr>
          <w:noProof w:val="0"/>
          <w:lang w:val="en-US"/>
        </w:rPr>
        <w:t xml:space="preserve"> </w:t>
      </w:r>
      <w:r w:rsidR="00F76E3B" w:rsidRPr="00610904">
        <w:rPr>
          <w:noProof w:val="0"/>
          <w:lang w:val="en-US"/>
        </w:rPr>
        <w:t xml:space="preserve">indicated that his </w:t>
      </w:r>
      <w:r w:rsidR="00A87026" w:rsidRPr="00610904">
        <w:rPr>
          <w:noProof w:val="0"/>
          <w:lang w:val="en-US"/>
        </w:rPr>
        <w:t>opinion</w:t>
      </w:r>
      <w:r w:rsidR="00F76E3B" w:rsidRPr="00610904">
        <w:rPr>
          <w:noProof w:val="0"/>
          <w:lang w:val="en-US"/>
        </w:rPr>
        <w:t xml:space="preserve"> included a reference to the </w:t>
      </w:r>
      <w:r w:rsidR="00A8072E" w:rsidRPr="00610904">
        <w:rPr>
          <w:noProof w:val="0"/>
          <w:lang w:val="en-US"/>
        </w:rPr>
        <w:t>Committee on the Rights of the Child</w:t>
      </w:r>
      <w:r w:rsidR="00F76E3B" w:rsidRPr="00610904">
        <w:rPr>
          <w:noProof w:val="0"/>
          <w:lang w:val="en-US"/>
        </w:rPr>
        <w:t xml:space="preserve"> i</w:t>
      </w:r>
      <w:r w:rsidR="00022F5E" w:rsidRPr="00610904">
        <w:rPr>
          <w:noProof w:val="0"/>
          <w:lang w:val="en-US"/>
        </w:rPr>
        <w:t>n 2010 “</w:t>
      </w:r>
      <w:r w:rsidR="00F76E3B" w:rsidRPr="00610904">
        <w:rPr>
          <w:noProof w:val="0"/>
          <w:lang w:val="en-US"/>
        </w:rPr>
        <w:t xml:space="preserve">that was nothing to do with the purpose of the expert opinion and should be rejected as it exceeded the mandate given by </w:t>
      </w:r>
      <w:r w:rsidRPr="00610904">
        <w:rPr>
          <w:noProof w:val="0"/>
          <w:lang w:val="en-US"/>
        </w:rPr>
        <w:t>the Court</w:t>
      </w:r>
      <w:r w:rsidR="00A87026" w:rsidRPr="00610904">
        <w:rPr>
          <w:noProof w:val="0"/>
          <w:lang w:val="en-US"/>
        </w:rPr>
        <w:t>,” because the</w:t>
      </w:r>
      <w:r w:rsidR="00F76E3B" w:rsidRPr="00610904">
        <w:rPr>
          <w:noProof w:val="0"/>
          <w:lang w:val="en-US"/>
        </w:rPr>
        <w:t xml:space="preserve"> reference </w:t>
      </w:r>
      <w:r w:rsidR="00A87026" w:rsidRPr="00610904">
        <w:rPr>
          <w:noProof w:val="0"/>
          <w:lang w:val="en-US"/>
        </w:rPr>
        <w:t>was the result of</w:t>
      </w:r>
      <w:r w:rsidR="00F76E3B" w:rsidRPr="00610904">
        <w:rPr>
          <w:noProof w:val="0"/>
          <w:lang w:val="en-US"/>
        </w:rPr>
        <w:t xml:space="preserve"> a context that did not correspond to the purpose of the expert opinion. With regard to the expert opinion of </w:t>
      </w:r>
      <w:r w:rsidR="008E687B" w:rsidRPr="00610904">
        <w:rPr>
          <w:noProof w:val="0"/>
          <w:lang w:val="en-US"/>
        </w:rPr>
        <w:t>María Fernanda Soli</w:t>
      </w:r>
      <w:r w:rsidR="00856968" w:rsidRPr="00610904">
        <w:rPr>
          <w:noProof w:val="0"/>
          <w:lang w:val="en-US"/>
        </w:rPr>
        <w:t>s</w:t>
      </w:r>
      <w:r w:rsidR="00F76E3B" w:rsidRPr="00610904">
        <w:rPr>
          <w:noProof w:val="0"/>
          <w:lang w:val="en-US"/>
        </w:rPr>
        <w:t>,</w:t>
      </w:r>
      <w:r w:rsidR="00022F5E" w:rsidRPr="00610904">
        <w:rPr>
          <w:noProof w:val="0"/>
          <w:lang w:val="en-US"/>
        </w:rPr>
        <w:t xml:space="preserve"> </w:t>
      </w:r>
      <w:r w:rsidRPr="00610904">
        <w:rPr>
          <w:noProof w:val="0"/>
          <w:lang w:val="en-US"/>
        </w:rPr>
        <w:t>the State</w:t>
      </w:r>
      <w:r w:rsidR="00022F5E" w:rsidRPr="00610904">
        <w:rPr>
          <w:noProof w:val="0"/>
          <w:lang w:val="en-US"/>
        </w:rPr>
        <w:t xml:space="preserve"> re</w:t>
      </w:r>
      <w:r w:rsidR="00F76E3B" w:rsidRPr="00610904">
        <w:rPr>
          <w:noProof w:val="0"/>
          <w:lang w:val="en-US"/>
        </w:rPr>
        <w:t xml:space="preserve">jected the fact that it included value judgments on the situation of persons with HIV, </w:t>
      </w:r>
      <w:r w:rsidR="00A87026" w:rsidRPr="00610904">
        <w:rPr>
          <w:noProof w:val="0"/>
          <w:lang w:val="en-US"/>
        </w:rPr>
        <w:t>and also her</w:t>
      </w:r>
      <w:r w:rsidR="00F76E3B" w:rsidRPr="00610904">
        <w:rPr>
          <w:noProof w:val="0"/>
          <w:lang w:val="en-US"/>
        </w:rPr>
        <w:t xml:space="preserve"> affirmation that “the </w:t>
      </w:r>
      <w:r w:rsidR="00A87026" w:rsidRPr="00610904">
        <w:rPr>
          <w:noProof w:val="0"/>
          <w:lang w:val="en-US"/>
        </w:rPr>
        <w:t xml:space="preserve">fact that the </w:t>
      </w:r>
      <w:r w:rsidR="00F76E3B" w:rsidRPr="00610904">
        <w:rPr>
          <w:noProof w:val="0"/>
          <w:lang w:val="en-US"/>
        </w:rPr>
        <w:t xml:space="preserve">State has </w:t>
      </w:r>
      <w:r w:rsidR="00A87026" w:rsidRPr="00610904">
        <w:rPr>
          <w:noProof w:val="0"/>
          <w:lang w:val="en-US"/>
        </w:rPr>
        <w:t>used commercial criteria to administer</w:t>
      </w:r>
      <w:r w:rsidR="00F76E3B" w:rsidRPr="00610904">
        <w:rPr>
          <w:noProof w:val="0"/>
          <w:lang w:val="en-US"/>
        </w:rPr>
        <w:t xml:space="preserve"> the management of the blood banks </w:t>
      </w:r>
      <w:r w:rsidR="00A87026" w:rsidRPr="00610904">
        <w:rPr>
          <w:noProof w:val="0"/>
          <w:lang w:val="en-US"/>
        </w:rPr>
        <w:t>deserves condemnation</w:t>
      </w:r>
      <w:r w:rsidR="00F76E3B" w:rsidRPr="00610904">
        <w:rPr>
          <w:noProof w:val="0"/>
          <w:lang w:val="en-US"/>
        </w:rPr>
        <w:t xml:space="preserve">.”  </w:t>
      </w:r>
    </w:p>
    <w:p w:rsidR="00022F5E" w:rsidRPr="00610904" w:rsidRDefault="00022F5E" w:rsidP="00610904">
      <w:pPr>
        <w:rPr>
          <w:noProof w:val="0"/>
          <w:lang w:val="en-US"/>
        </w:rPr>
      </w:pPr>
    </w:p>
    <w:p w:rsidR="00022F5E" w:rsidRPr="00610904" w:rsidRDefault="00022F5E" w:rsidP="00610904">
      <w:pPr>
        <w:numPr>
          <w:ilvl w:val="0"/>
          <w:numId w:val="1"/>
        </w:numPr>
        <w:rPr>
          <w:noProof w:val="0"/>
          <w:lang w:val="en-US"/>
        </w:rPr>
      </w:pPr>
      <w:r w:rsidRPr="00610904">
        <w:rPr>
          <w:noProof w:val="0"/>
          <w:lang w:val="en-US"/>
        </w:rPr>
        <w:t xml:space="preserve"> </w:t>
      </w:r>
      <w:r w:rsidR="00A8072E" w:rsidRPr="00610904">
        <w:rPr>
          <w:noProof w:val="0"/>
          <w:lang w:val="en-US"/>
        </w:rPr>
        <w:t>In the case of</w:t>
      </w:r>
      <w:r w:rsidRPr="00610904">
        <w:rPr>
          <w:noProof w:val="0"/>
          <w:lang w:val="en-US"/>
        </w:rPr>
        <w:t xml:space="preserve"> Diana Murcia</w:t>
      </w:r>
      <w:r w:rsidR="00A8072E" w:rsidRPr="00610904">
        <w:rPr>
          <w:noProof w:val="0"/>
          <w:lang w:val="en-US"/>
        </w:rPr>
        <w:t>,</w:t>
      </w:r>
      <w:r w:rsidRPr="00610904">
        <w:rPr>
          <w:noProof w:val="0"/>
          <w:lang w:val="en-US"/>
        </w:rPr>
        <w:t xml:space="preserve"> </w:t>
      </w:r>
      <w:r w:rsidR="009F3D78" w:rsidRPr="00610904">
        <w:rPr>
          <w:noProof w:val="0"/>
          <w:lang w:val="en-US"/>
        </w:rPr>
        <w:t>the State</w:t>
      </w:r>
      <w:r w:rsidRPr="00610904">
        <w:rPr>
          <w:noProof w:val="0"/>
          <w:lang w:val="en-US"/>
        </w:rPr>
        <w:t xml:space="preserve"> </w:t>
      </w:r>
      <w:r w:rsidR="00F76E3B" w:rsidRPr="00610904">
        <w:rPr>
          <w:noProof w:val="0"/>
          <w:lang w:val="en-US"/>
        </w:rPr>
        <w:t>asserted th</w:t>
      </w:r>
      <w:r w:rsidR="00A87026" w:rsidRPr="00610904">
        <w:rPr>
          <w:noProof w:val="0"/>
          <w:lang w:val="en-US"/>
        </w:rPr>
        <w:t>at “she used political and medi</w:t>
      </w:r>
      <w:r w:rsidR="0051351F">
        <w:rPr>
          <w:noProof w:val="0"/>
          <w:lang w:val="en-US"/>
        </w:rPr>
        <w:t>a-related</w:t>
      </w:r>
      <w:r w:rsidR="00F76E3B" w:rsidRPr="00610904">
        <w:rPr>
          <w:noProof w:val="0"/>
          <w:lang w:val="en-US"/>
        </w:rPr>
        <w:t xml:space="preserve"> criteria, instead of technical and legal criteria” to defend a thesis that “was biased and removed from reality.” Regarding Claudia Storini, it indicated that part of the opinion deviated from its main purpose, by referring to two specific proceedings that were unrelated to the case. With regard to the expert opinion of Marcelo Pazmiño, the State argued that the sample taken to analyze compensation for non-pecuniary damage was “insignificant” and “revealed a position that did not respect the criteria of objectivity and neutrality,” exceeding the purpose of the expert </w:t>
      </w:r>
      <w:r w:rsidR="00A87026" w:rsidRPr="00610904">
        <w:rPr>
          <w:noProof w:val="0"/>
          <w:lang w:val="en-US"/>
        </w:rPr>
        <w:t>appraisal</w:t>
      </w:r>
      <w:r w:rsidR="00F76E3B" w:rsidRPr="00610904">
        <w:rPr>
          <w:noProof w:val="0"/>
          <w:lang w:val="en-US"/>
        </w:rPr>
        <w:t>. In the case of the expert opinion of Daniela Sa</w:t>
      </w:r>
      <w:r w:rsidR="00A87026" w:rsidRPr="00610904">
        <w:rPr>
          <w:noProof w:val="0"/>
          <w:lang w:val="en-US"/>
        </w:rPr>
        <w:t>lazar, the State’s objection was that this</w:t>
      </w:r>
      <w:r w:rsidR="00F76E3B" w:rsidRPr="00610904">
        <w:rPr>
          <w:noProof w:val="0"/>
          <w:lang w:val="en-US"/>
        </w:rPr>
        <w:t xml:space="preserve"> tried to expand the application framework and mandatory nature of some international human rights documents; it also affirmed that the content of the </w:t>
      </w:r>
      <w:r w:rsidR="00A87026" w:rsidRPr="00610904">
        <w:rPr>
          <w:noProof w:val="0"/>
          <w:lang w:val="en-US"/>
        </w:rPr>
        <w:t>opinion,</w:t>
      </w:r>
      <w:r w:rsidR="00F76E3B" w:rsidRPr="00610904">
        <w:rPr>
          <w:noProof w:val="0"/>
          <w:lang w:val="en-US"/>
        </w:rPr>
        <w:t xml:space="preserve"> “starting at </w:t>
      </w:r>
      <w:r w:rsidR="00A8072E" w:rsidRPr="00610904">
        <w:rPr>
          <w:noProof w:val="0"/>
          <w:lang w:val="en-US"/>
        </w:rPr>
        <w:t>paragraph</w:t>
      </w:r>
      <w:r w:rsidRPr="00610904">
        <w:rPr>
          <w:noProof w:val="0"/>
          <w:lang w:val="en-US"/>
        </w:rPr>
        <w:t xml:space="preserve"> 28, v</w:t>
      </w:r>
      <w:r w:rsidR="00F76E3B" w:rsidRPr="00610904">
        <w:rPr>
          <w:noProof w:val="0"/>
          <w:lang w:val="en-US"/>
        </w:rPr>
        <w:t>iolates the exercise of the role of an expert witness, by infringing […] the obligation of neutrality” and by determining the presumed obligations with which the State allegedly failed to comply. Consequently, it contested the entire document.</w:t>
      </w:r>
    </w:p>
    <w:p w:rsidR="00022F5E" w:rsidRPr="00610904" w:rsidRDefault="00022F5E" w:rsidP="00610904">
      <w:pPr>
        <w:rPr>
          <w:noProof w:val="0"/>
          <w:lang w:val="en-US"/>
        </w:rPr>
      </w:pPr>
    </w:p>
    <w:p w:rsidR="00022F5E" w:rsidRPr="00610904" w:rsidRDefault="00F76E3B" w:rsidP="00610904">
      <w:pPr>
        <w:numPr>
          <w:ilvl w:val="0"/>
          <w:numId w:val="1"/>
        </w:numPr>
        <w:rPr>
          <w:noProof w:val="0"/>
          <w:lang w:val="en-US"/>
        </w:rPr>
      </w:pPr>
      <w:r w:rsidRPr="00610904">
        <w:rPr>
          <w:noProof w:val="0"/>
          <w:lang w:val="en-US"/>
        </w:rPr>
        <w:t xml:space="preserve">Regarding the State’s </w:t>
      </w:r>
      <w:r w:rsidR="00795F5F" w:rsidRPr="00610904">
        <w:rPr>
          <w:noProof w:val="0"/>
          <w:lang w:val="en-US"/>
        </w:rPr>
        <w:t>observations</w:t>
      </w:r>
      <w:r w:rsidR="00022F5E" w:rsidRPr="00610904">
        <w:rPr>
          <w:noProof w:val="0"/>
          <w:lang w:val="en-US"/>
        </w:rPr>
        <w:t xml:space="preserve">, </w:t>
      </w:r>
      <w:r w:rsidRPr="00610904">
        <w:rPr>
          <w:noProof w:val="0"/>
          <w:lang w:val="en-US"/>
        </w:rPr>
        <w:t>the</w:t>
      </w:r>
      <w:r w:rsidR="00A8072E" w:rsidRPr="00610904">
        <w:rPr>
          <w:noProof w:val="0"/>
          <w:lang w:val="en-US"/>
        </w:rPr>
        <w:t xml:space="preserve"> Court</w:t>
      </w:r>
      <w:r w:rsidR="00022F5E" w:rsidRPr="00610904">
        <w:rPr>
          <w:noProof w:val="0"/>
          <w:lang w:val="en-US"/>
        </w:rPr>
        <w:t xml:space="preserve"> consider</w:t>
      </w:r>
      <w:r w:rsidRPr="00610904">
        <w:rPr>
          <w:noProof w:val="0"/>
          <w:lang w:val="en-US"/>
        </w:rPr>
        <w:t xml:space="preserve">s that they relate to the probative value and implications of the </w:t>
      </w:r>
      <w:r w:rsidR="00A87026" w:rsidRPr="00610904">
        <w:rPr>
          <w:noProof w:val="0"/>
          <w:lang w:val="en-US"/>
        </w:rPr>
        <w:t>opinions provided</w:t>
      </w:r>
      <w:r w:rsidRPr="00610904">
        <w:rPr>
          <w:noProof w:val="0"/>
          <w:lang w:val="en-US"/>
        </w:rPr>
        <w:t xml:space="preserve">, but do not affect their </w:t>
      </w:r>
      <w:r w:rsidRPr="00610904">
        <w:rPr>
          <w:noProof w:val="0"/>
          <w:lang w:val="en-US"/>
        </w:rPr>
        <w:lastRenderedPageBreak/>
        <w:t>admissibility</w:t>
      </w:r>
      <w:r w:rsidR="00A87026" w:rsidRPr="00610904">
        <w:rPr>
          <w:noProof w:val="0"/>
          <w:lang w:val="en-US"/>
        </w:rPr>
        <w:t>.</w:t>
      </w:r>
      <w:r w:rsidR="00022F5E" w:rsidRPr="00610904">
        <w:rPr>
          <w:rStyle w:val="FootnoteReference"/>
          <w:noProof w:val="0"/>
          <w:lang w:val="en-US"/>
        </w:rPr>
        <w:footnoteReference w:id="49"/>
      </w:r>
      <w:r w:rsidR="00A87026" w:rsidRPr="00610904">
        <w:rPr>
          <w:noProof w:val="0"/>
          <w:szCs w:val="20"/>
          <w:lang w:val="en-US"/>
        </w:rPr>
        <w:t xml:space="preserve"> T</w:t>
      </w:r>
      <w:r w:rsidRPr="00610904">
        <w:rPr>
          <w:noProof w:val="0"/>
          <w:szCs w:val="20"/>
          <w:lang w:val="en-US"/>
        </w:rPr>
        <w:t xml:space="preserve">herefore, the Court will take these observations into account when assessing the </w:t>
      </w:r>
      <w:r w:rsidR="00856968" w:rsidRPr="00610904">
        <w:rPr>
          <w:noProof w:val="0"/>
          <w:szCs w:val="20"/>
          <w:lang w:val="en-US"/>
        </w:rPr>
        <w:t>evidence in</w:t>
      </w:r>
      <w:r w:rsidRPr="00610904">
        <w:rPr>
          <w:noProof w:val="0"/>
          <w:szCs w:val="20"/>
          <w:lang w:val="en-US"/>
        </w:rPr>
        <w:t xml:space="preserve"> the context of examining the merits of this case.</w:t>
      </w:r>
      <w:r w:rsidR="00022F5E" w:rsidRPr="00610904">
        <w:rPr>
          <w:rStyle w:val="FootnoteReference"/>
          <w:noProof w:val="0"/>
          <w:lang w:val="en-US"/>
        </w:rPr>
        <w:footnoteReference w:id="50"/>
      </w:r>
    </w:p>
    <w:p w:rsidR="00022F5E" w:rsidRPr="00610904" w:rsidRDefault="00022F5E" w:rsidP="00610904">
      <w:pPr>
        <w:rPr>
          <w:noProof w:val="0"/>
          <w:lang w:val="en-US"/>
        </w:rPr>
      </w:pPr>
    </w:p>
    <w:p w:rsidR="00022F5E" w:rsidRPr="00610904" w:rsidRDefault="00A8072E" w:rsidP="00610904">
      <w:pPr>
        <w:pStyle w:val="Heading2"/>
        <w:numPr>
          <w:ilvl w:val="0"/>
          <w:numId w:val="7"/>
        </w:numPr>
        <w:spacing w:before="0" w:after="0"/>
        <w:ind w:left="709"/>
        <w:rPr>
          <w:noProof w:val="0"/>
          <w:lang w:val="en-US"/>
        </w:rPr>
      </w:pPr>
      <w:bookmarkStart w:id="80" w:name="_Toc443399086"/>
      <w:r w:rsidRPr="00610904">
        <w:rPr>
          <w:noProof w:val="0"/>
          <w:lang w:val="en-US"/>
        </w:rPr>
        <w:t>Assessment of the evidence</w:t>
      </w:r>
      <w:bookmarkEnd w:id="80"/>
    </w:p>
    <w:p w:rsidR="00022F5E" w:rsidRPr="00610904" w:rsidRDefault="00022F5E" w:rsidP="00610904">
      <w:pPr>
        <w:rPr>
          <w:noProof w:val="0"/>
          <w:lang w:val="en-US"/>
        </w:rPr>
      </w:pPr>
    </w:p>
    <w:p w:rsidR="00022F5E" w:rsidRPr="00610904" w:rsidRDefault="00F76E3B" w:rsidP="00610904">
      <w:pPr>
        <w:numPr>
          <w:ilvl w:val="0"/>
          <w:numId w:val="1"/>
        </w:numPr>
        <w:rPr>
          <w:noProof w:val="0"/>
          <w:lang w:val="en-US"/>
        </w:rPr>
      </w:pPr>
      <w:r w:rsidRPr="00610904">
        <w:rPr>
          <w:noProof w:val="0"/>
          <w:lang w:val="en-US"/>
        </w:rPr>
        <w:t xml:space="preserve">Based on the provisions of </w:t>
      </w:r>
      <w:r w:rsidR="009F3D78" w:rsidRPr="00610904">
        <w:rPr>
          <w:noProof w:val="0"/>
          <w:lang w:val="en-US"/>
        </w:rPr>
        <w:t>Articles</w:t>
      </w:r>
      <w:r w:rsidR="00022F5E" w:rsidRPr="00610904">
        <w:rPr>
          <w:noProof w:val="0"/>
          <w:lang w:val="en-US"/>
        </w:rPr>
        <w:t xml:space="preserve"> 46, 47, 48, 50, 51, 57</w:t>
      </w:r>
      <w:r w:rsidR="009F3D78" w:rsidRPr="00610904">
        <w:rPr>
          <w:noProof w:val="0"/>
          <w:lang w:val="en-US"/>
        </w:rPr>
        <w:t xml:space="preserve"> and </w:t>
      </w:r>
      <w:r w:rsidR="00022F5E" w:rsidRPr="00610904">
        <w:rPr>
          <w:noProof w:val="0"/>
          <w:lang w:val="en-US"/>
        </w:rPr>
        <w:t>58</w:t>
      </w:r>
      <w:r w:rsidR="00A87026" w:rsidRPr="00610904">
        <w:rPr>
          <w:noProof w:val="0"/>
          <w:lang w:val="en-US"/>
        </w:rPr>
        <w:t xml:space="preserve"> of the Rules of Procedure</w:t>
      </w:r>
      <w:r w:rsidR="00022F5E" w:rsidRPr="00610904">
        <w:rPr>
          <w:noProof w:val="0"/>
          <w:lang w:val="en-US"/>
        </w:rPr>
        <w:t>, a</w:t>
      </w:r>
      <w:r w:rsidRPr="00610904">
        <w:rPr>
          <w:noProof w:val="0"/>
          <w:lang w:val="en-US"/>
        </w:rPr>
        <w:t>nd also on its con</w:t>
      </w:r>
      <w:r w:rsidR="00A87026" w:rsidRPr="00610904">
        <w:rPr>
          <w:noProof w:val="0"/>
          <w:lang w:val="en-US"/>
        </w:rPr>
        <w:t xml:space="preserve">sistent case law concerning </w:t>
      </w:r>
      <w:r w:rsidRPr="00610904">
        <w:rPr>
          <w:noProof w:val="0"/>
          <w:lang w:val="en-US"/>
        </w:rPr>
        <w:t>evidence and its assessment,</w:t>
      </w:r>
      <w:r w:rsidR="00022F5E" w:rsidRPr="00610904">
        <w:rPr>
          <w:rStyle w:val="FootnoteReference"/>
          <w:noProof w:val="0"/>
          <w:lang w:val="en-US"/>
        </w:rPr>
        <w:footnoteReference w:id="51"/>
      </w:r>
      <w:r w:rsidR="00022F5E" w:rsidRPr="00610904">
        <w:rPr>
          <w:noProof w:val="0"/>
          <w:lang w:val="en-US"/>
        </w:rPr>
        <w:t xml:space="preserve"> </w:t>
      </w:r>
      <w:r w:rsidR="009F3D78" w:rsidRPr="00610904">
        <w:rPr>
          <w:noProof w:val="0"/>
          <w:lang w:val="en-US"/>
        </w:rPr>
        <w:t>the Court</w:t>
      </w:r>
      <w:r w:rsidR="00022F5E" w:rsidRPr="00610904">
        <w:rPr>
          <w:noProof w:val="0"/>
          <w:lang w:val="en-US"/>
        </w:rPr>
        <w:t xml:space="preserve"> </w:t>
      </w:r>
      <w:r w:rsidRPr="00610904">
        <w:rPr>
          <w:noProof w:val="0"/>
          <w:lang w:val="en-US"/>
        </w:rPr>
        <w:t xml:space="preserve">will examine and assess the documentary probative elements forwarded by the parties </w:t>
      </w:r>
      <w:r w:rsidR="009F3D78" w:rsidRPr="00610904">
        <w:rPr>
          <w:noProof w:val="0"/>
          <w:lang w:val="en-US"/>
        </w:rPr>
        <w:t xml:space="preserve">and </w:t>
      </w:r>
      <w:r w:rsidR="002F5BBA" w:rsidRPr="00610904">
        <w:rPr>
          <w:noProof w:val="0"/>
          <w:lang w:val="en-US"/>
        </w:rPr>
        <w:t>the Commission</w:t>
      </w:r>
      <w:r w:rsidR="00022F5E" w:rsidRPr="00610904">
        <w:rPr>
          <w:noProof w:val="0"/>
          <w:lang w:val="en-US"/>
        </w:rPr>
        <w:t xml:space="preserve">, </w:t>
      </w:r>
      <w:r w:rsidR="00A87026" w:rsidRPr="00610904">
        <w:rPr>
          <w:noProof w:val="0"/>
          <w:lang w:val="en-US"/>
        </w:rPr>
        <w:t>as well as the statements, testimony</w:t>
      </w:r>
      <w:r w:rsidRPr="00610904">
        <w:rPr>
          <w:noProof w:val="0"/>
          <w:lang w:val="en-US"/>
        </w:rPr>
        <w:t xml:space="preserve"> and expert opinions, </w:t>
      </w:r>
      <w:r w:rsidR="00A87026" w:rsidRPr="00610904">
        <w:rPr>
          <w:noProof w:val="0"/>
          <w:lang w:val="en-US"/>
        </w:rPr>
        <w:t>and</w:t>
      </w:r>
      <w:r w:rsidRPr="00610904">
        <w:rPr>
          <w:noProof w:val="0"/>
          <w:lang w:val="en-US"/>
        </w:rPr>
        <w:t xml:space="preserve"> the helpful evidence requested and incorporated by </w:t>
      </w:r>
      <w:r w:rsidR="00A8072E" w:rsidRPr="00610904">
        <w:rPr>
          <w:noProof w:val="0"/>
          <w:lang w:val="en-US"/>
        </w:rPr>
        <w:t>this Court</w:t>
      </w:r>
      <w:r w:rsidR="00A87026" w:rsidRPr="00610904">
        <w:rPr>
          <w:noProof w:val="0"/>
          <w:lang w:val="en-US"/>
        </w:rPr>
        <w:t>,</w:t>
      </w:r>
      <w:r w:rsidR="00022F5E" w:rsidRPr="00610904">
        <w:rPr>
          <w:noProof w:val="0"/>
          <w:lang w:val="en-US"/>
        </w:rPr>
        <w:t xml:space="preserve"> </w:t>
      </w:r>
      <w:r w:rsidRPr="00610904">
        <w:rPr>
          <w:noProof w:val="0"/>
          <w:lang w:val="en-US"/>
        </w:rPr>
        <w:t>when determining the facts of the case and ruling on the merits. To this end, it will abide by the principles of sound judicial discretion, within the corresponding legal framework, taking into account the entire body of evidence and the arguments submitted in this case.</w:t>
      </w:r>
      <w:r w:rsidR="00022F5E" w:rsidRPr="00610904">
        <w:rPr>
          <w:rStyle w:val="FootnoteReference"/>
          <w:noProof w:val="0"/>
          <w:lang w:val="en-US"/>
        </w:rPr>
        <w:footnoteReference w:id="52"/>
      </w:r>
      <w:r w:rsidRPr="00610904">
        <w:rPr>
          <w:noProof w:val="0"/>
          <w:lang w:val="en-US"/>
        </w:rPr>
        <w:t xml:space="preserve"> </w:t>
      </w:r>
      <w:r w:rsidR="00A87026" w:rsidRPr="00610904">
        <w:rPr>
          <w:noProof w:val="0"/>
          <w:lang w:val="en-US"/>
        </w:rPr>
        <w:t>However</w:t>
      </w:r>
      <w:r w:rsidRPr="00610904">
        <w:rPr>
          <w:noProof w:val="0"/>
          <w:lang w:val="en-US"/>
        </w:rPr>
        <w:t xml:space="preserve">, pursuant to the Court’s case law, the statements made by </w:t>
      </w:r>
      <w:r w:rsidR="009F3D78" w:rsidRPr="00610904">
        <w:rPr>
          <w:noProof w:val="0"/>
          <w:lang w:val="en-US"/>
        </w:rPr>
        <w:t>the presumed victims</w:t>
      </w:r>
      <w:r w:rsidRPr="00610904">
        <w:rPr>
          <w:noProof w:val="0"/>
          <w:lang w:val="en-US"/>
        </w:rPr>
        <w:t xml:space="preserve"> cannot be assessed in isolation, but rather within all the evidence in the proceedings, insofar as they may provide further information on the presumed violations and their consequences.</w:t>
      </w:r>
      <w:r w:rsidR="00022F5E" w:rsidRPr="00610904">
        <w:rPr>
          <w:rStyle w:val="FootnoteReference"/>
          <w:noProof w:val="0"/>
          <w:lang w:val="en-US"/>
        </w:rPr>
        <w:footnoteReference w:id="53"/>
      </w:r>
    </w:p>
    <w:p w:rsidR="00022F5E" w:rsidRPr="00610904" w:rsidRDefault="00022F5E" w:rsidP="00610904">
      <w:pPr>
        <w:rPr>
          <w:noProof w:val="0"/>
          <w:lang w:val="en-US"/>
        </w:rPr>
      </w:pPr>
    </w:p>
    <w:p w:rsidR="00022F5E" w:rsidRPr="00610904" w:rsidRDefault="00022F5E" w:rsidP="00610904">
      <w:pPr>
        <w:pStyle w:val="Heading1"/>
        <w:spacing w:before="0" w:after="0"/>
        <w:rPr>
          <w:noProof w:val="0"/>
          <w:lang w:val="en-US"/>
        </w:rPr>
      </w:pPr>
      <w:bookmarkStart w:id="81" w:name="_Toc443399087"/>
      <w:r w:rsidRPr="00610904">
        <w:rPr>
          <w:caps w:val="0"/>
          <w:noProof w:val="0"/>
          <w:lang w:val="en-US"/>
        </w:rPr>
        <w:t>VIII</w:t>
      </w:r>
      <w:r w:rsidRPr="00610904">
        <w:rPr>
          <w:noProof w:val="0"/>
          <w:lang w:val="en-US"/>
        </w:rPr>
        <w:br/>
      </w:r>
      <w:r w:rsidR="00A8072E" w:rsidRPr="00610904">
        <w:rPr>
          <w:noProof w:val="0"/>
          <w:lang w:val="en-US"/>
        </w:rPr>
        <w:t>FACTS</w:t>
      </w:r>
      <w:bookmarkEnd w:id="81"/>
    </w:p>
    <w:p w:rsidR="00022F5E" w:rsidRPr="00610904" w:rsidRDefault="00022F5E" w:rsidP="00610904">
      <w:pPr>
        <w:rPr>
          <w:rFonts w:cs="Arial"/>
          <w:noProof w:val="0"/>
          <w:szCs w:val="20"/>
          <w:lang w:val="en-US"/>
        </w:rPr>
      </w:pPr>
    </w:p>
    <w:p w:rsidR="00022F5E" w:rsidRPr="00610904" w:rsidRDefault="00F76E3B" w:rsidP="00610904">
      <w:pPr>
        <w:numPr>
          <w:ilvl w:val="0"/>
          <w:numId w:val="1"/>
        </w:numPr>
        <w:rPr>
          <w:noProof w:val="0"/>
          <w:lang w:val="en-US"/>
        </w:rPr>
      </w:pPr>
      <w:r w:rsidRPr="00610904">
        <w:rPr>
          <w:noProof w:val="0"/>
          <w:szCs w:val="20"/>
          <w:lang w:val="en-US"/>
        </w:rPr>
        <w:t xml:space="preserve">This case refers to </w:t>
      </w:r>
      <w:r w:rsidR="00022F5E" w:rsidRPr="00610904">
        <w:rPr>
          <w:noProof w:val="0"/>
          <w:szCs w:val="20"/>
          <w:lang w:val="en-US"/>
        </w:rPr>
        <w:t>Talía Gabriela Gonzales Lluy</w:t>
      </w:r>
      <w:r w:rsidR="009F3D78" w:rsidRPr="00610904">
        <w:rPr>
          <w:noProof w:val="0"/>
          <w:szCs w:val="20"/>
          <w:lang w:val="en-US"/>
        </w:rPr>
        <w:t xml:space="preserve"> and </w:t>
      </w:r>
      <w:r w:rsidRPr="00610904">
        <w:rPr>
          <w:noProof w:val="0"/>
          <w:szCs w:val="20"/>
          <w:lang w:val="en-US"/>
        </w:rPr>
        <w:t>her family.</w:t>
      </w:r>
      <w:r w:rsidR="00022F5E" w:rsidRPr="00610904">
        <w:rPr>
          <w:noProof w:val="0"/>
          <w:szCs w:val="20"/>
          <w:lang w:val="en-US"/>
        </w:rPr>
        <w:t xml:space="preserve"> </w:t>
      </w:r>
      <w:r w:rsidR="00022F5E" w:rsidRPr="00610904">
        <w:rPr>
          <w:rFonts w:cs="Arial"/>
          <w:noProof w:val="0"/>
          <w:szCs w:val="20"/>
          <w:lang w:val="en-US"/>
        </w:rPr>
        <w:t xml:space="preserve">Talía </w:t>
      </w:r>
      <w:r w:rsidRPr="00610904">
        <w:rPr>
          <w:rFonts w:cs="Arial"/>
          <w:noProof w:val="0"/>
          <w:szCs w:val="20"/>
          <w:lang w:val="en-US"/>
        </w:rPr>
        <w:t xml:space="preserve">was born </w:t>
      </w:r>
      <w:r w:rsidR="00A8072E" w:rsidRPr="00610904">
        <w:rPr>
          <w:rFonts w:cs="Arial"/>
          <w:noProof w:val="0"/>
          <w:szCs w:val="20"/>
          <w:lang w:val="en-US"/>
        </w:rPr>
        <w:t>on January 8,</w:t>
      </w:r>
      <w:r w:rsidR="00022F5E" w:rsidRPr="00610904">
        <w:rPr>
          <w:rFonts w:cs="Arial"/>
          <w:noProof w:val="0"/>
          <w:szCs w:val="20"/>
          <w:lang w:val="en-US"/>
        </w:rPr>
        <w:t xml:space="preserve"> 1995</w:t>
      </w:r>
      <w:r w:rsidR="00A8072E" w:rsidRPr="00610904">
        <w:rPr>
          <w:rFonts w:cs="Arial"/>
          <w:noProof w:val="0"/>
          <w:szCs w:val="20"/>
          <w:lang w:val="en-US"/>
        </w:rPr>
        <w:t>,</w:t>
      </w:r>
      <w:r w:rsidR="00022F5E" w:rsidRPr="00610904">
        <w:rPr>
          <w:rFonts w:cs="Arial"/>
          <w:noProof w:val="0"/>
          <w:szCs w:val="20"/>
          <w:lang w:val="en-US"/>
        </w:rPr>
        <w:t xml:space="preserve"> </w:t>
      </w:r>
      <w:r w:rsidRPr="00610904">
        <w:rPr>
          <w:rFonts w:cs="Arial"/>
          <w:noProof w:val="0"/>
          <w:szCs w:val="20"/>
          <w:lang w:val="en-US"/>
        </w:rPr>
        <w:t>in the canton of</w:t>
      </w:r>
      <w:r w:rsidR="00022F5E" w:rsidRPr="00610904">
        <w:rPr>
          <w:rFonts w:cs="Arial"/>
          <w:noProof w:val="0"/>
          <w:szCs w:val="20"/>
          <w:lang w:val="en-US"/>
        </w:rPr>
        <w:t xml:space="preserve"> Cuenca, Azuay</w:t>
      </w:r>
      <w:r w:rsidRPr="00610904">
        <w:rPr>
          <w:rFonts w:cs="Arial"/>
          <w:noProof w:val="0"/>
          <w:szCs w:val="20"/>
          <w:lang w:val="en-US"/>
        </w:rPr>
        <w:t xml:space="preserve"> province</w:t>
      </w:r>
      <w:r w:rsidR="00022F5E" w:rsidRPr="00610904">
        <w:rPr>
          <w:rFonts w:cs="Arial"/>
          <w:noProof w:val="0"/>
          <w:szCs w:val="20"/>
          <w:lang w:val="en-US"/>
        </w:rPr>
        <w:t xml:space="preserve">, Ecuador. </w:t>
      </w:r>
      <w:r w:rsidRPr="00610904">
        <w:rPr>
          <w:rFonts w:cs="Arial"/>
          <w:noProof w:val="0"/>
          <w:szCs w:val="20"/>
          <w:lang w:val="en-US"/>
        </w:rPr>
        <w:t>Her mother is</w:t>
      </w:r>
      <w:r w:rsidR="00022F5E" w:rsidRPr="00610904">
        <w:rPr>
          <w:rFonts w:cs="Arial"/>
          <w:noProof w:val="0"/>
          <w:szCs w:val="20"/>
          <w:lang w:val="en-US"/>
        </w:rPr>
        <w:t xml:space="preserve"> Teresa Lluy, </w:t>
      </w:r>
      <w:r w:rsidRPr="00610904">
        <w:rPr>
          <w:rFonts w:cs="Arial"/>
          <w:noProof w:val="0"/>
          <w:szCs w:val="20"/>
          <w:lang w:val="en-US"/>
        </w:rPr>
        <w:t>her father is</w:t>
      </w:r>
      <w:r w:rsidR="00022F5E" w:rsidRPr="00610904">
        <w:rPr>
          <w:rFonts w:cs="Arial"/>
          <w:noProof w:val="0"/>
          <w:szCs w:val="20"/>
          <w:lang w:val="en-US"/>
        </w:rPr>
        <w:t xml:space="preserve"> SGO</w:t>
      </w:r>
      <w:r w:rsidRPr="00610904">
        <w:rPr>
          <w:rFonts w:cs="Arial"/>
          <w:noProof w:val="0"/>
          <w:szCs w:val="20"/>
          <w:lang w:val="en-US"/>
        </w:rPr>
        <w:t>,</w:t>
      </w:r>
      <w:r w:rsidR="009F3D78" w:rsidRPr="00610904">
        <w:rPr>
          <w:rFonts w:cs="Arial"/>
          <w:noProof w:val="0"/>
          <w:szCs w:val="20"/>
          <w:lang w:val="en-US"/>
        </w:rPr>
        <w:t xml:space="preserve"> and </w:t>
      </w:r>
      <w:r w:rsidRPr="00610904">
        <w:rPr>
          <w:rFonts w:cs="Arial"/>
          <w:noProof w:val="0"/>
          <w:szCs w:val="20"/>
          <w:lang w:val="en-US"/>
        </w:rPr>
        <w:t>her brother is</w:t>
      </w:r>
      <w:r w:rsidR="00022F5E" w:rsidRPr="00610904">
        <w:rPr>
          <w:rFonts w:cs="Arial"/>
          <w:noProof w:val="0"/>
          <w:szCs w:val="20"/>
          <w:lang w:val="en-US"/>
        </w:rPr>
        <w:t xml:space="preserve"> Iván Lluy. N</w:t>
      </w:r>
      <w:r w:rsidRPr="00610904">
        <w:rPr>
          <w:rFonts w:cs="Arial"/>
          <w:noProof w:val="0"/>
          <w:szCs w:val="20"/>
          <w:lang w:val="en-US"/>
        </w:rPr>
        <w:t xml:space="preserve">either her father, her mother </w:t>
      </w:r>
      <w:r w:rsidR="00856968" w:rsidRPr="00610904">
        <w:rPr>
          <w:rFonts w:cs="Arial"/>
          <w:noProof w:val="0"/>
          <w:szCs w:val="20"/>
          <w:lang w:val="en-US"/>
        </w:rPr>
        <w:t>n</w:t>
      </w:r>
      <w:r w:rsidRPr="00610904">
        <w:rPr>
          <w:rFonts w:cs="Arial"/>
          <w:noProof w:val="0"/>
          <w:szCs w:val="20"/>
          <w:lang w:val="en-US"/>
        </w:rPr>
        <w:t xml:space="preserve">or her </w:t>
      </w:r>
      <w:proofErr w:type="gramStart"/>
      <w:r w:rsidRPr="00610904">
        <w:rPr>
          <w:rFonts w:cs="Arial"/>
          <w:noProof w:val="0"/>
          <w:szCs w:val="20"/>
          <w:lang w:val="en-US"/>
        </w:rPr>
        <w:t>brother have</w:t>
      </w:r>
      <w:proofErr w:type="gramEnd"/>
      <w:r w:rsidRPr="00610904">
        <w:rPr>
          <w:rFonts w:cs="Arial"/>
          <w:noProof w:val="0"/>
          <w:szCs w:val="20"/>
          <w:lang w:val="en-US"/>
        </w:rPr>
        <w:t xml:space="preserve"> HIV.</w:t>
      </w:r>
      <w:r w:rsidR="00022F5E" w:rsidRPr="00610904">
        <w:rPr>
          <w:rStyle w:val="FootnoteReference"/>
          <w:noProof w:val="0"/>
          <w:lang w:val="en-US"/>
        </w:rPr>
        <w:footnoteReference w:id="54"/>
      </w:r>
      <w:r w:rsidR="00022F5E" w:rsidRPr="00610904">
        <w:rPr>
          <w:noProof w:val="0"/>
          <w:lang w:val="en-US"/>
        </w:rPr>
        <w:t xml:space="preserve"> </w:t>
      </w:r>
      <w:r w:rsidR="00022F5E" w:rsidRPr="00610904">
        <w:rPr>
          <w:noProof w:val="0"/>
          <w:szCs w:val="20"/>
          <w:lang w:val="en-US"/>
        </w:rPr>
        <w:t xml:space="preserve">Talía </w:t>
      </w:r>
      <w:r w:rsidRPr="00610904">
        <w:rPr>
          <w:noProof w:val="0"/>
          <w:szCs w:val="20"/>
          <w:lang w:val="en-US"/>
        </w:rPr>
        <w:t xml:space="preserve">was born and lives with her mother and her brother in the canton of </w:t>
      </w:r>
      <w:r w:rsidR="00022F5E" w:rsidRPr="00610904">
        <w:rPr>
          <w:rFonts w:cs="Arial"/>
          <w:noProof w:val="0"/>
          <w:szCs w:val="20"/>
          <w:lang w:val="en-US"/>
        </w:rPr>
        <w:t>Cuenca, Azuay</w:t>
      </w:r>
      <w:r w:rsidR="00A87026" w:rsidRPr="00610904">
        <w:rPr>
          <w:rFonts w:cs="Arial"/>
          <w:noProof w:val="0"/>
          <w:szCs w:val="20"/>
          <w:lang w:val="en-US"/>
        </w:rPr>
        <w:t xml:space="preserve"> province, </w:t>
      </w:r>
      <w:r w:rsidR="00A8072E" w:rsidRPr="00610904">
        <w:rPr>
          <w:rFonts w:cs="Arial"/>
          <w:noProof w:val="0"/>
          <w:szCs w:val="20"/>
          <w:lang w:val="en-US"/>
        </w:rPr>
        <w:t>Ecuador</w:t>
      </w:r>
      <w:r w:rsidR="00022F5E" w:rsidRPr="00610904">
        <w:rPr>
          <w:rFonts w:cs="Arial"/>
          <w:noProof w:val="0"/>
          <w:szCs w:val="20"/>
          <w:lang w:val="en-US"/>
        </w:rPr>
        <w:t xml:space="preserve">. </w:t>
      </w:r>
      <w:r w:rsidRPr="00610904">
        <w:rPr>
          <w:rFonts w:cs="Arial"/>
          <w:noProof w:val="0"/>
          <w:szCs w:val="20"/>
          <w:lang w:val="en-US"/>
        </w:rPr>
        <w:t>When she was three years old, she was infected with HIV on receiving a tr</w:t>
      </w:r>
      <w:r w:rsidR="00A87026" w:rsidRPr="00610904">
        <w:rPr>
          <w:rFonts w:cs="Arial"/>
          <w:noProof w:val="0"/>
          <w:szCs w:val="20"/>
          <w:lang w:val="en-US"/>
        </w:rPr>
        <w:t>ansfusion of blo</w:t>
      </w:r>
      <w:r w:rsidRPr="00610904">
        <w:rPr>
          <w:rFonts w:cs="Arial"/>
          <w:noProof w:val="0"/>
          <w:szCs w:val="20"/>
          <w:lang w:val="en-US"/>
        </w:rPr>
        <w:t>od from a Red Cross blood bank in a private health clinic.</w:t>
      </w:r>
    </w:p>
    <w:p w:rsidR="004016D9" w:rsidRPr="00610904" w:rsidRDefault="004016D9" w:rsidP="00610904">
      <w:pPr>
        <w:rPr>
          <w:noProof w:val="0"/>
          <w:lang w:val="en-US"/>
        </w:rPr>
      </w:pPr>
    </w:p>
    <w:p w:rsidR="00022F5E" w:rsidRPr="00610904" w:rsidRDefault="00A8072E" w:rsidP="00610904">
      <w:pPr>
        <w:numPr>
          <w:ilvl w:val="0"/>
          <w:numId w:val="1"/>
        </w:numPr>
        <w:rPr>
          <w:noProof w:val="0"/>
          <w:lang w:val="en-US"/>
        </w:rPr>
      </w:pPr>
      <w:r w:rsidRPr="00610904">
        <w:rPr>
          <w:rFonts w:cs="Helvetica"/>
          <w:noProof w:val="0"/>
          <w:shd w:val="clear" w:color="auto" w:fill="FFFFFF"/>
          <w:lang w:val="en-US"/>
        </w:rPr>
        <w:t>The World Health Organization</w:t>
      </w:r>
      <w:r w:rsidR="00F76E3B" w:rsidRPr="00610904">
        <w:rPr>
          <w:rFonts w:cs="Helvetica"/>
          <w:noProof w:val="0"/>
          <w:shd w:val="clear" w:color="auto" w:fill="FFFFFF"/>
          <w:lang w:val="en-US"/>
        </w:rPr>
        <w:t xml:space="preserve"> </w:t>
      </w:r>
      <w:r w:rsidR="00022F5E" w:rsidRPr="00610904">
        <w:rPr>
          <w:rFonts w:cs="Helvetica"/>
          <w:noProof w:val="0"/>
          <w:shd w:val="clear" w:color="auto" w:fill="FFFFFF"/>
          <w:lang w:val="en-US"/>
        </w:rPr>
        <w:t>(</w:t>
      </w:r>
      <w:r w:rsidR="009F3D78" w:rsidRPr="00610904">
        <w:rPr>
          <w:rFonts w:cs="Helvetica"/>
          <w:noProof w:val="0"/>
          <w:shd w:val="clear" w:color="auto" w:fill="FFFFFF"/>
          <w:lang w:val="en-US"/>
        </w:rPr>
        <w:t>hereinafter</w:t>
      </w:r>
      <w:r w:rsidR="00022F5E" w:rsidRPr="00610904">
        <w:rPr>
          <w:rFonts w:cs="Helvetica"/>
          <w:noProof w:val="0"/>
          <w:shd w:val="clear" w:color="auto" w:fill="FFFFFF"/>
          <w:lang w:val="en-US"/>
        </w:rPr>
        <w:t xml:space="preserve"> “</w:t>
      </w:r>
      <w:r w:rsidRPr="00610904">
        <w:rPr>
          <w:rFonts w:cs="Helvetica"/>
          <w:noProof w:val="0"/>
          <w:shd w:val="clear" w:color="auto" w:fill="FFFFFF"/>
          <w:lang w:val="en-US"/>
        </w:rPr>
        <w:t>the WHO</w:t>
      </w:r>
      <w:r w:rsidR="00022F5E" w:rsidRPr="00610904">
        <w:rPr>
          <w:rFonts w:cs="Helvetica"/>
          <w:noProof w:val="0"/>
          <w:shd w:val="clear" w:color="auto" w:fill="FFFFFF"/>
          <w:lang w:val="en-US"/>
        </w:rPr>
        <w:t>”) ha</w:t>
      </w:r>
      <w:r w:rsidR="00F76E3B" w:rsidRPr="00610904">
        <w:rPr>
          <w:rFonts w:cs="Helvetica"/>
          <w:noProof w:val="0"/>
          <w:shd w:val="clear" w:color="auto" w:fill="FFFFFF"/>
          <w:lang w:val="en-US"/>
        </w:rPr>
        <w:t xml:space="preserve">s stated that “the </w:t>
      </w:r>
      <w:r w:rsidR="00F76E3B" w:rsidRPr="00610904">
        <w:rPr>
          <w:noProof w:val="0"/>
          <w:lang w:val="en-US"/>
        </w:rPr>
        <w:t>human immunodeficiency virus</w:t>
      </w:r>
      <w:r w:rsidR="00F76E3B" w:rsidRPr="00610904">
        <w:rPr>
          <w:rFonts w:cs="Helvetica"/>
          <w:noProof w:val="0"/>
          <w:shd w:val="clear" w:color="auto" w:fill="FFFFFF"/>
          <w:lang w:val="en-US"/>
        </w:rPr>
        <w:t xml:space="preserve"> (HIV)</w:t>
      </w:r>
      <w:r w:rsidR="00316B2C" w:rsidRPr="00610904">
        <w:rPr>
          <w:rFonts w:cs="Helvetica"/>
          <w:noProof w:val="0"/>
          <w:shd w:val="clear" w:color="auto" w:fill="FFFFFF"/>
          <w:lang w:val="en-US"/>
        </w:rPr>
        <w:t xml:space="preserve"> is a retrovirus that</w:t>
      </w:r>
      <w:r w:rsidR="00316B2C" w:rsidRPr="00610904">
        <w:rPr>
          <w:rStyle w:val="apple-converted-space"/>
          <w:noProof w:val="0"/>
          <w:color w:val="333333"/>
          <w:shd w:val="clear" w:color="auto" w:fill="FFFFFF"/>
          <w:lang w:val="en-US"/>
        </w:rPr>
        <w:t> </w:t>
      </w:r>
      <w:r w:rsidR="00316B2C" w:rsidRPr="00610904">
        <w:rPr>
          <w:noProof w:val="0"/>
          <w:color w:val="333333"/>
          <w:szCs w:val="20"/>
          <w:shd w:val="clear" w:color="auto" w:fill="FFFFFF"/>
          <w:lang w:val="en-US"/>
        </w:rPr>
        <w:t xml:space="preserve">infects cells of the immune system, destroying or impairing their function. As the infection progresses, the immune system becomes weaker, and the person becomes more susceptible to infections.” It is considered that “the immune system </w:t>
      </w:r>
      <w:r w:rsidR="00316B2C" w:rsidRPr="00610904">
        <w:rPr>
          <w:noProof w:val="0"/>
          <w:lang w:val="en-US"/>
        </w:rPr>
        <w:t>is considered deficient when it can no longer fulfill its role of fighting off infections and diseases. […] The term AIDS applies to the most advanced stages of HIV infection, defined by the occurrence of any of more than 20 opportunistic infections or HIV-related cancers.</w:t>
      </w:r>
      <w:r w:rsidR="00022F5E" w:rsidRPr="00610904">
        <w:rPr>
          <w:rFonts w:cs="Helvetica"/>
          <w:noProof w:val="0"/>
          <w:shd w:val="clear" w:color="auto" w:fill="FFFFFF"/>
          <w:lang w:val="en-US"/>
        </w:rPr>
        <w:t>”</w:t>
      </w:r>
      <w:r w:rsidR="00022F5E" w:rsidRPr="00610904">
        <w:rPr>
          <w:rStyle w:val="FootnoteReference"/>
          <w:rFonts w:cs="Helvetica"/>
          <w:noProof w:val="0"/>
          <w:shd w:val="clear" w:color="auto" w:fill="FFFFFF"/>
          <w:lang w:val="en-US"/>
        </w:rPr>
        <w:footnoteReference w:id="55"/>
      </w:r>
      <w:r w:rsidR="00022F5E" w:rsidRPr="00610904">
        <w:rPr>
          <w:rFonts w:cs="Helvetica"/>
          <w:noProof w:val="0"/>
          <w:shd w:val="clear" w:color="auto" w:fill="FFFFFF"/>
          <w:lang w:val="en-US"/>
        </w:rPr>
        <w:t xml:space="preserve"> </w:t>
      </w:r>
      <w:r w:rsidRPr="00610904">
        <w:rPr>
          <w:noProof w:val="0"/>
          <w:lang w:val="en-US"/>
        </w:rPr>
        <w:t>The United Nations</w:t>
      </w:r>
      <w:r w:rsidR="00316B2C" w:rsidRPr="00610904">
        <w:rPr>
          <w:noProof w:val="0"/>
          <w:lang w:val="en-US"/>
        </w:rPr>
        <w:t xml:space="preserve"> has recognized that “</w:t>
      </w:r>
      <w:r w:rsidRPr="00610904">
        <w:rPr>
          <w:noProof w:val="0"/>
          <w:lang w:val="en-US"/>
        </w:rPr>
        <w:t>HIV</w:t>
      </w:r>
      <w:r w:rsidR="009F3D78" w:rsidRPr="00610904">
        <w:rPr>
          <w:noProof w:val="0"/>
          <w:lang w:val="en-US"/>
        </w:rPr>
        <w:t xml:space="preserve"> and </w:t>
      </w:r>
      <w:r w:rsidRPr="00610904">
        <w:rPr>
          <w:noProof w:val="0"/>
          <w:lang w:val="en-US"/>
        </w:rPr>
        <w:t>AIDS</w:t>
      </w:r>
      <w:r w:rsidR="00022F5E" w:rsidRPr="00610904">
        <w:rPr>
          <w:noProof w:val="0"/>
          <w:lang w:val="en-US"/>
        </w:rPr>
        <w:t xml:space="preserve"> </w:t>
      </w:r>
      <w:r w:rsidR="00316B2C" w:rsidRPr="00610904">
        <w:rPr>
          <w:noProof w:val="0"/>
          <w:szCs w:val="20"/>
          <w:lang w:val="en-US"/>
        </w:rPr>
        <w:t xml:space="preserve">constitute a global emergency, pose one of the most formidable challenges to the development, progress </w:t>
      </w:r>
      <w:r w:rsidR="00316B2C" w:rsidRPr="00610904">
        <w:rPr>
          <w:noProof w:val="0"/>
          <w:szCs w:val="20"/>
          <w:lang w:val="en-US"/>
        </w:rPr>
        <w:lastRenderedPageBreak/>
        <w:t>and stability of our respective societies and the world at large and require an exceptional and comprehensive global response that takes into account the fact that the spread of HIV is often a consequence and a cause of poverty</w:t>
      </w:r>
      <w:r w:rsidR="00022F5E" w:rsidRPr="00610904">
        <w:rPr>
          <w:noProof w:val="0"/>
          <w:lang w:val="en-US"/>
        </w:rPr>
        <w:t>.”</w:t>
      </w:r>
      <w:r w:rsidR="00022F5E" w:rsidRPr="00610904">
        <w:rPr>
          <w:rStyle w:val="FootnoteReference"/>
          <w:rFonts w:ascii="Times New Roman" w:hAnsi="Times New Roman"/>
          <w:noProof w:val="0"/>
          <w:lang w:val="en-US"/>
        </w:rPr>
        <w:footnoteReference w:id="56"/>
      </w:r>
    </w:p>
    <w:p w:rsidR="00022F5E" w:rsidRPr="00610904" w:rsidRDefault="00022F5E" w:rsidP="00610904">
      <w:pPr>
        <w:rPr>
          <w:noProof w:val="0"/>
          <w:lang w:val="en-US"/>
        </w:rPr>
      </w:pPr>
    </w:p>
    <w:p w:rsidR="00022F5E" w:rsidRPr="00610904" w:rsidRDefault="009F3D78" w:rsidP="00610904">
      <w:pPr>
        <w:numPr>
          <w:ilvl w:val="0"/>
          <w:numId w:val="1"/>
        </w:numPr>
        <w:rPr>
          <w:noProof w:val="0"/>
          <w:lang w:val="en-US"/>
        </w:rPr>
      </w:pPr>
      <w:r w:rsidRPr="00610904">
        <w:rPr>
          <w:noProof w:val="0"/>
          <w:szCs w:val="20"/>
          <w:lang w:val="en-US"/>
        </w:rPr>
        <w:t>The Court</w:t>
      </w:r>
      <w:r w:rsidR="00022F5E" w:rsidRPr="00610904">
        <w:rPr>
          <w:noProof w:val="0"/>
          <w:szCs w:val="20"/>
          <w:lang w:val="en-US"/>
        </w:rPr>
        <w:t xml:space="preserve"> </w:t>
      </w:r>
      <w:r w:rsidR="00316B2C" w:rsidRPr="00610904">
        <w:rPr>
          <w:noProof w:val="0"/>
          <w:szCs w:val="20"/>
          <w:lang w:val="en-US"/>
        </w:rPr>
        <w:t xml:space="preserve">will now </w:t>
      </w:r>
      <w:r w:rsidR="0056398E" w:rsidRPr="00610904">
        <w:rPr>
          <w:noProof w:val="0"/>
          <w:szCs w:val="20"/>
          <w:lang w:val="en-US"/>
        </w:rPr>
        <w:t>describe</w:t>
      </w:r>
      <w:r w:rsidR="00316B2C" w:rsidRPr="00610904">
        <w:rPr>
          <w:noProof w:val="0"/>
          <w:szCs w:val="20"/>
          <w:lang w:val="en-US"/>
        </w:rPr>
        <w:t xml:space="preserve"> the facts that have been proved in the following order</w:t>
      </w:r>
      <w:r w:rsidR="00022F5E" w:rsidRPr="00610904">
        <w:rPr>
          <w:noProof w:val="0"/>
          <w:szCs w:val="20"/>
          <w:lang w:val="en-US"/>
        </w:rPr>
        <w:t xml:space="preserve">: </w:t>
      </w:r>
      <w:r w:rsidR="00A8072E" w:rsidRPr="00610904">
        <w:rPr>
          <w:noProof w:val="0"/>
          <w:szCs w:val="20"/>
          <w:lang w:val="en-US"/>
        </w:rPr>
        <w:t>(</w:t>
      </w:r>
      <w:r w:rsidR="00022F5E" w:rsidRPr="00610904">
        <w:rPr>
          <w:noProof w:val="0"/>
          <w:szCs w:val="20"/>
          <w:lang w:val="en-US"/>
        </w:rPr>
        <w:t xml:space="preserve">A) </w:t>
      </w:r>
      <w:r w:rsidR="00A8072E" w:rsidRPr="00610904">
        <w:rPr>
          <w:noProof w:val="0"/>
          <w:szCs w:val="20"/>
          <w:lang w:val="en-US"/>
        </w:rPr>
        <w:t>regulation of</w:t>
      </w:r>
      <w:r w:rsidR="00AD28F4" w:rsidRPr="00610904">
        <w:rPr>
          <w:noProof w:val="0"/>
          <w:szCs w:val="20"/>
          <w:lang w:val="en-US"/>
        </w:rPr>
        <w:t xml:space="preserve"> </w:t>
      </w:r>
      <w:r w:rsidR="00A8072E" w:rsidRPr="00610904">
        <w:rPr>
          <w:noProof w:val="0"/>
          <w:szCs w:val="20"/>
          <w:lang w:val="en-US"/>
        </w:rPr>
        <w:t>the Red Cross</w:t>
      </w:r>
      <w:r w:rsidRPr="00610904">
        <w:rPr>
          <w:noProof w:val="0"/>
          <w:szCs w:val="20"/>
          <w:lang w:val="en-US"/>
        </w:rPr>
        <w:t xml:space="preserve"> and </w:t>
      </w:r>
      <w:r w:rsidR="00A8072E" w:rsidRPr="00610904">
        <w:rPr>
          <w:noProof w:val="0"/>
          <w:szCs w:val="20"/>
          <w:lang w:val="en-US"/>
        </w:rPr>
        <w:t>the blood banks in Ecuador</w:t>
      </w:r>
      <w:r w:rsidR="00022F5E" w:rsidRPr="00610904">
        <w:rPr>
          <w:noProof w:val="0"/>
          <w:szCs w:val="20"/>
          <w:lang w:val="en-US"/>
        </w:rPr>
        <w:t xml:space="preserve">; </w:t>
      </w:r>
      <w:r w:rsidR="00A8072E" w:rsidRPr="00610904">
        <w:rPr>
          <w:noProof w:val="0"/>
          <w:szCs w:val="20"/>
          <w:lang w:val="en-US"/>
        </w:rPr>
        <w:t>(</w:t>
      </w:r>
      <w:r w:rsidR="00022F5E" w:rsidRPr="00610904">
        <w:rPr>
          <w:noProof w:val="0"/>
          <w:szCs w:val="20"/>
          <w:lang w:val="en-US"/>
        </w:rPr>
        <w:t xml:space="preserve">B) </w:t>
      </w:r>
      <w:r w:rsidR="00A8072E" w:rsidRPr="00610904">
        <w:rPr>
          <w:noProof w:val="0"/>
          <w:szCs w:val="20"/>
          <w:lang w:val="en-US"/>
        </w:rPr>
        <w:t>Talía’s health, her h</w:t>
      </w:r>
      <w:r w:rsidR="00316B2C" w:rsidRPr="00610904">
        <w:rPr>
          <w:noProof w:val="0"/>
          <w:szCs w:val="20"/>
          <w:lang w:val="en-US"/>
        </w:rPr>
        <w:t>ospitalization</w:t>
      </w:r>
      <w:r w:rsidR="00A87026" w:rsidRPr="00610904">
        <w:rPr>
          <w:noProof w:val="0"/>
          <w:szCs w:val="20"/>
          <w:lang w:val="en-US"/>
        </w:rPr>
        <w:t>,</w:t>
      </w:r>
      <w:r w:rsidR="00A8072E" w:rsidRPr="00610904">
        <w:rPr>
          <w:noProof w:val="0"/>
          <w:szCs w:val="20"/>
          <w:lang w:val="en-US"/>
        </w:rPr>
        <w:t xml:space="preserve"> and the blood transfusion of June 22, </w:t>
      </w:r>
      <w:r w:rsidR="00022F5E" w:rsidRPr="00610904">
        <w:rPr>
          <w:noProof w:val="0"/>
          <w:szCs w:val="20"/>
          <w:lang w:val="en-US"/>
        </w:rPr>
        <w:t xml:space="preserve">1998; </w:t>
      </w:r>
      <w:r w:rsidR="00A8072E" w:rsidRPr="00610904">
        <w:rPr>
          <w:noProof w:val="0"/>
          <w:szCs w:val="20"/>
          <w:lang w:val="en-US"/>
        </w:rPr>
        <w:t>(</w:t>
      </w:r>
      <w:r w:rsidR="00022F5E" w:rsidRPr="00610904">
        <w:rPr>
          <w:noProof w:val="0"/>
          <w:szCs w:val="20"/>
          <w:lang w:val="en-US"/>
        </w:rPr>
        <w:t xml:space="preserve">C) </w:t>
      </w:r>
      <w:r w:rsidR="00316B2C" w:rsidRPr="00610904">
        <w:rPr>
          <w:noProof w:val="0"/>
          <w:szCs w:val="20"/>
          <w:lang w:val="en-US"/>
        </w:rPr>
        <w:t xml:space="preserve">the </w:t>
      </w:r>
      <w:r w:rsidR="00436E84" w:rsidRPr="00610904">
        <w:rPr>
          <w:noProof w:val="0"/>
          <w:szCs w:val="20"/>
          <w:lang w:val="en-US"/>
        </w:rPr>
        <w:t>infection</w:t>
      </w:r>
      <w:r w:rsidR="00316B2C" w:rsidRPr="00610904">
        <w:rPr>
          <w:noProof w:val="0"/>
          <w:szCs w:val="20"/>
          <w:lang w:val="en-US"/>
        </w:rPr>
        <w:t xml:space="preserve"> of Talía with </w:t>
      </w:r>
      <w:r w:rsidR="00A8072E" w:rsidRPr="00610904">
        <w:rPr>
          <w:noProof w:val="0"/>
          <w:szCs w:val="20"/>
          <w:lang w:val="en-US"/>
        </w:rPr>
        <w:t>HIV</w:t>
      </w:r>
      <w:r w:rsidR="00022F5E" w:rsidRPr="00610904">
        <w:rPr>
          <w:noProof w:val="0"/>
          <w:szCs w:val="20"/>
          <w:lang w:val="en-US"/>
        </w:rPr>
        <w:t xml:space="preserve">; </w:t>
      </w:r>
      <w:r w:rsidR="00A8072E" w:rsidRPr="00610904">
        <w:rPr>
          <w:noProof w:val="0"/>
          <w:szCs w:val="20"/>
          <w:lang w:val="en-US"/>
        </w:rPr>
        <w:t>(</w:t>
      </w:r>
      <w:r w:rsidR="00022F5E" w:rsidRPr="00610904">
        <w:rPr>
          <w:noProof w:val="0"/>
          <w:szCs w:val="20"/>
          <w:lang w:val="en-US"/>
        </w:rPr>
        <w:t xml:space="preserve">D) </w:t>
      </w:r>
      <w:r w:rsidR="00A8072E" w:rsidRPr="00610904">
        <w:rPr>
          <w:noProof w:val="0"/>
          <w:szCs w:val="20"/>
          <w:lang w:val="en-US"/>
        </w:rPr>
        <w:t>the criminal action</w:t>
      </w:r>
      <w:r w:rsidR="00022F5E" w:rsidRPr="00610904">
        <w:rPr>
          <w:noProof w:val="0"/>
          <w:szCs w:val="20"/>
          <w:lang w:val="en-US"/>
        </w:rPr>
        <w:t xml:space="preserve">; </w:t>
      </w:r>
      <w:r w:rsidR="00A8072E" w:rsidRPr="00610904">
        <w:rPr>
          <w:noProof w:val="0"/>
          <w:szCs w:val="20"/>
          <w:lang w:val="en-US"/>
        </w:rPr>
        <w:t>(</w:t>
      </w:r>
      <w:r w:rsidR="00022F5E" w:rsidRPr="00610904">
        <w:rPr>
          <w:noProof w:val="0"/>
          <w:szCs w:val="20"/>
          <w:lang w:val="en-US"/>
        </w:rPr>
        <w:t xml:space="preserve">E) </w:t>
      </w:r>
      <w:r w:rsidR="00A8072E" w:rsidRPr="00610904">
        <w:rPr>
          <w:noProof w:val="0"/>
          <w:szCs w:val="20"/>
          <w:lang w:val="en-US"/>
        </w:rPr>
        <w:t>the civil action,</w:t>
      </w:r>
      <w:r w:rsidRPr="00610904">
        <w:rPr>
          <w:noProof w:val="0"/>
          <w:szCs w:val="20"/>
          <w:lang w:val="en-US"/>
        </w:rPr>
        <w:t xml:space="preserve"> and </w:t>
      </w:r>
      <w:r w:rsidR="00A8072E" w:rsidRPr="00610904">
        <w:rPr>
          <w:noProof w:val="0"/>
          <w:szCs w:val="20"/>
          <w:lang w:val="en-US"/>
        </w:rPr>
        <w:t>(</w:t>
      </w:r>
      <w:r w:rsidR="00022F5E" w:rsidRPr="00610904">
        <w:rPr>
          <w:noProof w:val="0"/>
          <w:szCs w:val="20"/>
          <w:lang w:val="en-US"/>
        </w:rPr>
        <w:t xml:space="preserve">F) </w:t>
      </w:r>
      <w:r w:rsidR="00A8072E" w:rsidRPr="00610904">
        <w:rPr>
          <w:noProof w:val="0"/>
          <w:szCs w:val="20"/>
          <w:lang w:val="en-US"/>
        </w:rPr>
        <w:t>the impact of the</w:t>
      </w:r>
      <w:r w:rsidR="006D376C" w:rsidRPr="00610904">
        <w:rPr>
          <w:noProof w:val="0"/>
          <w:szCs w:val="20"/>
          <w:lang w:val="en-US"/>
        </w:rPr>
        <w:t xml:space="preserve"> infection</w:t>
      </w:r>
      <w:r w:rsidR="00A8072E" w:rsidRPr="00610904">
        <w:rPr>
          <w:noProof w:val="0"/>
          <w:szCs w:val="20"/>
          <w:lang w:val="en-US"/>
        </w:rPr>
        <w:t xml:space="preserve"> on Talía’s education</w:t>
      </w:r>
      <w:r w:rsidR="00022F5E" w:rsidRPr="00610904">
        <w:rPr>
          <w:noProof w:val="0"/>
          <w:szCs w:val="20"/>
          <w:lang w:val="en-US"/>
        </w:rPr>
        <w:t>.</w:t>
      </w:r>
    </w:p>
    <w:p w:rsidR="00022F5E" w:rsidRPr="00610904" w:rsidRDefault="00022F5E" w:rsidP="00610904">
      <w:pPr>
        <w:rPr>
          <w:noProof w:val="0"/>
          <w:szCs w:val="20"/>
          <w:lang w:val="en-US"/>
        </w:rPr>
      </w:pPr>
    </w:p>
    <w:p w:rsidR="00022F5E" w:rsidRPr="00610904" w:rsidRDefault="00436E84" w:rsidP="00610904">
      <w:pPr>
        <w:pStyle w:val="Heading2"/>
        <w:numPr>
          <w:ilvl w:val="0"/>
          <w:numId w:val="10"/>
        </w:numPr>
        <w:spacing w:before="0" w:after="0"/>
        <w:rPr>
          <w:noProof w:val="0"/>
          <w:lang w:val="en-US"/>
        </w:rPr>
      </w:pPr>
      <w:bookmarkStart w:id="82" w:name="_Toc443399088"/>
      <w:r w:rsidRPr="00610904">
        <w:rPr>
          <w:noProof w:val="0"/>
          <w:lang w:val="en-US"/>
        </w:rPr>
        <w:t>R</w:t>
      </w:r>
      <w:r w:rsidR="00A8072E" w:rsidRPr="00610904">
        <w:rPr>
          <w:noProof w:val="0"/>
          <w:lang w:val="en-US"/>
        </w:rPr>
        <w:t>egulation of the Red Cross</w:t>
      </w:r>
      <w:r w:rsidR="009F3D78" w:rsidRPr="00610904">
        <w:rPr>
          <w:noProof w:val="0"/>
          <w:lang w:val="en-US"/>
        </w:rPr>
        <w:t xml:space="preserve"> and </w:t>
      </w:r>
      <w:r w:rsidR="00A8072E" w:rsidRPr="00610904">
        <w:rPr>
          <w:noProof w:val="0"/>
          <w:lang w:val="en-US"/>
        </w:rPr>
        <w:t>the blood banks</w:t>
      </w:r>
      <w:r w:rsidRPr="00610904">
        <w:rPr>
          <w:noProof w:val="0"/>
          <w:lang w:val="en-US"/>
        </w:rPr>
        <w:t xml:space="preserve"> in</w:t>
      </w:r>
      <w:r w:rsidR="00A8072E" w:rsidRPr="00610904">
        <w:rPr>
          <w:noProof w:val="0"/>
          <w:lang w:val="en-US"/>
        </w:rPr>
        <w:t xml:space="preserve"> Ecuador</w:t>
      </w:r>
      <w:bookmarkEnd w:id="82"/>
      <w:r w:rsidR="00022F5E" w:rsidRPr="00610904">
        <w:rPr>
          <w:noProof w:val="0"/>
          <w:lang w:val="en-US"/>
        </w:rPr>
        <w:t xml:space="preserve"> </w:t>
      </w:r>
    </w:p>
    <w:p w:rsidR="00022F5E" w:rsidRPr="00610904" w:rsidRDefault="00022F5E" w:rsidP="00610904">
      <w:pPr>
        <w:rPr>
          <w:rFonts w:cs="Arial"/>
          <w:b/>
          <w:noProof w:val="0"/>
          <w:szCs w:val="20"/>
          <w:lang w:val="en-US"/>
        </w:rPr>
      </w:pPr>
    </w:p>
    <w:p w:rsidR="00022F5E" w:rsidRPr="00610904" w:rsidRDefault="00436E84" w:rsidP="00610904">
      <w:pPr>
        <w:numPr>
          <w:ilvl w:val="0"/>
          <w:numId w:val="1"/>
        </w:numPr>
        <w:rPr>
          <w:noProof w:val="0"/>
          <w:lang w:val="en-US"/>
        </w:rPr>
      </w:pPr>
      <w:r w:rsidRPr="00610904">
        <w:rPr>
          <w:noProof w:val="0"/>
          <w:szCs w:val="20"/>
          <w:lang w:val="en-US"/>
        </w:rPr>
        <w:t>On November</w:t>
      </w:r>
      <w:r w:rsidR="008E668D" w:rsidRPr="00610904">
        <w:rPr>
          <w:noProof w:val="0"/>
          <w:szCs w:val="20"/>
          <w:lang w:val="en-US"/>
        </w:rPr>
        <w:t xml:space="preserve"> </w:t>
      </w:r>
      <w:r w:rsidRPr="00610904">
        <w:rPr>
          <w:noProof w:val="0"/>
          <w:szCs w:val="20"/>
          <w:lang w:val="en-US"/>
        </w:rPr>
        <w:t>1</w:t>
      </w:r>
      <w:r w:rsidR="008E668D" w:rsidRPr="00610904">
        <w:rPr>
          <w:noProof w:val="0"/>
          <w:szCs w:val="20"/>
          <w:lang w:val="en-US"/>
        </w:rPr>
        <w:t>4,</w:t>
      </w:r>
      <w:r w:rsidR="00022F5E" w:rsidRPr="00610904">
        <w:rPr>
          <w:noProof w:val="0"/>
          <w:szCs w:val="20"/>
          <w:lang w:val="en-US"/>
        </w:rPr>
        <w:t xml:space="preserve"> 1910</w:t>
      </w:r>
      <w:r w:rsidRPr="00610904">
        <w:rPr>
          <w:noProof w:val="0"/>
          <w:szCs w:val="20"/>
          <w:lang w:val="en-US"/>
        </w:rPr>
        <w:t xml:space="preserve">, the Government of Ecuador accorded legal recognition to the installation </w:t>
      </w:r>
      <w:r w:rsidR="00A8072E" w:rsidRPr="00610904">
        <w:rPr>
          <w:noProof w:val="0"/>
          <w:szCs w:val="20"/>
          <w:lang w:val="en-US"/>
        </w:rPr>
        <w:t>of the Red Cross</w:t>
      </w:r>
      <w:r w:rsidR="00022F5E" w:rsidRPr="00610904">
        <w:rPr>
          <w:noProof w:val="0"/>
          <w:szCs w:val="20"/>
          <w:lang w:val="en-US"/>
        </w:rPr>
        <w:t xml:space="preserve"> </w:t>
      </w:r>
      <w:r w:rsidR="00A87026" w:rsidRPr="00610904">
        <w:rPr>
          <w:noProof w:val="0"/>
          <w:szCs w:val="20"/>
          <w:lang w:val="en-US"/>
        </w:rPr>
        <w:t>in that country</w:t>
      </w:r>
      <w:r w:rsidRPr="00610904">
        <w:rPr>
          <w:noProof w:val="0"/>
          <w:szCs w:val="20"/>
          <w:lang w:val="en-US"/>
        </w:rPr>
        <w:t xml:space="preserve"> by a legis</w:t>
      </w:r>
      <w:r w:rsidR="00E84932" w:rsidRPr="00610904">
        <w:rPr>
          <w:noProof w:val="0"/>
          <w:szCs w:val="20"/>
          <w:lang w:val="en-US"/>
        </w:rPr>
        <w:t>lative decree published in Official G</w:t>
      </w:r>
      <w:r w:rsidRPr="00610904">
        <w:rPr>
          <w:noProof w:val="0"/>
          <w:szCs w:val="20"/>
          <w:lang w:val="en-US"/>
        </w:rPr>
        <w:t xml:space="preserve">azette </w:t>
      </w:r>
      <w:r w:rsidR="00022F5E" w:rsidRPr="00610904">
        <w:rPr>
          <w:noProof w:val="0"/>
          <w:szCs w:val="20"/>
          <w:lang w:val="en-US"/>
        </w:rPr>
        <w:t xml:space="preserve">No. 1392, </w:t>
      </w:r>
      <w:r w:rsidRPr="00610904">
        <w:rPr>
          <w:noProof w:val="0"/>
          <w:szCs w:val="20"/>
          <w:lang w:val="en-US"/>
        </w:rPr>
        <w:t>the first article of which indicates: “The</w:t>
      </w:r>
      <w:r w:rsidR="00A8072E" w:rsidRPr="00610904">
        <w:rPr>
          <w:rFonts w:cs="Arial"/>
          <w:noProof w:val="0"/>
          <w:color w:val="000000"/>
          <w:szCs w:val="20"/>
          <w:lang w:val="en-US"/>
        </w:rPr>
        <w:t xml:space="preserve"> Red Cross of Ecuador</w:t>
      </w:r>
      <w:r w:rsidRPr="00610904">
        <w:rPr>
          <w:rFonts w:cs="Arial"/>
          <w:noProof w:val="0"/>
          <w:color w:val="000000"/>
          <w:szCs w:val="20"/>
          <w:lang w:val="en-US"/>
        </w:rPr>
        <w:t xml:space="preserve"> is declared t</w:t>
      </w:r>
      <w:r w:rsidR="00A87026" w:rsidRPr="00610904">
        <w:rPr>
          <w:rFonts w:cs="Arial"/>
          <w:noProof w:val="0"/>
          <w:color w:val="000000"/>
          <w:szCs w:val="20"/>
          <w:lang w:val="en-US"/>
        </w:rPr>
        <w:t>o be a charitable institution for</w:t>
      </w:r>
      <w:r w:rsidRPr="00610904">
        <w:rPr>
          <w:rFonts w:cs="Arial"/>
          <w:noProof w:val="0"/>
          <w:color w:val="000000"/>
          <w:szCs w:val="20"/>
          <w:lang w:val="en-US"/>
        </w:rPr>
        <w:t xml:space="preserve"> the public benefit, and is granted exoneration from paying any national or </w:t>
      </w:r>
      <w:r w:rsidR="00856968" w:rsidRPr="00610904">
        <w:rPr>
          <w:rFonts w:cs="Arial"/>
          <w:noProof w:val="0"/>
          <w:color w:val="000000"/>
          <w:szCs w:val="20"/>
          <w:lang w:val="en-US"/>
        </w:rPr>
        <w:t>municipal</w:t>
      </w:r>
      <w:r w:rsidRPr="00610904">
        <w:rPr>
          <w:rFonts w:cs="Arial"/>
          <w:noProof w:val="0"/>
          <w:color w:val="000000"/>
          <w:szCs w:val="20"/>
          <w:lang w:val="en-US"/>
        </w:rPr>
        <w:t xml:space="preserve"> taxes.</w:t>
      </w:r>
      <w:r w:rsidR="00022F5E" w:rsidRPr="00610904">
        <w:rPr>
          <w:rFonts w:cs="Arial"/>
          <w:noProof w:val="0"/>
          <w:color w:val="000000"/>
          <w:szCs w:val="20"/>
          <w:lang w:val="en-US"/>
        </w:rPr>
        <w:t>”</w:t>
      </w:r>
      <w:r w:rsidR="00022F5E" w:rsidRPr="00610904">
        <w:rPr>
          <w:rStyle w:val="FootnoteReference"/>
          <w:rFonts w:eastAsia="Calibri"/>
          <w:noProof w:val="0"/>
          <w:color w:val="000000"/>
          <w:lang w:val="en-US"/>
        </w:rPr>
        <w:footnoteReference w:id="57"/>
      </w:r>
    </w:p>
    <w:p w:rsidR="00022F5E" w:rsidRPr="00610904" w:rsidRDefault="00022F5E" w:rsidP="00610904">
      <w:pPr>
        <w:rPr>
          <w:noProof w:val="0"/>
          <w:lang w:val="en-US"/>
        </w:rPr>
      </w:pPr>
    </w:p>
    <w:p w:rsidR="00022F5E" w:rsidRPr="00610904" w:rsidRDefault="00436E84" w:rsidP="00610904">
      <w:pPr>
        <w:numPr>
          <w:ilvl w:val="0"/>
          <w:numId w:val="1"/>
        </w:numPr>
        <w:rPr>
          <w:noProof w:val="0"/>
          <w:lang w:val="en-US"/>
        </w:rPr>
      </w:pPr>
      <w:r w:rsidRPr="00610904">
        <w:rPr>
          <w:noProof w:val="0"/>
          <w:szCs w:val="20"/>
          <w:lang w:val="en-US"/>
        </w:rPr>
        <w:t>In August</w:t>
      </w:r>
      <w:r w:rsidR="00022F5E" w:rsidRPr="00610904">
        <w:rPr>
          <w:noProof w:val="0"/>
          <w:szCs w:val="20"/>
          <w:lang w:val="en-US"/>
        </w:rPr>
        <w:t xml:space="preserve"> 1922</w:t>
      </w:r>
      <w:r w:rsidRPr="00610904">
        <w:rPr>
          <w:noProof w:val="0"/>
          <w:szCs w:val="20"/>
          <w:lang w:val="en-US"/>
        </w:rPr>
        <w:t>, the first statutes of the Ecuadorian</w:t>
      </w:r>
      <w:r w:rsidR="00A8072E" w:rsidRPr="00610904">
        <w:rPr>
          <w:noProof w:val="0"/>
          <w:szCs w:val="20"/>
          <w:lang w:val="en-US"/>
        </w:rPr>
        <w:t xml:space="preserve"> Red Cross</w:t>
      </w:r>
      <w:r w:rsidRPr="00610904">
        <w:rPr>
          <w:noProof w:val="0"/>
          <w:szCs w:val="20"/>
          <w:lang w:val="en-US"/>
        </w:rPr>
        <w:t xml:space="preserve"> were drawn up, and this led to its international recognition by the League of Red Cross Societies (current International Federation of Red Cross and Red Crescent Societies) in </w:t>
      </w:r>
      <w:r w:rsidR="00022F5E" w:rsidRPr="00610904">
        <w:rPr>
          <w:noProof w:val="0"/>
          <w:szCs w:val="20"/>
          <w:lang w:val="en-US"/>
        </w:rPr>
        <w:t>1923</w:t>
      </w:r>
      <w:r w:rsidRPr="00610904">
        <w:rPr>
          <w:noProof w:val="0"/>
          <w:szCs w:val="20"/>
          <w:lang w:val="en-US"/>
        </w:rPr>
        <w:t>.</w:t>
      </w:r>
      <w:r w:rsidR="00022F5E" w:rsidRPr="00610904">
        <w:rPr>
          <w:rStyle w:val="FootnoteReference"/>
          <w:rFonts w:eastAsia="Calibri"/>
          <w:noProof w:val="0"/>
          <w:color w:val="000000"/>
          <w:lang w:val="en-US"/>
        </w:rPr>
        <w:footnoteReference w:id="58"/>
      </w:r>
      <w:r w:rsidR="00A87026" w:rsidRPr="00610904">
        <w:rPr>
          <w:noProof w:val="0"/>
          <w:szCs w:val="20"/>
          <w:lang w:val="en-US"/>
        </w:rPr>
        <w:t xml:space="preserve"> The </w:t>
      </w:r>
      <w:r w:rsidRPr="00610904">
        <w:rPr>
          <w:noProof w:val="0"/>
          <w:szCs w:val="20"/>
          <w:lang w:val="en-US"/>
        </w:rPr>
        <w:t>statutes indicate:</w:t>
      </w:r>
    </w:p>
    <w:p w:rsidR="00022F5E" w:rsidRPr="00610904" w:rsidRDefault="00022F5E" w:rsidP="00610904">
      <w:pPr>
        <w:rPr>
          <w:rFonts w:cs="Arial"/>
          <w:noProof w:val="0"/>
          <w:color w:val="000000"/>
          <w:szCs w:val="20"/>
          <w:lang w:val="en-US"/>
        </w:rPr>
      </w:pPr>
    </w:p>
    <w:p w:rsidR="00022F5E" w:rsidRPr="00610904" w:rsidRDefault="00022F5E" w:rsidP="00610904">
      <w:pPr>
        <w:autoSpaceDE w:val="0"/>
        <w:autoSpaceDN w:val="0"/>
        <w:adjustRightInd w:val="0"/>
        <w:ind w:left="720" w:right="720"/>
        <w:rPr>
          <w:rFonts w:cs="ArialMT"/>
          <w:noProof w:val="0"/>
          <w:color w:val="000000"/>
          <w:sz w:val="16"/>
          <w:szCs w:val="20"/>
          <w:lang w:val="en-US"/>
        </w:rPr>
      </w:pPr>
      <w:r w:rsidRPr="00610904">
        <w:rPr>
          <w:rFonts w:cs="Arial-BoldMT"/>
          <w:bCs/>
          <w:noProof w:val="0"/>
          <w:color w:val="000000"/>
          <w:sz w:val="16"/>
          <w:szCs w:val="20"/>
          <w:lang w:val="en-US"/>
        </w:rPr>
        <w:t>Art. 1</w:t>
      </w:r>
      <w:r w:rsidR="00480F07" w:rsidRPr="00610904">
        <w:rPr>
          <w:rFonts w:cs="ArialMT"/>
          <w:noProof w:val="0"/>
          <w:color w:val="000000"/>
          <w:sz w:val="16"/>
          <w:szCs w:val="20"/>
          <w:lang w:val="en-US"/>
        </w:rPr>
        <w:t xml:space="preserve">. </w:t>
      </w:r>
      <w:r w:rsidR="007D1E9D" w:rsidRPr="00610904">
        <w:rPr>
          <w:rFonts w:cs="ArialMT"/>
          <w:noProof w:val="0"/>
          <w:color w:val="000000"/>
          <w:sz w:val="16"/>
          <w:szCs w:val="20"/>
          <w:lang w:val="en-US"/>
        </w:rPr>
        <w:t xml:space="preserve">The </w:t>
      </w:r>
      <w:r w:rsidR="00480F07" w:rsidRPr="00610904">
        <w:rPr>
          <w:rFonts w:cs="ArialMT"/>
          <w:noProof w:val="0"/>
          <w:color w:val="000000"/>
          <w:sz w:val="16"/>
          <w:szCs w:val="20"/>
          <w:lang w:val="en-US"/>
        </w:rPr>
        <w:t xml:space="preserve">Ecuadorian </w:t>
      </w:r>
      <w:r w:rsidR="007D1E9D" w:rsidRPr="00610904">
        <w:rPr>
          <w:rFonts w:cs="ArialMT"/>
          <w:noProof w:val="0"/>
          <w:color w:val="000000"/>
          <w:sz w:val="16"/>
          <w:szCs w:val="20"/>
          <w:lang w:val="en-US"/>
        </w:rPr>
        <w:t xml:space="preserve">National </w:t>
      </w:r>
      <w:r w:rsidR="00480F07" w:rsidRPr="00610904">
        <w:rPr>
          <w:rFonts w:cs="ArialMT"/>
          <w:noProof w:val="0"/>
          <w:color w:val="000000"/>
          <w:sz w:val="16"/>
          <w:szCs w:val="20"/>
          <w:lang w:val="en-US"/>
        </w:rPr>
        <w:t>Red Cross Society is founded on the following principles:</w:t>
      </w:r>
    </w:p>
    <w:p w:rsidR="00022F5E" w:rsidRPr="00610904" w:rsidRDefault="00022F5E" w:rsidP="00610904">
      <w:pPr>
        <w:autoSpaceDE w:val="0"/>
        <w:autoSpaceDN w:val="0"/>
        <w:adjustRightInd w:val="0"/>
        <w:ind w:left="720" w:right="720"/>
        <w:rPr>
          <w:rFonts w:cs="Arial-BoldMT"/>
          <w:b/>
          <w:bCs/>
          <w:noProof w:val="0"/>
          <w:color w:val="000000"/>
          <w:sz w:val="16"/>
          <w:szCs w:val="20"/>
          <w:lang w:val="en-US"/>
        </w:rPr>
      </w:pPr>
    </w:p>
    <w:p w:rsidR="00022F5E" w:rsidRPr="00610904" w:rsidRDefault="00480F07" w:rsidP="00610904">
      <w:pPr>
        <w:autoSpaceDE w:val="0"/>
        <w:autoSpaceDN w:val="0"/>
        <w:adjustRightInd w:val="0"/>
        <w:ind w:left="720" w:right="720"/>
        <w:rPr>
          <w:rFonts w:cs="ArialMT"/>
          <w:noProof w:val="0"/>
          <w:color w:val="000000"/>
          <w:sz w:val="16"/>
          <w:szCs w:val="20"/>
          <w:lang w:val="en-US"/>
        </w:rPr>
      </w:pPr>
      <w:proofErr w:type="gramStart"/>
      <w:r w:rsidRPr="00610904">
        <w:rPr>
          <w:rFonts w:cs="Arial-BoldMT"/>
          <w:bCs/>
          <w:noProof w:val="0"/>
          <w:color w:val="000000"/>
          <w:sz w:val="16"/>
          <w:szCs w:val="20"/>
          <w:lang w:val="en-US"/>
        </w:rPr>
        <w:t>FIRST.</w:t>
      </w:r>
      <w:proofErr w:type="gramEnd"/>
      <w:r w:rsidR="00022F5E" w:rsidRPr="00610904">
        <w:rPr>
          <w:rStyle w:val="FootnoteReference"/>
          <w:bCs/>
          <w:noProof w:val="0"/>
          <w:color w:val="000000"/>
          <w:sz w:val="16"/>
          <w:lang w:val="en-US"/>
        </w:rPr>
        <w:footnoteReference w:id="59"/>
      </w:r>
      <w:r w:rsidR="007D1E9D" w:rsidRPr="00610904">
        <w:rPr>
          <w:rFonts w:cs="ArialMT"/>
          <w:noProof w:val="0"/>
          <w:color w:val="000000"/>
          <w:sz w:val="16"/>
          <w:szCs w:val="20"/>
          <w:lang w:val="en-US"/>
        </w:rPr>
        <w:t xml:space="preserve"> </w:t>
      </w:r>
      <w:r w:rsidR="00A8072E" w:rsidRPr="00610904">
        <w:rPr>
          <w:rFonts w:cs="ArialMT"/>
          <w:noProof w:val="0"/>
          <w:color w:val="000000"/>
          <w:sz w:val="16"/>
          <w:szCs w:val="20"/>
          <w:lang w:val="en-US"/>
        </w:rPr>
        <w:t xml:space="preserve">The </w:t>
      </w:r>
      <w:r w:rsidR="007D1E9D" w:rsidRPr="00610904">
        <w:rPr>
          <w:rFonts w:cs="ArialMT"/>
          <w:noProof w:val="0"/>
          <w:color w:val="000000"/>
          <w:sz w:val="16"/>
          <w:szCs w:val="20"/>
          <w:lang w:val="en-US"/>
        </w:rPr>
        <w:t xml:space="preserve">Ecuadorian </w:t>
      </w:r>
      <w:r w:rsidR="00A8072E" w:rsidRPr="00610904">
        <w:rPr>
          <w:rFonts w:cs="ArialMT"/>
          <w:noProof w:val="0"/>
          <w:color w:val="000000"/>
          <w:sz w:val="16"/>
          <w:szCs w:val="20"/>
          <w:lang w:val="en-US"/>
        </w:rPr>
        <w:t>Red Cross</w:t>
      </w:r>
      <w:r w:rsidR="00022F5E" w:rsidRPr="00610904">
        <w:rPr>
          <w:rFonts w:cs="ArialMT"/>
          <w:noProof w:val="0"/>
          <w:color w:val="000000"/>
          <w:sz w:val="16"/>
          <w:szCs w:val="20"/>
          <w:lang w:val="en-US"/>
        </w:rPr>
        <w:t xml:space="preserve"> </w:t>
      </w:r>
      <w:r w:rsidR="007D1E9D" w:rsidRPr="00610904">
        <w:rPr>
          <w:rFonts w:cs="ArialMT"/>
          <w:noProof w:val="0"/>
          <w:color w:val="000000"/>
          <w:sz w:val="16"/>
          <w:szCs w:val="20"/>
          <w:lang w:val="en-US"/>
        </w:rPr>
        <w:t xml:space="preserve">is recognized by the Government of Ecuador as a voluntary relief society, auxiliary to the public authorities in the humanitarian sphere, as stipulated in </w:t>
      </w:r>
      <w:r w:rsidR="00E84932" w:rsidRPr="00610904">
        <w:rPr>
          <w:rFonts w:cs="ArialMT"/>
          <w:noProof w:val="0"/>
          <w:color w:val="000000"/>
          <w:sz w:val="16"/>
          <w:szCs w:val="20"/>
          <w:lang w:val="en-US"/>
        </w:rPr>
        <w:t>the 1906</w:t>
      </w:r>
      <w:r w:rsidR="00A87026" w:rsidRPr="00610904">
        <w:rPr>
          <w:rFonts w:cs="ArialMT"/>
          <w:noProof w:val="0"/>
          <w:color w:val="000000"/>
          <w:sz w:val="16"/>
          <w:szCs w:val="20"/>
          <w:lang w:val="en-US"/>
        </w:rPr>
        <w:t xml:space="preserve"> Geneva Convent</w:t>
      </w:r>
      <w:r w:rsidR="00E84932" w:rsidRPr="00610904">
        <w:rPr>
          <w:rFonts w:cs="ArialMT"/>
          <w:noProof w:val="0"/>
          <w:color w:val="000000"/>
          <w:sz w:val="16"/>
          <w:szCs w:val="20"/>
          <w:lang w:val="en-US"/>
        </w:rPr>
        <w:t>ion</w:t>
      </w:r>
      <w:r w:rsidR="007D1E9D" w:rsidRPr="00610904">
        <w:rPr>
          <w:rFonts w:cs="ArialMT"/>
          <w:noProof w:val="0"/>
          <w:color w:val="000000"/>
          <w:sz w:val="16"/>
          <w:szCs w:val="20"/>
          <w:lang w:val="en-US"/>
        </w:rPr>
        <w:t xml:space="preserve">, and as the only Red Cross society in </w:t>
      </w:r>
      <w:r w:rsidR="00A8072E" w:rsidRPr="00610904">
        <w:rPr>
          <w:rFonts w:cs="ArialMT"/>
          <w:noProof w:val="0"/>
          <w:color w:val="000000"/>
          <w:sz w:val="16"/>
          <w:szCs w:val="20"/>
          <w:lang w:val="en-US"/>
        </w:rPr>
        <w:t>Ecuador</w:t>
      </w:r>
      <w:r w:rsidR="00022F5E" w:rsidRPr="00610904">
        <w:rPr>
          <w:rFonts w:cs="ArialMT"/>
          <w:noProof w:val="0"/>
          <w:color w:val="000000"/>
          <w:sz w:val="16"/>
          <w:szCs w:val="20"/>
          <w:lang w:val="en-US"/>
        </w:rPr>
        <w:t>.</w:t>
      </w:r>
    </w:p>
    <w:p w:rsidR="00022F5E" w:rsidRPr="00610904" w:rsidRDefault="00022F5E" w:rsidP="00610904">
      <w:pPr>
        <w:autoSpaceDE w:val="0"/>
        <w:autoSpaceDN w:val="0"/>
        <w:adjustRightInd w:val="0"/>
        <w:ind w:left="720" w:right="720"/>
        <w:rPr>
          <w:rFonts w:cs="Arial-BoldMT"/>
          <w:b/>
          <w:bCs/>
          <w:noProof w:val="0"/>
          <w:color w:val="000000"/>
          <w:szCs w:val="20"/>
          <w:lang w:val="en-US"/>
        </w:rPr>
      </w:pPr>
    </w:p>
    <w:p w:rsidR="00022F5E" w:rsidRPr="00610904" w:rsidRDefault="00022F5E" w:rsidP="00610904">
      <w:pPr>
        <w:autoSpaceDE w:val="0"/>
        <w:autoSpaceDN w:val="0"/>
        <w:adjustRightInd w:val="0"/>
        <w:ind w:left="720" w:right="475"/>
        <w:rPr>
          <w:rFonts w:cs="ArialMT"/>
          <w:noProof w:val="0"/>
          <w:color w:val="000000"/>
          <w:sz w:val="16"/>
          <w:szCs w:val="20"/>
          <w:lang w:val="en-US"/>
        </w:rPr>
      </w:pPr>
      <w:r w:rsidRPr="00610904">
        <w:rPr>
          <w:rFonts w:cs="Arial-BoldMT"/>
          <w:bCs/>
          <w:noProof w:val="0"/>
          <w:color w:val="000000"/>
          <w:sz w:val="16"/>
          <w:szCs w:val="20"/>
          <w:lang w:val="en-US"/>
        </w:rPr>
        <w:t>SE</w:t>
      </w:r>
      <w:r w:rsidR="00480F07" w:rsidRPr="00610904">
        <w:rPr>
          <w:rFonts w:cs="Arial-BoldMT"/>
          <w:bCs/>
          <w:noProof w:val="0"/>
          <w:color w:val="000000"/>
          <w:sz w:val="16"/>
          <w:szCs w:val="20"/>
          <w:lang w:val="en-US"/>
        </w:rPr>
        <w:t>COND</w:t>
      </w:r>
      <w:r w:rsidRPr="00610904">
        <w:rPr>
          <w:rFonts w:cs="Arial-BoldMT"/>
          <w:bCs/>
          <w:noProof w:val="0"/>
          <w:color w:val="000000"/>
          <w:sz w:val="16"/>
          <w:szCs w:val="20"/>
          <w:lang w:val="en-US"/>
        </w:rPr>
        <w:t>.</w:t>
      </w:r>
      <w:r w:rsidR="007D1E9D" w:rsidRPr="00610904">
        <w:rPr>
          <w:rFonts w:cs="Arial-BoldMT"/>
          <w:bCs/>
          <w:noProof w:val="0"/>
          <w:color w:val="000000"/>
          <w:sz w:val="16"/>
          <w:szCs w:val="20"/>
          <w:lang w:val="en-US"/>
        </w:rPr>
        <w:t xml:space="preserve"> </w:t>
      </w:r>
      <w:r w:rsidR="007D1E9D" w:rsidRPr="00610904">
        <w:rPr>
          <w:rFonts w:cs="ArialMT"/>
          <w:noProof w:val="0"/>
          <w:color w:val="000000"/>
          <w:sz w:val="16"/>
          <w:szCs w:val="20"/>
          <w:lang w:val="en-US"/>
        </w:rPr>
        <w:t>The Ecuadorian National Red Cross Society is governed by the law that constituted it, by the international conventions and treaties legally approved by Ecuador, and by these statutes. It is a priv</w:t>
      </w:r>
      <w:r w:rsidR="00A87026" w:rsidRPr="00610904">
        <w:rPr>
          <w:rFonts w:cs="ArialMT"/>
          <w:noProof w:val="0"/>
          <w:color w:val="000000"/>
          <w:sz w:val="16"/>
          <w:szCs w:val="20"/>
          <w:lang w:val="en-US"/>
        </w:rPr>
        <w:t xml:space="preserve">ate non-profit institution, </w:t>
      </w:r>
      <w:r w:rsidR="007D1E9D" w:rsidRPr="00610904">
        <w:rPr>
          <w:rFonts w:cs="ArialMT"/>
          <w:noProof w:val="0"/>
          <w:color w:val="000000"/>
          <w:sz w:val="16"/>
          <w:szCs w:val="20"/>
          <w:lang w:val="en-US"/>
        </w:rPr>
        <w:t>with its own legal status. The legal, judici</w:t>
      </w:r>
      <w:r w:rsidR="00A87026" w:rsidRPr="00610904">
        <w:rPr>
          <w:rFonts w:cs="ArialMT"/>
          <w:noProof w:val="0"/>
          <w:color w:val="000000"/>
          <w:sz w:val="16"/>
          <w:szCs w:val="20"/>
          <w:lang w:val="en-US"/>
        </w:rPr>
        <w:t>al and extrajudicial representa</w:t>
      </w:r>
      <w:r w:rsidR="007D1E9D" w:rsidRPr="00610904">
        <w:rPr>
          <w:rFonts w:cs="ArialMT"/>
          <w:noProof w:val="0"/>
          <w:color w:val="000000"/>
          <w:sz w:val="16"/>
          <w:szCs w:val="20"/>
          <w:lang w:val="en-US"/>
        </w:rPr>
        <w:t>tion, at the national level, is exercised by the President of the Nation and, at the provincial level, shall be exercised by the provincial governor. It will be governed by the provisions of Title XXX of the First Volume of the Civil Code.</w:t>
      </w:r>
      <w:r w:rsidRPr="00610904">
        <w:rPr>
          <w:rStyle w:val="FootnoteReference"/>
          <w:rFonts w:eastAsia="Calibri"/>
          <w:noProof w:val="0"/>
          <w:color w:val="000000"/>
          <w:sz w:val="16"/>
          <w:lang w:val="en-US"/>
        </w:rPr>
        <w:footnoteReference w:id="60"/>
      </w:r>
    </w:p>
    <w:p w:rsidR="00022F5E" w:rsidRPr="00610904" w:rsidRDefault="00022F5E" w:rsidP="00610904">
      <w:pPr>
        <w:autoSpaceDE w:val="0"/>
        <w:autoSpaceDN w:val="0"/>
        <w:adjustRightInd w:val="0"/>
        <w:rPr>
          <w:rFonts w:cs="ArialMT"/>
          <w:noProof w:val="0"/>
          <w:color w:val="FF0000"/>
          <w:szCs w:val="20"/>
          <w:lang w:val="en-US"/>
        </w:rPr>
      </w:pPr>
    </w:p>
    <w:p w:rsidR="00022F5E" w:rsidRPr="00610904" w:rsidRDefault="00A8072E" w:rsidP="00610904">
      <w:pPr>
        <w:numPr>
          <w:ilvl w:val="0"/>
          <w:numId w:val="1"/>
        </w:numPr>
        <w:rPr>
          <w:noProof w:val="0"/>
          <w:lang w:val="en-US"/>
        </w:rPr>
      </w:pPr>
      <w:r w:rsidRPr="00610904">
        <w:rPr>
          <w:rFonts w:cs="Arial"/>
          <w:noProof w:val="0"/>
          <w:szCs w:val="20"/>
          <w:lang w:val="en-US"/>
        </w:rPr>
        <w:lastRenderedPageBreak/>
        <w:t xml:space="preserve">The </w:t>
      </w:r>
      <w:r w:rsidR="00C44085" w:rsidRPr="00610904">
        <w:rPr>
          <w:rFonts w:cs="Arial"/>
          <w:noProof w:val="0"/>
          <w:szCs w:val="20"/>
          <w:lang w:val="en-US"/>
        </w:rPr>
        <w:t>Red Cross Blood Bank</w:t>
      </w:r>
      <w:r w:rsidRPr="00610904">
        <w:rPr>
          <w:rFonts w:cs="Arial"/>
          <w:noProof w:val="0"/>
          <w:szCs w:val="20"/>
          <w:lang w:val="en-US"/>
        </w:rPr>
        <w:t xml:space="preserve"> of</w:t>
      </w:r>
      <w:r w:rsidR="00022F5E" w:rsidRPr="00610904">
        <w:rPr>
          <w:rFonts w:cs="Arial"/>
          <w:noProof w:val="0"/>
          <w:szCs w:val="20"/>
          <w:lang w:val="en-US"/>
        </w:rPr>
        <w:t xml:space="preserve"> Azuay </w:t>
      </w:r>
      <w:r w:rsidRPr="00610904">
        <w:rPr>
          <w:rFonts w:cs="Arial"/>
          <w:noProof w:val="0"/>
          <w:szCs w:val="20"/>
          <w:lang w:val="en-US"/>
        </w:rPr>
        <w:t xml:space="preserve">has been </w:t>
      </w:r>
      <w:r w:rsidR="007D1E9D" w:rsidRPr="00610904">
        <w:rPr>
          <w:rFonts w:cs="Arial"/>
          <w:noProof w:val="0"/>
          <w:szCs w:val="20"/>
          <w:lang w:val="en-US"/>
        </w:rPr>
        <w:t xml:space="preserve">in </w:t>
      </w:r>
      <w:r w:rsidRPr="00610904">
        <w:rPr>
          <w:rFonts w:cs="Arial"/>
          <w:noProof w:val="0"/>
          <w:szCs w:val="20"/>
          <w:lang w:val="en-US"/>
        </w:rPr>
        <w:t>ope</w:t>
      </w:r>
      <w:r w:rsidR="007D1E9D" w:rsidRPr="00610904">
        <w:rPr>
          <w:rFonts w:cs="Arial"/>
          <w:noProof w:val="0"/>
          <w:szCs w:val="20"/>
          <w:lang w:val="en-US"/>
        </w:rPr>
        <w:t>ration</w:t>
      </w:r>
      <w:r w:rsidRPr="00610904">
        <w:rPr>
          <w:rFonts w:cs="Arial"/>
          <w:noProof w:val="0"/>
          <w:szCs w:val="20"/>
          <w:lang w:val="en-US"/>
        </w:rPr>
        <w:t xml:space="preserve"> since</w:t>
      </w:r>
      <w:r w:rsidR="00022F5E" w:rsidRPr="00610904">
        <w:rPr>
          <w:rFonts w:cs="Arial"/>
          <w:noProof w:val="0"/>
          <w:szCs w:val="20"/>
          <w:lang w:val="en-US"/>
        </w:rPr>
        <w:t xml:space="preserve"> 1951. </w:t>
      </w:r>
      <w:r w:rsidR="007D1E9D" w:rsidRPr="00610904">
        <w:rPr>
          <w:rFonts w:cs="Arial"/>
          <w:noProof w:val="0"/>
          <w:szCs w:val="20"/>
          <w:lang w:val="en-US"/>
        </w:rPr>
        <w:t>The activities performed by the Blood Bank include blood typing, serological tests, separation</w:t>
      </w:r>
      <w:r w:rsidR="00A87026" w:rsidRPr="00610904">
        <w:rPr>
          <w:rFonts w:cs="Arial"/>
          <w:noProof w:val="0"/>
          <w:szCs w:val="20"/>
          <w:lang w:val="en-US"/>
        </w:rPr>
        <w:t xml:space="preserve"> of blood components, collection of</w:t>
      </w:r>
      <w:r w:rsidR="007D1E9D" w:rsidRPr="00610904">
        <w:rPr>
          <w:rFonts w:cs="Arial"/>
          <w:noProof w:val="0"/>
          <w:szCs w:val="20"/>
          <w:lang w:val="en-US"/>
        </w:rPr>
        <w:t xml:space="preserve"> blood sam</w:t>
      </w:r>
      <w:r w:rsidR="00A87026" w:rsidRPr="00610904">
        <w:rPr>
          <w:rFonts w:cs="Arial"/>
          <w:noProof w:val="0"/>
          <w:szCs w:val="20"/>
          <w:lang w:val="en-US"/>
        </w:rPr>
        <w:t>ples for DNA tests, and management of</w:t>
      </w:r>
      <w:r w:rsidR="007D1E9D" w:rsidRPr="00610904">
        <w:rPr>
          <w:rFonts w:cs="Arial"/>
          <w:noProof w:val="0"/>
          <w:szCs w:val="20"/>
          <w:lang w:val="en-US"/>
        </w:rPr>
        <w:t xml:space="preserve"> blood provided by donors.</w:t>
      </w:r>
      <w:r w:rsidR="00022F5E" w:rsidRPr="00610904">
        <w:rPr>
          <w:rStyle w:val="FootnoteReference"/>
          <w:noProof w:val="0"/>
          <w:lang w:val="en-US"/>
        </w:rPr>
        <w:footnoteReference w:id="61"/>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A8072E" w:rsidP="00610904">
      <w:pPr>
        <w:numPr>
          <w:ilvl w:val="0"/>
          <w:numId w:val="1"/>
        </w:numPr>
        <w:rPr>
          <w:rStyle w:val="CommentReference"/>
          <w:noProof w:val="0"/>
          <w:lang w:val="en-US"/>
        </w:rPr>
      </w:pPr>
      <w:r w:rsidRPr="00610904">
        <w:rPr>
          <w:rFonts w:cs="Arial"/>
          <w:noProof w:val="0"/>
          <w:color w:val="000000"/>
          <w:szCs w:val="20"/>
          <w:lang w:val="en-US"/>
        </w:rPr>
        <w:t>Ecuador’s 1971 Health Code,</w:t>
      </w:r>
      <w:r w:rsidR="00022F5E" w:rsidRPr="00610904">
        <w:rPr>
          <w:rStyle w:val="FootnoteReference"/>
          <w:noProof w:val="0"/>
          <w:color w:val="000000"/>
          <w:lang w:val="en-US"/>
        </w:rPr>
        <w:footnoteReference w:id="62"/>
      </w:r>
      <w:r w:rsidRPr="00610904">
        <w:rPr>
          <w:rFonts w:cs="Arial"/>
          <w:noProof w:val="0"/>
          <w:color w:val="000000"/>
          <w:szCs w:val="20"/>
          <w:lang w:val="en-US"/>
        </w:rPr>
        <w:t xml:space="preserve"> in force at the time of the facts of this case, did not include specific regulations for the </w:t>
      </w:r>
      <w:r w:rsidR="007D1E9D" w:rsidRPr="00610904">
        <w:rPr>
          <w:rFonts w:cs="Arial"/>
          <w:noProof w:val="0"/>
          <w:color w:val="000000"/>
          <w:szCs w:val="20"/>
          <w:lang w:val="en-US"/>
        </w:rPr>
        <w:t>operation</w:t>
      </w:r>
      <w:r w:rsidR="00022F5E" w:rsidRPr="00610904">
        <w:rPr>
          <w:rFonts w:cs="Arial"/>
          <w:noProof w:val="0"/>
          <w:color w:val="000000"/>
          <w:szCs w:val="20"/>
          <w:lang w:val="en-US"/>
        </w:rPr>
        <w:t xml:space="preserve"> </w:t>
      </w:r>
      <w:r w:rsidR="00A87026" w:rsidRPr="00610904">
        <w:rPr>
          <w:rFonts w:cs="Arial"/>
          <w:noProof w:val="0"/>
          <w:color w:val="000000"/>
          <w:szCs w:val="20"/>
          <w:lang w:val="en-US"/>
        </w:rPr>
        <w:t>of</w:t>
      </w:r>
      <w:r w:rsidRPr="00610904">
        <w:rPr>
          <w:rFonts w:cs="Arial"/>
          <w:noProof w:val="0"/>
          <w:color w:val="000000"/>
          <w:szCs w:val="20"/>
          <w:lang w:val="en-US"/>
        </w:rPr>
        <w:t xml:space="preserve"> blood banks</w:t>
      </w:r>
      <w:r w:rsidR="00022F5E" w:rsidRPr="00610904">
        <w:rPr>
          <w:rFonts w:cs="Arial"/>
          <w:noProof w:val="0"/>
          <w:color w:val="000000"/>
          <w:szCs w:val="20"/>
          <w:lang w:val="en-US"/>
        </w:rPr>
        <w:t xml:space="preserve">. </w:t>
      </w:r>
      <w:r w:rsidRPr="00610904">
        <w:rPr>
          <w:rFonts w:cs="Arial"/>
          <w:noProof w:val="0"/>
          <w:color w:val="000000"/>
          <w:szCs w:val="20"/>
          <w:lang w:val="en-US"/>
        </w:rPr>
        <w:t xml:space="preserve">In general, the </w:t>
      </w:r>
      <w:r w:rsidRPr="00610904">
        <w:rPr>
          <w:noProof w:val="0"/>
          <w:szCs w:val="20"/>
          <w:lang w:val="en-US"/>
        </w:rPr>
        <w:t>1971 Health Code</w:t>
      </w:r>
      <w:r w:rsidR="00022F5E" w:rsidRPr="00610904">
        <w:rPr>
          <w:noProof w:val="0"/>
          <w:szCs w:val="20"/>
          <w:lang w:val="en-US"/>
        </w:rPr>
        <w:t xml:space="preserve"> establ</w:t>
      </w:r>
      <w:r w:rsidR="007D1E9D" w:rsidRPr="00610904">
        <w:rPr>
          <w:noProof w:val="0"/>
          <w:szCs w:val="20"/>
          <w:lang w:val="en-US"/>
        </w:rPr>
        <w:t>ished the following in relation to health entities</w:t>
      </w:r>
      <w:r w:rsidR="00022F5E" w:rsidRPr="00610904">
        <w:rPr>
          <w:noProof w:val="0"/>
          <w:szCs w:val="20"/>
          <w:lang w:val="en-US"/>
        </w:rPr>
        <w:t>:</w:t>
      </w:r>
    </w:p>
    <w:p w:rsidR="00022F5E" w:rsidRPr="00610904" w:rsidRDefault="00022F5E" w:rsidP="00610904">
      <w:pPr>
        <w:rPr>
          <w:noProof w:val="0"/>
          <w:szCs w:val="20"/>
          <w:lang w:val="en-US"/>
        </w:rPr>
      </w:pPr>
      <w:r w:rsidRPr="00610904">
        <w:rPr>
          <w:noProof w:val="0"/>
          <w:szCs w:val="20"/>
          <w:lang w:val="en-US"/>
        </w:rPr>
        <w:t xml:space="preserve"> </w:t>
      </w:r>
    </w:p>
    <w:p w:rsidR="00022F5E" w:rsidRPr="00610904" w:rsidRDefault="007D1E9D" w:rsidP="00610904">
      <w:pPr>
        <w:ind w:left="720" w:right="475"/>
        <w:rPr>
          <w:noProof w:val="0"/>
          <w:sz w:val="16"/>
          <w:szCs w:val="20"/>
          <w:lang w:val="en-US"/>
        </w:rPr>
      </w:pPr>
      <w:r w:rsidRPr="00610904">
        <w:rPr>
          <w:noProof w:val="0"/>
          <w:sz w:val="16"/>
          <w:szCs w:val="20"/>
          <w:lang w:val="en-US"/>
        </w:rPr>
        <w:t xml:space="preserve">Art.  168. The health authorities shall establish the norms and requirements that the establishments providing medical services must comply with, and shall inspect and evaluate them periodically. </w:t>
      </w:r>
    </w:p>
    <w:p w:rsidR="00022F5E" w:rsidRPr="00610904" w:rsidRDefault="00022F5E" w:rsidP="00610904">
      <w:pPr>
        <w:ind w:left="720" w:right="720"/>
        <w:rPr>
          <w:noProof w:val="0"/>
          <w:sz w:val="16"/>
          <w:szCs w:val="20"/>
          <w:lang w:val="en-US"/>
        </w:rPr>
      </w:pPr>
    </w:p>
    <w:p w:rsidR="00022F5E" w:rsidRPr="00610904" w:rsidRDefault="007D1E9D" w:rsidP="00610904">
      <w:pPr>
        <w:ind w:left="720" w:right="720"/>
        <w:rPr>
          <w:rFonts w:cs="Arial"/>
          <w:noProof w:val="0"/>
          <w:color w:val="000000"/>
          <w:szCs w:val="20"/>
          <w:lang w:val="en-US"/>
        </w:rPr>
      </w:pPr>
      <w:r w:rsidRPr="00610904">
        <w:rPr>
          <w:noProof w:val="0"/>
          <w:sz w:val="16"/>
          <w:szCs w:val="20"/>
          <w:lang w:val="en-US"/>
        </w:rPr>
        <w:t>Art.  169. Establishments providing medical services shall submit their annual programs and their rules of procedure to the health authorities for approval.</w:t>
      </w:r>
    </w:p>
    <w:p w:rsidR="00022F5E" w:rsidRPr="00610904" w:rsidRDefault="00022F5E" w:rsidP="00610904">
      <w:pPr>
        <w:rPr>
          <w:rFonts w:cs="Arial"/>
          <w:noProof w:val="0"/>
          <w:color w:val="000000"/>
          <w:szCs w:val="20"/>
          <w:lang w:val="en-US"/>
        </w:rPr>
      </w:pPr>
    </w:p>
    <w:p w:rsidR="00022F5E" w:rsidRPr="00610904" w:rsidRDefault="007D1E9D" w:rsidP="00610904">
      <w:pPr>
        <w:numPr>
          <w:ilvl w:val="0"/>
          <w:numId w:val="1"/>
        </w:numPr>
        <w:rPr>
          <w:noProof w:val="0"/>
          <w:szCs w:val="20"/>
          <w:lang w:val="en-US"/>
        </w:rPr>
      </w:pPr>
      <w:r w:rsidRPr="00610904">
        <w:rPr>
          <w:noProof w:val="0"/>
          <w:szCs w:val="20"/>
          <w:lang w:val="en-US"/>
        </w:rPr>
        <w:t>Ministerial Decision 8664 of</w:t>
      </w:r>
      <w:r w:rsidR="00022F5E" w:rsidRPr="00610904">
        <w:rPr>
          <w:noProof w:val="0"/>
          <w:szCs w:val="20"/>
          <w:lang w:val="en-US"/>
        </w:rPr>
        <w:t xml:space="preserve"> 198</w:t>
      </w:r>
      <w:r w:rsidR="00AD28F4" w:rsidRPr="00610904">
        <w:rPr>
          <w:noProof w:val="0"/>
          <w:szCs w:val="20"/>
          <w:lang w:val="en-US"/>
        </w:rPr>
        <w:t xml:space="preserve">7 </w:t>
      </w:r>
      <w:r w:rsidRPr="00610904">
        <w:rPr>
          <w:noProof w:val="0"/>
          <w:szCs w:val="20"/>
          <w:lang w:val="en-US"/>
        </w:rPr>
        <w:t>established that “</w:t>
      </w:r>
      <w:r w:rsidR="004016D9" w:rsidRPr="00610904">
        <w:rPr>
          <w:noProof w:val="0"/>
          <w:szCs w:val="20"/>
          <w:lang w:val="en-US"/>
        </w:rPr>
        <w:t>it is compulsory for all</w:t>
      </w:r>
      <w:r w:rsidRPr="00610904">
        <w:rPr>
          <w:noProof w:val="0"/>
          <w:szCs w:val="20"/>
          <w:lang w:val="en-US"/>
        </w:rPr>
        <w:t xml:space="preserve"> the country’s blood banks </w:t>
      </w:r>
      <w:r w:rsidR="004016D9" w:rsidRPr="00610904">
        <w:rPr>
          <w:noProof w:val="0"/>
          <w:szCs w:val="20"/>
          <w:lang w:val="en-US"/>
        </w:rPr>
        <w:t>to</w:t>
      </w:r>
      <w:r w:rsidRPr="00610904">
        <w:rPr>
          <w:noProof w:val="0"/>
          <w:szCs w:val="20"/>
          <w:lang w:val="en-US"/>
        </w:rPr>
        <w:t xml:space="preserve"> </w:t>
      </w:r>
      <w:r w:rsidR="004016D9" w:rsidRPr="00610904">
        <w:rPr>
          <w:noProof w:val="0"/>
          <w:szCs w:val="20"/>
          <w:lang w:val="en-US"/>
        </w:rPr>
        <w:t>carry out</w:t>
      </w:r>
      <w:r w:rsidRPr="00610904">
        <w:rPr>
          <w:noProof w:val="0"/>
          <w:szCs w:val="20"/>
          <w:lang w:val="en-US"/>
        </w:rPr>
        <w:t xml:space="preserve"> </w:t>
      </w:r>
      <w:r w:rsidR="004016D9" w:rsidRPr="00610904">
        <w:rPr>
          <w:noProof w:val="0"/>
          <w:szCs w:val="20"/>
          <w:lang w:val="en-US"/>
        </w:rPr>
        <w:t>HIV antibody tests in all blood units and blood products.”</w:t>
      </w:r>
      <w:r w:rsidR="004016D9" w:rsidRPr="00610904">
        <w:rPr>
          <w:rStyle w:val="FootnoteReference"/>
          <w:noProof w:val="0"/>
          <w:lang w:val="en-US"/>
        </w:rPr>
        <w:footnoteReference w:id="63"/>
      </w:r>
      <w:r w:rsidR="004016D9" w:rsidRPr="00610904">
        <w:rPr>
          <w:noProof w:val="0"/>
          <w:szCs w:val="20"/>
          <w:lang w:val="en-US"/>
        </w:rPr>
        <w:t xml:space="preserve"> Subsequently, in 1992, the National Regulations for the Supply and Use of Blood and Blood Products</w:t>
      </w:r>
      <w:r w:rsidR="00E84932" w:rsidRPr="00610904">
        <w:rPr>
          <w:noProof w:val="0"/>
          <w:szCs w:val="20"/>
          <w:lang w:val="en-US"/>
        </w:rPr>
        <w:t xml:space="preserve"> were adopted</w:t>
      </w:r>
      <w:r w:rsidR="004016D9" w:rsidRPr="00610904">
        <w:rPr>
          <w:noProof w:val="0"/>
          <w:szCs w:val="20"/>
          <w:lang w:val="en-US"/>
        </w:rPr>
        <w:t>.</w:t>
      </w:r>
      <w:r w:rsidR="00022F5E" w:rsidRPr="00610904">
        <w:rPr>
          <w:rStyle w:val="FootnoteReference"/>
          <w:noProof w:val="0"/>
          <w:lang w:val="en-US"/>
        </w:rPr>
        <w:footnoteReference w:id="64"/>
      </w:r>
      <w:r w:rsidR="004016D9" w:rsidRPr="00610904">
        <w:rPr>
          <w:noProof w:val="0"/>
          <w:lang w:val="en-US"/>
        </w:rPr>
        <w:t xml:space="preserve"> These regulations established the Nation</w:t>
      </w:r>
      <w:r w:rsidR="00E84932" w:rsidRPr="00610904">
        <w:rPr>
          <w:noProof w:val="0"/>
          <w:lang w:val="en-US"/>
        </w:rPr>
        <w:t>al Blood Secretariat as an auxi</w:t>
      </w:r>
      <w:r w:rsidR="004016D9" w:rsidRPr="00610904">
        <w:rPr>
          <w:noProof w:val="0"/>
          <w:lang w:val="en-US"/>
        </w:rPr>
        <w:t xml:space="preserve">liary agency of </w:t>
      </w:r>
      <w:r w:rsidR="00A8072E" w:rsidRPr="00610904">
        <w:rPr>
          <w:noProof w:val="0"/>
          <w:szCs w:val="20"/>
          <w:lang w:val="en-US"/>
        </w:rPr>
        <w:t>the Red Cross</w:t>
      </w:r>
      <w:r w:rsidR="009F3D78" w:rsidRPr="00610904">
        <w:rPr>
          <w:noProof w:val="0"/>
          <w:szCs w:val="20"/>
          <w:lang w:val="en-US"/>
        </w:rPr>
        <w:t xml:space="preserve"> and </w:t>
      </w:r>
      <w:r w:rsidR="00022F5E" w:rsidRPr="00610904">
        <w:rPr>
          <w:noProof w:val="0"/>
          <w:szCs w:val="16"/>
          <w:lang w:val="en-US"/>
        </w:rPr>
        <w:t>establ</w:t>
      </w:r>
      <w:r w:rsidR="004016D9" w:rsidRPr="00610904">
        <w:rPr>
          <w:noProof w:val="0"/>
          <w:szCs w:val="16"/>
          <w:lang w:val="en-US"/>
        </w:rPr>
        <w:t xml:space="preserve">ished that </w:t>
      </w:r>
      <w:r w:rsidR="00E84932" w:rsidRPr="00610904">
        <w:rPr>
          <w:noProof w:val="0"/>
          <w:szCs w:val="16"/>
          <w:lang w:val="en-US"/>
        </w:rPr>
        <w:t xml:space="preserve">the </w:t>
      </w:r>
      <w:r w:rsidR="004016D9" w:rsidRPr="00610904">
        <w:rPr>
          <w:noProof w:val="0"/>
          <w:szCs w:val="16"/>
          <w:lang w:val="en-US"/>
        </w:rPr>
        <w:t>Secretariat’s functions included: “to supervise the operation, distribution, and internal or external supply of human bloo</w:t>
      </w:r>
      <w:r w:rsidR="00E84932" w:rsidRPr="00610904">
        <w:rPr>
          <w:noProof w:val="0"/>
          <w:szCs w:val="16"/>
          <w:lang w:val="en-US"/>
        </w:rPr>
        <w:t>d or blood products, when requir</w:t>
      </w:r>
      <w:r w:rsidR="004016D9" w:rsidRPr="00610904">
        <w:rPr>
          <w:noProof w:val="0"/>
          <w:szCs w:val="16"/>
          <w:lang w:val="en-US"/>
        </w:rPr>
        <w:t xml:space="preserve">ed.” As regards sanctions, article 24 of the regulations stipulated that, in case of non-compliance or disregard for the regulatory provisions and the operating manuals, </w:t>
      </w:r>
      <w:r w:rsidR="004016D9" w:rsidRPr="00610904">
        <w:rPr>
          <w:noProof w:val="0"/>
          <w:szCs w:val="20"/>
          <w:lang w:val="en-US"/>
        </w:rPr>
        <w:t>the National Blood Secretariat</w:t>
      </w:r>
      <w:r w:rsidR="00022F5E" w:rsidRPr="00610904">
        <w:rPr>
          <w:noProof w:val="0"/>
          <w:szCs w:val="20"/>
          <w:lang w:val="en-US"/>
        </w:rPr>
        <w:t xml:space="preserve"> </w:t>
      </w:r>
      <w:r w:rsidR="004016D9" w:rsidRPr="00610904">
        <w:rPr>
          <w:noProof w:val="0"/>
          <w:szCs w:val="20"/>
          <w:lang w:val="en-US"/>
        </w:rPr>
        <w:t>would issue a warning to the operational agency involved, or would refer the case to the National Blood Committee, wh</w:t>
      </w:r>
      <w:r w:rsidR="00E84932" w:rsidRPr="00610904">
        <w:rPr>
          <w:noProof w:val="0"/>
          <w:szCs w:val="20"/>
          <w:lang w:val="en-US"/>
        </w:rPr>
        <w:t xml:space="preserve">ich, in turn, could request </w:t>
      </w:r>
      <w:r w:rsidR="004016D9" w:rsidRPr="00610904">
        <w:rPr>
          <w:noProof w:val="0"/>
          <w:szCs w:val="20"/>
          <w:lang w:val="en-US"/>
        </w:rPr>
        <w:t xml:space="preserve">the </w:t>
      </w:r>
      <w:r w:rsidR="00E84932" w:rsidRPr="00610904">
        <w:rPr>
          <w:noProof w:val="0"/>
          <w:szCs w:val="20"/>
          <w:lang w:val="en-US"/>
        </w:rPr>
        <w:t xml:space="preserve">Health General </w:t>
      </w:r>
      <w:r w:rsidR="004016D9" w:rsidRPr="00610904">
        <w:rPr>
          <w:noProof w:val="0"/>
          <w:szCs w:val="20"/>
          <w:lang w:val="en-US"/>
        </w:rPr>
        <w:t>Directorate of the</w:t>
      </w:r>
      <w:r w:rsidR="00022F5E" w:rsidRPr="00610904">
        <w:rPr>
          <w:noProof w:val="0"/>
          <w:szCs w:val="20"/>
          <w:lang w:val="en-US"/>
        </w:rPr>
        <w:t xml:space="preserve"> </w:t>
      </w:r>
      <w:r w:rsidR="00830022" w:rsidRPr="00610904">
        <w:rPr>
          <w:noProof w:val="0"/>
          <w:szCs w:val="20"/>
          <w:lang w:val="en-US"/>
        </w:rPr>
        <w:t>Ministry of Public Health</w:t>
      </w:r>
      <w:r w:rsidR="004016D9" w:rsidRPr="00610904">
        <w:rPr>
          <w:noProof w:val="0"/>
          <w:szCs w:val="20"/>
          <w:lang w:val="en-US"/>
        </w:rPr>
        <w:t xml:space="preserve"> to</w:t>
      </w:r>
      <w:r w:rsidR="00022F5E" w:rsidRPr="00610904">
        <w:rPr>
          <w:noProof w:val="0"/>
          <w:szCs w:val="20"/>
          <w:lang w:val="en-US"/>
        </w:rPr>
        <w:t xml:space="preserve"> “</w:t>
      </w:r>
      <w:r w:rsidR="004016D9" w:rsidRPr="00610904">
        <w:rPr>
          <w:noProof w:val="0"/>
          <w:szCs w:val="20"/>
          <w:lang w:val="en-US"/>
        </w:rPr>
        <w:t>caution the respective operational agency.”</w:t>
      </w:r>
      <w:r w:rsidR="00022F5E" w:rsidRPr="00610904">
        <w:rPr>
          <w:noProof w:val="0"/>
          <w:szCs w:val="20"/>
          <w:lang w:val="en-US"/>
        </w:rPr>
        <w:t xml:space="preserve"> </w:t>
      </w:r>
    </w:p>
    <w:p w:rsidR="00022F5E" w:rsidRPr="00610904" w:rsidRDefault="00022F5E" w:rsidP="00610904">
      <w:pPr>
        <w:rPr>
          <w:noProof w:val="0"/>
          <w:szCs w:val="20"/>
          <w:lang w:val="en-US"/>
        </w:rPr>
      </w:pPr>
    </w:p>
    <w:p w:rsidR="004016D9" w:rsidRPr="00610904" w:rsidRDefault="004016D9" w:rsidP="00610904">
      <w:pPr>
        <w:numPr>
          <w:ilvl w:val="0"/>
          <w:numId w:val="1"/>
        </w:numPr>
        <w:rPr>
          <w:noProof w:val="0"/>
          <w:lang w:val="en-US"/>
        </w:rPr>
      </w:pPr>
      <w:r w:rsidRPr="00610904">
        <w:rPr>
          <w:noProof w:val="0"/>
          <w:szCs w:val="20"/>
          <w:lang w:val="en-US"/>
        </w:rPr>
        <w:t>I</w:t>
      </w:r>
      <w:r w:rsidR="00022F5E" w:rsidRPr="00610904">
        <w:rPr>
          <w:noProof w:val="0"/>
          <w:lang w:val="en-US"/>
        </w:rPr>
        <w:t xml:space="preserve">n 1998, </w:t>
      </w:r>
      <w:r w:rsidRPr="00610904">
        <w:rPr>
          <w:noProof w:val="0"/>
          <w:lang w:val="en-US"/>
        </w:rPr>
        <w:t>the Manual of Standards for Blood Banks and Deposits, and Transfusion Services</w:t>
      </w:r>
      <w:r w:rsidR="00E84932" w:rsidRPr="00610904">
        <w:rPr>
          <w:noProof w:val="0"/>
          <w:lang w:val="en-US"/>
        </w:rPr>
        <w:t xml:space="preserve"> was issued</w:t>
      </w:r>
      <w:r w:rsidRPr="00610904">
        <w:rPr>
          <w:noProof w:val="0"/>
          <w:lang w:val="en-US"/>
        </w:rPr>
        <w:t>.</w:t>
      </w:r>
      <w:r w:rsidR="00022F5E" w:rsidRPr="00610904">
        <w:rPr>
          <w:rStyle w:val="FootnoteReference"/>
          <w:noProof w:val="0"/>
          <w:lang w:val="en-US"/>
        </w:rPr>
        <w:footnoteReference w:id="65"/>
      </w:r>
      <w:r w:rsidR="00022F5E" w:rsidRPr="00610904">
        <w:rPr>
          <w:noProof w:val="0"/>
          <w:lang w:val="en-US"/>
        </w:rPr>
        <w:t xml:space="preserve"> </w:t>
      </w:r>
      <w:r w:rsidRPr="00610904">
        <w:rPr>
          <w:noProof w:val="0"/>
          <w:lang w:val="en-US"/>
        </w:rPr>
        <w:t>The</w:t>
      </w:r>
      <w:r w:rsidR="00022F5E" w:rsidRPr="00610904">
        <w:rPr>
          <w:noProof w:val="0"/>
          <w:lang w:val="en-US"/>
        </w:rPr>
        <w:t xml:space="preserve"> Manual (</w:t>
      </w:r>
      <w:r w:rsidRPr="00610904">
        <w:rPr>
          <w:noProof w:val="0"/>
          <w:lang w:val="en-US"/>
        </w:rPr>
        <w:t>a</w:t>
      </w:r>
      <w:r w:rsidR="00A8072E" w:rsidRPr="00610904">
        <w:rPr>
          <w:noProof w:val="0"/>
          <w:lang w:val="en-US"/>
        </w:rPr>
        <w:t>rticle</w:t>
      </w:r>
      <w:r w:rsidR="00022F5E" w:rsidRPr="00610904">
        <w:rPr>
          <w:noProof w:val="0"/>
          <w:lang w:val="en-US"/>
        </w:rPr>
        <w:t xml:space="preserve"> </w:t>
      </w:r>
      <w:r w:rsidR="004A6E8B" w:rsidRPr="00610904">
        <w:rPr>
          <w:noProof w:val="0"/>
          <w:lang w:val="en-US"/>
        </w:rPr>
        <w:t>5(1</w:t>
      </w:r>
      <w:proofErr w:type="gramStart"/>
      <w:r w:rsidR="004A6E8B" w:rsidRPr="00610904">
        <w:rPr>
          <w:noProof w:val="0"/>
          <w:lang w:val="en-US"/>
        </w:rPr>
        <w:t>)</w:t>
      </w:r>
      <w:r w:rsidR="00E84932" w:rsidRPr="00610904">
        <w:rPr>
          <w:noProof w:val="0"/>
          <w:lang w:val="en-US"/>
        </w:rPr>
        <w:t>(</w:t>
      </w:r>
      <w:proofErr w:type="gramEnd"/>
      <w:r w:rsidR="00022F5E" w:rsidRPr="00610904">
        <w:rPr>
          <w:noProof w:val="0"/>
          <w:lang w:val="en-US"/>
        </w:rPr>
        <w:t>c)</w:t>
      </w:r>
      <w:r w:rsidR="00E84932" w:rsidRPr="00610904">
        <w:rPr>
          <w:noProof w:val="0"/>
          <w:lang w:val="en-US"/>
        </w:rPr>
        <w:t>)</w:t>
      </w:r>
      <w:r w:rsidR="00022F5E" w:rsidRPr="00610904">
        <w:rPr>
          <w:noProof w:val="0"/>
          <w:lang w:val="en-US"/>
        </w:rPr>
        <w:t xml:space="preserve"> </w:t>
      </w:r>
      <w:r w:rsidRPr="00610904">
        <w:rPr>
          <w:noProof w:val="0"/>
          <w:lang w:val="en-US"/>
        </w:rPr>
        <w:t xml:space="preserve">stipulated that “prior to their use in allogeneic transfusion, all blood units and products must obligatorily undergo” HIV testing, among other tests. </w:t>
      </w:r>
      <w:r w:rsidR="00E84932" w:rsidRPr="00610904">
        <w:rPr>
          <w:noProof w:val="0"/>
          <w:lang w:val="en-US"/>
        </w:rPr>
        <w:t>In</w:t>
      </w:r>
      <w:r w:rsidRPr="00610904">
        <w:rPr>
          <w:noProof w:val="0"/>
          <w:lang w:val="en-US"/>
        </w:rPr>
        <w:t xml:space="preserve"> the normative context in force in 1998, the State established the legal framework under which the blood banks should operate to collect blood, </w:t>
      </w:r>
      <w:r w:rsidR="00E84932" w:rsidRPr="00610904">
        <w:rPr>
          <w:noProof w:val="0"/>
          <w:lang w:val="en-US"/>
        </w:rPr>
        <w:t xml:space="preserve">to </w:t>
      </w:r>
      <w:r w:rsidRPr="00610904">
        <w:rPr>
          <w:noProof w:val="0"/>
          <w:lang w:val="en-US"/>
        </w:rPr>
        <w:t xml:space="preserve">carry out serological screening, and </w:t>
      </w:r>
      <w:r w:rsidR="00E84932" w:rsidRPr="00610904">
        <w:rPr>
          <w:noProof w:val="0"/>
          <w:lang w:val="en-US"/>
        </w:rPr>
        <w:t xml:space="preserve">to distribute it </w:t>
      </w:r>
      <w:r w:rsidRPr="00610904">
        <w:rPr>
          <w:noProof w:val="0"/>
          <w:lang w:val="en-US"/>
        </w:rPr>
        <w:t xml:space="preserve">for its final use in order to guarantee the safety of the blood and blood products </w:t>
      </w:r>
      <w:r w:rsidR="00E84932" w:rsidRPr="00610904">
        <w:rPr>
          <w:noProof w:val="0"/>
          <w:lang w:val="en-US"/>
        </w:rPr>
        <w:t>so as</w:t>
      </w:r>
      <w:r w:rsidRPr="00610904">
        <w:rPr>
          <w:noProof w:val="0"/>
          <w:lang w:val="en-US"/>
        </w:rPr>
        <w:t xml:space="preserve"> to avoid the </w:t>
      </w:r>
      <w:r w:rsidR="00E84932" w:rsidRPr="00610904">
        <w:rPr>
          <w:noProof w:val="0"/>
          <w:lang w:val="en-US"/>
        </w:rPr>
        <w:t>transmission of infections through</w:t>
      </w:r>
      <w:r w:rsidRPr="00610904">
        <w:rPr>
          <w:noProof w:val="0"/>
          <w:lang w:val="en-US"/>
        </w:rPr>
        <w:t xml:space="preserve"> transfusion</w:t>
      </w:r>
      <w:r w:rsidR="00E84932" w:rsidRPr="00610904">
        <w:rPr>
          <w:noProof w:val="0"/>
          <w:lang w:val="en-US"/>
        </w:rPr>
        <w:t>s</w:t>
      </w:r>
      <w:r w:rsidRPr="00610904">
        <w:rPr>
          <w:noProof w:val="0"/>
          <w:lang w:val="en-US"/>
        </w:rPr>
        <w:t>.</w:t>
      </w:r>
    </w:p>
    <w:p w:rsidR="00022F5E" w:rsidRPr="00610904" w:rsidRDefault="00022F5E" w:rsidP="00610904">
      <w:pPr>
        <w:rPr>
          <w:noProof w:val="0"/>
          <w:lang w:val="en-US"/>
        </w:rPr>
      </w:pPr>
    </w:p>
    <w:p w:rsidR="00022F5E" w:rsidRPr="00610904" w:rsidRDefault="00E84932" w:rsidP="00610904">
      <w:pPr>
        <w:numPr>
          <w:ilvl w:val="0"/>
          <w:numId w:val="1"/>
        </w:numPr>
        <w:rPr>
          <w:noProof w:val="0"/>
          <w:lang w:val="en-US"/>
        </w:rPr>
      </w:pPr>
      <w:r w:rsidRPr="00610904">
        <w:rPr>
          <w:noProof w:val="0"/>
          <w:szCs w:val="20"/>
          <w:lang w:val="en-US"/>
        </w:rPr>
        <w:t>Article 22.15</w:t>
      </w:r>
      <w:r w:rsidR="004016D9" w:rsidRPr="00610904">
        <w:rPr>
          <w:noProof w:val="0"/>
          <w:szCs w:val="20"/>
          <w:lang w:val="en-US"/>
        </w:rPr>
        <w:t xml:space="preserve"> of the 1998 Constitution established that</w:t>
      </w:r>
      <w:r w:rsidR="00022F5E" w:rsidRPr="00610904">
        <w:rPr>
          <w:noProof w:val="0"/>
          <w:szCs w:val="20"/>
          <w:lang w:val="en-US"/>
        </w:rPr>
        <w:t xml:space="preserve"> “</w:t>
      </w:r>
      <w:r w:rsidR="009F3D78" w:rsidRPr="00610904">
        <w:rPr>
          <w:noProof w:val="0"/>
          <w:szCs w:val="20"/>
          <w:lang w:val="en-US"/>
        </w:rPr>
        <w:t>the State</w:t>
      </w:r>
      <w:r w:rsidR="00022F5E" w:rsidRPr="00610904">
        <w:rPr>
          <w:noProof w:val="0"/>
          <w:szCs w:val="20"/>
          <w:lang w:val="en-US"/>
        </w:rPr>
        <w:t xml:space="preserve"> </w:t>
      </w:r>
      <w:r w:rsidR="004016D9" w:rsidRPr="00610904">
        <w:rPr>
          <w:noProof w:val="0"/>
          <w:szCs w:val="20"/>
          <w:lang w:val="en-US"/>
        </w:rPr>
        <w:t>shall formulate the national health policy and sh</w:t>
      </w:r>
      <w:r w:rsidRPr="00610904">
        <w:rPr>
          <w:noProof w:val="0"/>
          <w:szCs w:val="20"/>
          <w:lang w:val="en-US"/>
        </w:rPr>
        <w:t>all determine its application in</w:t>
      </w:r>
      <w:r w:rsidR="004016D9" w:rsidRPr="00610904">
        <w:rPr>
          <w:noProof w:val="0"/>
          <w:szCs w:val="20"/>
          <w:lang w:val="en-US"/>
        </w:rPr>
        <w:t xml:space="preserve"> both public and private health </w:t>
      </w:r>
      <w:r w:rsidR="004016D9" w:rsidRPr="00610904">
        <w:rPr>
          <w:noProof w:val="0"/>
          <w:szCs w:val="20"/>
          <w:lang w:val="en-US"/>
        </w:rPr>
        <w:lastRenderedPageBreak/>
        <w:t>care services. The law shall ultimately determine the organ that will control and monitor the companies who provide private health care services.</w:t>
      </w:r>
      <w:r w:rsidR="00022F5E" w:rsidRPr="00610904">
        <w:rPr>
          <w:noProof w:val="0"/>
          <w:szCs w:val="20"/>
          <w:lang w:val="en-US"/>
        </w:rPr>
        <w:t>”</w:t>
      </w:r>
      <w:r w:rsidR="00022F5E" w:rsidRPr="00610904">
        <w:rPr>
          <w:rStyle w:val="FootnoteReference"/>
          <w:noProof w:val="0"/>
          <w:lang w:val="en-US"/>
        </w:rPr>
        <w:footnoteReference w:id="66"/>
      </w:r>
    </w:p>
    <w:p w:rsidR="00022F5E" w:rsidRPr="00610904" w:rsidRDefault="00022F5E" w:rsidP="00610904">
      <w:pPr>
        <w:rPr>
          <w:noProof w:val="0"/>
          <w:lang w:val="en-US"/>
        </w:rPr>
      </w:pPr>
    </w:p>
    <w:p w:rsidR="00022F5E" w:rsidRPr="00610904" w:rsidRDefault="004016D9" w:rsidP="00610904">
      <w:pPr>
        <w:numPr>
          <w:ilvl w:val="0"/>
          <w:numId w:val="1"/>
        </w:numPr>
        <w:rPr>
          <w:noProof w:val="0"/>
          <w:lang w:val="en-US"/>
        </w:rPr>
      </w:pPr>
      <w:r w:rsidRPr="00610904">
        <w:rPr>
          <w:noProof w:val="0"/>
          <w:lang w:val="en-US"/>
        </w:rPr>
        <w:t>I</w:t>
      </w:r>
      <w:r w:rsidR="00022F5E" w:rsidRPr="00610904">
        <w:rPr>
          <w:noProof w:val="0"/>
          <w:lang w:val="en-US"/>
        </w:rPr>
        <w:t xml:space="preserve">n 1998, </w:t>
      </w:r>
      <w:r w:rsidRPr="00610904">
        <w:rPr>
          <w:noProof w:val="0"/>
          <w:lang w:val="en-US"/>
        </w:rPr>
        <w:t xml:space="preserve">the 1986 Law on the supply and use of blood and blood products, amended in 1992, was in force. This law determined that </w:t>
      </w:r>
      <w:r w:rsidR="00A8072E" w:rsidRPr="00610904">
        <w:rPr>
          <w:noProof w:val="0"/>
          <w:lang w:val="en-US"/>
        </w:rPr>
        <w:t>the Red Cross</w:t>
      </w:r>
      <w:r w:rsidR="00022F5E" w:rsidRPr="00610904">
        <w:rPr>
          <w:noProof w:val="0"/>
          <w:lang w:val="en-US"/>
        </w:rPr>
        <w:t xml:space="preserve"> </w:t>
      </w:r>
      <w:r w:rsidRPr="00610904">
        <w:rPr>
          <w:noProof w:val="0"/>
          <w:lang w:val="en-US"/>
        </w:rPr>
        <w:t>had the exclusive compet</w:t>
      </w:r>
      <w:r w:rsidR="00E84932" w:rsidRPr="00610904">
        <w:rPr>
          <w:noProof w:val="0"/>
          <w:lang w:val="en-US"/>
        </w:rPr>
        <w:t>e</w:t>
      </w:r>
      <w:r w:rsidRPr="00610904">
        <w:rPr>
          <w:noProof w:val="0"/>
          <w:lang w:val="en-US"/>
        </w:rPr>
        <w:t xml:space="preserve">nce to manage </w:t>
      </w:r>
      <w:r w:rsidR="00A8072E" w:rsidRPr="00610904">
        <w:rPr>
          <w:noProof w:val="0"/>
          <w:lang w:val="en-US"/>
        </w:rPr>
        <w:t>the blood banks</w:t>
      </w:r>
      <w:r w:rsidR="009F3D78" w:rsidRPr="00610904">
        <w:rPr>
          <w:noProof w:val="0"/>
          <w:lang w:val="en-US"/>
        </w:rPr>
        <w:t xml:space="preserve"> and</w:t>
      </w:r>
      <w:r w:rsidRPr="00610904">
        <w:rPr>
          <w:noProof w:val="0"/>
          <w:lang w:val="en-US"/>
        </w:rPr>
        <w:t xml:space="preserve"> even</w:t>
      </w:r>
      <w:r w:rsidR="009F3D78" w:rsidRPr="00610904">
        <w:rPr>
          <w:noProof w:val="0"/>
          <w:lang w:val="en-US"/>
        </w:rPr>
        <w:t xml:space="preserve"> </w:t>
      </w:r>
      <w:r w:rsidRPr="00610904">
        <w:rPr>
          <w:noProof w:val="0"/>
          <w:lang w:val="en-US"/>
        </w:rPr>
        <w:t xml:space="preserve">that the </w:t>
      </w:r>
      <w:r w:rsidR="00830022" w:rsidRPr="00610904">
        <w:rPr>
          <w:noProof w:val="0"/>
          <w:lang w:val="en-US"/>
        </w:rPr>
        <w:t>Ministry of Public Health</w:t>
      </w:r>
      <w:r w:rsidR="00022F5E" w:rsidRPr="00610904">
        <w:rPr>
          <w:noProof w:val="0"/>
          <w:lang w:val="en-US"/>
        </w:rPr>
        <w:t xml:space="preserve">, </w:t>
      </w:r>
      <w:r w:rsidRPr="00610904">
        <w:rPr>
          <w:noProof w:val="0"/>
          <w:lang w:val="en-US"/>
        </w:rPr>
        <w:t>the Ecuadorian Social Security Institute</w:t>
      </w:r>
      <w:r w:rsidR="00E84932" w:rsidRPr="00610904">
        <w:rPr>
          <w:noProof w:val="0"/>
          <w:lang w:val="en-US"/>
        </w:rPr>
        <w:t>,</w:t>
      </w:r>
      <w:r w:rsidR="009F3D78" w:rsidRPr="00610904">
        <w:rPr>
          <w:noProof w:val="0"/>
          <w:lang w:val="en-US"/>
        </w:rPr>
        <w:t xml:space="preserve"> and </w:t>
      </w:r>
      <w:r w:rsidRPr="00610904">
        <w:rPr>
          <w:noProof w:val="0"/>
          <w:lang w:val="en-US"/>
        </w:rPr>
        <w:t>the Armed Forces would manage blood banks and deposits “under the regulatory control and coordination of</w:t>
      </w:r>
      <w:r w:rsidR="00A8072E" w:rsidRPr="00610904">
        <w:rPr>
          <w:noProof w:val="0"/>
          <w:lang w:val="en-US"/>
        </w:rPr>
        <w:t xml:space="preserve"> the</w:t>
      </w:r>
      <w:r w:rsidRPr="00610904">
        <w:rPr>
          <w:noProof w:val="0"/>
          <w:lang w:val="en-US"/>
        </w:rPr>
        <w:t xml:space="preserve"> Ecuadorian Red Cross.</w:t>
      </w:r>
      <w:r w:rsidR="008A57FA" w:rsidRPr="00610904">
        <w:rPr>
          <w:noProof w:val="0"/>
          <w:lang w:val="en-US"/>
        </w:rPr>
        <w:t>”</w:t>
      </w:r>
      <w:r w:rsidR="00022F5E" w:rsidRPr="00610904">
        <w:rPr>
          <w:rStyle w:val="FootnoteReference"/>
          <w:noProof w:val="0"/>
          <w:lang w:val="en-US"/>
        </w:rPr>
        <w:footnoteReference w:id="67"/>
      </w:r>
      <w:r w:rsidR="00E84932" w:rsidRPr="00610904">
        <w:rPr>
          <w:noProof w:val="0"/>
          <w:lang w:val="en-US"/>
        </w:rPr>
        <w:t xml:space="preserve"> The Law on vo</w:t>
      </w:r>
      <w:r w:rsidRPr="00610904">
        <w:rPr>
          <w:noProof w:val="0"/>
          <w:lang w:val="en-US"/>
        </w:rPr>
        <w:t>luntary blood don</w:t>
      </w:r>
      <w:r w:rsidR="00E84932" w:rsidRPr="00610904">
        <w:rPr>
          <w:noProof w:val="0"/>
          <w:lang w:val="en-US"/>
        </w:rPr>
        <w:t>o</w:t>
      </w:r>
      <w:r w:rsidRPr="00610904">
        <w:rPr>
          <w:noProof w:val="0"/>
          <w:lang w:val="en-US"/>
        </w:rPr>
        <w:t>rs adopted in 1984, was also in force.</w:t>
      </w:r>
      <w:r w:rsidR="00022F5E" w:rsidRPr="00610904">
        <w:rPr>
          <w:rStyle w:val="FootnoteReference"/>
          <w:noProof w:val="0"/>
          <w:lang w:val="en-US"/>
        </w:rPr>
        <w:footnoteReference w:id="68"/>
      </w:r>
    </w:p>
    <w:p w:rsidR="00022F5E" w:rsidRPr="00610904" w:rsidRDefault="00022F5E" w:rsidP="00610904">
      <w:pPr>
        <w:autoSpaceDE w:val="0"/>
        <w:autoSpaceDN w:val="0"/>
        <w:adjustRightInd w:val="0"/>
        <w:ind w:right="720"/>
        <w:rPr>
          <w:noProof w:val="0"/>
          <w:sz w:val="16"/>
          <w:szCs w:val="20"/>
          <w:lang w:val="en-US"/>
        </w:rPr>
      </w:pPr>
    </w:p>
    <w:p w:rsidR="00022F5E" w:rsidRPr="00610904" w:rsidRDefault="00A8072E" w:rsidP="00610904">
      <w:pPr>
        <w:pStyle w:val="Heading2"/>
        <w:numPr>
          <w:ilvl w:val="0"/>
          <w:numId w:val="10"/>
        </w:numPr>
        <w:spacing w:before="0" w:after="0"/>
        <w:rPr>
          <w:rFonts w:cs="Arial"/>
          <w:noProof w:val="0"/>
          <w:lang w:val="en-US"/>
        </w:rPr>
      </w:pPr>
      <w:bookmarkStart w:id="83" w:name="_Toc443399089"/>
      <w:r w:rsidRPr="00610904">
        <w:rPr>
          <w:noProof w:val="0"/>
          <w:lang w:val="en-US"/>
        </w:rPr>
        <w:t>Talía’s health, her hospitalization, and the blood transfusion of June 22,</w:t>
      </w:r>
      <w:r w:rsidR="00022F5E" w:rsidRPr="00610904">
        <w:rPr>
          <w:noProof w:val="0"/>
          <w:lang w:val="en-US"/>
        </w:rPr>
        <w:t xml:space="preserve"> 1998</w:t>
      </w:r>
      <w:r w:rsidR="00022F5E" w:rsidRPr="00610904">
        <w:rPr>
          <w:rStyle w:val="FootnoteReference"/>
          <w:noProof w:val="0"/>
          <w:lang w:val="en-US"/>
        </w:rPr>
        <w:footnoteReference w:id="69"/>
      </w:r>
      <w:bookmarkEnd w:id="83"/>
    </w:p>
    <w:p w:rsidR="00022F5E" w:rsidRPr="00610904" w:rsidRDefault="00022F5E" w:rsidP="00610904">
      <w:pPr>
        <w:rPr>
          <w:noProof w:val="0"/>
          <w:szCs w:val="20"/>
          <w:lang w:val="en-US"/>
        </w:rPr>
      </w:pPr>
    </w:p>
    <w:p w:rsidR="00022F5E" w:rsidRPr="00610904" w:rsidRDefault="004016D9" w:rsidP="00610904">
      <w:pPr>
        <w:numPr>
          <w:ilvl w:val="0"/>
          <w:numId w:val="1"/>
        </w:numPr>
        <w:rPr>
          <w:noProof w:val="0"/>
          <w:lang w:val="en-US"/>
        </w:rPr>
      </w:pPr>
      <w:r w:rsidRPr="00610904">
        <w:rPr>
          <w:rFonts w:cs="Arial"/>
          <w:noProof w:val="0"/>
          <w:szCs w:val="20"/>
          <w:lang w:val="en-US"/>
        </w:rPr>
        <w:t>On June 20,</w:t>
      </w:r>
      <w:r w:rsidR="00022F5E" w:rsidRPr="00610904">
        <w:rPr>
          <w:rFonts w:cs="Arial"/>
          <w:noProof w:val="0"/>
          <w:szCs w:val="20"/>
          <w:lang w:val="en-US"/>
        </w:rPr>
        <w:t xml:space="preserve"> 1998, </w:t>
      </w:r>
      <w:r w:rsidRPr="00610904">
        <w:rPr>
          <w:rFonts w:cs="Arial"/>
          <w:noProof w:val="0"/>
          <w:szCs w:val="20"/>
          <w:lang w:val="en-US"/>
        </w:rPr>
        <w:t xml:space="preserve">when she was three years </w:t>
      </w:r>
      <w:r w:rsidR="00E84932" w:rsidRPr="00610904">
        <w:rPr>
          <w:rFonts w:cs="Arial"/>
          <w:noProof w:val="0"/>
          <w:szCs w:val="20"/>
          <w:lang w:val="en-US"/>
        </w:rPr>
        <w:t>old</w:t>
      </w:r>
      <w:r w:rsidRPr="00610904">
        <w:rPr>
          <w:rFonts w:cs="Arial"/>
          <w:noProof w:val="0"/>
          <w:szCs w:val="20"/>
          <w:lang w:val="en-US"/>
        </w:rPr>
        <w:t xml:space="preserve">, </w:t>
      </w:r>
      <w:r w:rsidR="00022F5E" w:rsidRPr="00610904">
        <w:rPr>
          <w:rFonts w:cs="Arial"/>
          <w:noProof w:val="0"/>
          <w:szCs w:val="20"/>
          <w:lang w:val="en-US"/>
        </w:rPr>
        <w:t xml:space="preserve">Talía </w:t>
      </w:r>
      <w:r w:rsidRPr="00610904">
        <w:rPr>
          <w:rFonts w:cs="Arial"/>
          <w:noProof w:val="0"/>
          <w:szCs w:val="20"/>
          <w:lang w:val="en-US"/>
        </w:rPr>
        <w:t>had a nose bleed that would not stop and her mother took her to the Catholic University Hospita</w:t>
      </w:r>
      <w:r w:rsidR="00E84932" w:rsidRPr="00610904">
        <w:rPr>
          <w:rFonts w:cs="Arial"/>
          <w:noProof w:val="0"/>
          <w:szCs w:val="20"/>
          <w:lang w:val="en-US"/>
        </w:rPr>
        <w:t>l, a private health care establ</w:t>
      </w:r>
      <w:r w:rsidRPr="00610904">
        <w:rPr>
          <w:rFonts w:cs="Arial"/>
          <w:noProof w:val="0"/>
          <w:szCs w:val="20"/>
          <w:lang w:val="en-US"/>
        </w:rPr>
        <w:t>ishment in Cuenca, Azuay</w:t>
      </w:r>
      <w:r w:rsidR="00022F5E" w:rsidRPr="00610904">
        <w:rPr>
          <w:rFonts w:cs="Arial"/>
          <w:noProof w:val="0"/>
          <w:szCs w:val="20"/>
          <w:lang w:val="en-US"/>
        </w:rPr>
        <w:t xml:space="preserve">. Talía </w:t>
      </w:r>
      <w:r w:rsidR="00E84932" w:rsidRPr="00610904">
        <w:rPr>
          <w:rFonts w:cs="Arial"/>
          <w:noProof w:val="0"/>
          <w:szCs w:val="20"/>
          <w:lang w:val="en-US"/>
        </w:rPr>
        <w:t>was hospitalized for two days in</w:t>
      </w:r>
      <w:r w:rsidRPr="00610904">
        <w:rPr>
          <w:rFonts w:cs="Arial"/>
          <w:noProof w:val="0"/>
          <w:szCs w:val="20"/>
          <w:lang w:val="en-US"/>
        </w:rPr>
        <w:t xml:space="preserve"> the University Hospital and, subsequently, her mother took her to the Pablo Jaramillo Foundation Humanitarian Clinic</w:t>
      </w:r>
      <w:r w:rsidR="00022F5E" w:rsidRPr="00610904">
        <w:rPr>
          <w:rFonts w:cs="Arial"/>
          <w:noProof w:val="0"/>
          <w:szCs w:val="20"/>
          <w:lang w:val="en-US"/>
        </w:rPr>
        <w:t xml:space="preserve"> (</w:t>
      </w:r>
      <w:r w:rsidR="009F3D78" w:rsidRPr="00610904">
        <w:rPr>
          <w:rFonts w:cs="Arial"/>
          <w:noProof w:val="0"/>
          <w:szCs w:val="20"/>
          <w:lang w:val="en-US"/>
        </w:rPr>
        <w:t>hereinafter</w:t>
      </w:r>
      <w:r w:rsidR="00022F5E" w:rsidRPr="00610904">
        <w:rPr>
          <w:rFonts w:cs="Arial"/>
          <w:noProof w:val="0"/>
          <w:szCs w:val="20"/>
          <w:lang w:val="en-US"/>
        </w:rPr>
        <w:t xml:space="preserve"> “</w:t>
      </w:r>
      <w:r w:rsidRPr="00610904">
        <w:rPr>
          <w:rFonts w:cs="Arial"/>
          <w:noProof w:val="0"/>
          <w:szCs w:val="20"/>
          <w:lang w:val="en-US"/>
        </w:rPr>
        <w:t>Humanitarian Clinic</w:t>
      </w:r>
      <w:r w:rsidR="00022F5E" w:rsidRPr="00610904">
        <w:rPr>
          <w:rFonts w:cs="Arial"/>
          <w:noProof w:val="0"/>
          <w:szCs w:val="20"/>
          <w:lang w:val="en-US"/>
        </w:rPr>
        <w:t xml:space="preserve">”), </w:t>
      </w:r>
      <w:r w:rsidRPr="00610904">
        <w:rPr>
          <w:rFonts w:cs="Arial"/>
          <w:noProof w:val="0"/>
          <w:szCs w:val="20"/>
          <w:lang w:val="en-US"/>
        </w:rPr>
        <w:t>a</w:t>
      </w:r>
      <w:r w:rsidR="00E84932" w:rsidRPr="00610904">
        <w:rPr>
          <w:rFonts w:cs="Arial"/>
          <w:noProof w:val="0"/>
          <w:szCs w:val="20"/>
          <w:lang w:val="en-US"/>
        </w:rPr>
        <w:t>nother</w:t>
      </w:r>
      <w:r w:rsidRPr="00610904">
        <w:rPr>
          <w:rFonts w:cs="Arial"/>
          <w:noProof w:val="0"/>
          <w:szCs w:val="20"/>
          <w:lang w:val="en-US"/>
        </w:rPr>
        <w:t xml:space="preserve"> pri</w:t>
      </w:r>
      <w:r w:rsidR="00E84932" w:rsidRPr="00610904">
        <w:rPr>
          <w:rFonts w:cs="Arial"/>
          <w:noProof w:val="0"/>
          <w:szCs w:val="20"/>
          <w:lang w:val="en-US"/>
        </w:rPr>
        <w:t>vate health care establishment</w:t>
      </w:r>
      <w:r w:rsidRPr="00610904">
        <w:rPr>
          <w:rFonts w:cs="Arial"/>
          <w:noProof w:val="0"/>
          <w:szCs w:val="20"/>
          <w:lang w:val="en-US"/>
        </w:rPr>
        <w:t xml:space="preserve"> in</w:t>
      </w:r>
      <w:r w:rsidR="00022F5E" w:rsidRPr="00610904">
        <w:rPr>
          <w:rFonts w:cs="Arial"/>
          <w:noProof w:val="0"/>
          <w:szCs w:val="20"/>
          <w:lang w:val="en-US"/>
        </w:rPr>
        <w:t xml:space="preserve"> Cuenca.</w:t>
      </w:r>
      <w:r w:rsidRPr="00610904">
        <w:rPr>
          <w:rFonts w:cs="Arial"/>
          <w:noProof w:val="0"/>
          <w:szCs w:val="20"/>
          <w:lang w:val="en-US"/>
        </w:rPr>
        <w:t xml:space="preserve"> At</w:t>
      </w:r>
      <w:r w:rsidR="00022F5E" w:rsidRPr="00610904">
        <w:rPr>
          <w:rFonts w:cs="Arial"/>
          <w:noProof w:val="0"/>
          <w:szCs w:val="20"/>
          <w:lang w:val="en-US"/>
        </w:rPr>
        <w:t xml:space="preserve"> </w:t>
      </w:r>
      <w:r w:rsidR="00091F7C" w:rsidRPr="00610904">
        <w:rPr>
          <w:rFonts w:cs="Arial"/>
          <w:noProof w:val="0"/>
          <w:szCs w:val="20"/>
          <w:lang w:val="en-US"/>
        </w:rPr>
        <w:t>the Humanitarian Clinic</w:t>
      </w:r>
      <w:r w:rsidR="00022F5E" w:rsidRPr="00610904">
        <w:rPr>
          <w:rFonts w:cs="Arial"/>
          <w:noProof w:val="0"/>
          <w:szCs w:val="20"/>
          <w:lang w:val="en-US"/>
        </w:rPr>
        <w:t>, Talía</w:t>
      </w:r>
      <w:r w:rsidRPr="00610904">
        <w:rPr>
          <w:rFonts w:cs="Arial"/>
          <w:noProof w:val="0"/>
          <w:szCs w:val="20"/>
          <w:lang w:val="en-US"/>
        </w:rPr>
        <w:t xml:space="preserve"> was diagnosed with</w:t>
      </w:r>
      <w:r w:rsidR="000B5594" w:rsidRPr="00610904">
        <w:rPr>
          <w:rFonts w:cs="Arial"/>
          <w:noProof w:val="0"/>
          <w:szCs w:val="20"/>
          <w:lang w:val="en-US"/>
        </w:rPr>
        <w:t xml:space="preserve"> </w:t>
      </w:r>
      <w:r w:rsidR="000B5594" w:rsidRPr="00610904">
        <w:rPr>
          <w:bCs/>
          <w:noProof w:val="0"/>
          <w:lang w:val="en-US"/>
        </w:rPr>
        <w:t>thrombocytopenic purpura</w:t>
      </w:r>
      <w:r w:rsidR="00022F5E" w:rsidRPr="00610904">
        <w:rPr>
          <w:rStyle w:val="FootnoteReference"/>
          <w:noProof w:val="0"/>
          <w:lang w:val="en-US"/>
        </w:rPr>
        <w:footnoteReference w:id="70"/>
      </w:r>
      <w:r w:rsidR="00022F5E" w:rsidRPr="00610904">
        <w:rPr>
          <w:rFonts w:cs="Arial"/>
          <w:noProof w:val="0"/>
          <w:szCs w:val="20"/>
          <w:lang w:val="en-US"/>
        </w:rPr>
        <w:t xml:space="preserve"> </w:t>
      </w:r>
      <w:r w:rsidR="000B5594" w:rsidRPr="00610904">
        <w:rPr>
          <w:rFonts w:cs="Arial"/>
          <w:noProof w:val="0"/>
          <w:szCs w:val="20"/>
          <w:lang w:val="en-US"/>
        </w:rPr>
        <w:t>by</w:t>
      </w:r>
      <w:r w:rsidR="00022F5E" w:rsidRPr="00610904">
        <w:rPr>
          <w:rFonts w:cs="Arial"/>
          <w:noProof w:val="0"/>
          <w:szCs w:val="20"/>
          <w:lang w:val="en-US"/>
        </w:rPr>
        <w:t xml:space="preserve"> </w:t>
      </w:r>
      <w:r w:rsidR="00544C91" w:rsidRPr="00610904">
        <w:rPr>
          <w:rFonts w:cs="Arial"/>
          <w:noProof w:val="0"/>
          <w:szCs w:val="20"/>
          <w:lang w:val="en-US"/>
        </w:rPr>
        <w:t>Dr. PMT</w:t>
      </w:r>
      <w:r w:rsidR="00022F5E" w:rsidRPr="00610904">
        <w:rPr>
          <w:rFonts w:cs="Arial"/>
          <w:noProof w:val="0"/>
          <w:szCs w:val="20"/>
          <w:lang w:val="en-US"/>
        </w:rPr>
        <w:t xml:space="preserve">, </w:t>
      </w:r>
      <w:r w:rsidR="000B5594" w:rsidRPr="00610904">
        <w:rPr>
          <w:rFonts w:cs="Arial"/>
          <w:noProof w:val="0"/>
          <w:szCs w:val="20"/>
          <w:lang w:val="en-US"/>
        </w:rPr>
        <w:t>a</w:t>
      </w:r>
      <w:r w:rsidR="00A8072E" w:rsidRPr="00610904">
        <w:rPr>
          <w:rFonts w:cs="Arial"/>
          <w:noProof w:val="0"/>
          <w:szCs w:val="20"/>
          <w:lang w:val="en-US"/>
        </w:rPr>
        <w:t xml:space="preserve"> Red Cross</w:t>
      </w:r>
      <w:r w:rsidR="000B5594" w:rsidRPr="00610904">
        <w:rPr>
          <w:rFonts w:cs="Arial"/>
          <w:noProof w:val="0"/>
          <w:szCs w:val="20"/>
          <w:lang w:val="en-US"/>
        </w:rPr>
        <w:t xml:space="preserve"> doctor,</w:t>
      </w:r>
      <w:r w:rsidR="00022F5E" w:rsidRPr="00610904">
        <w:rPr>
          <w:rStyle w:val="FootnoteReference"/>
          <w:noProof w:val="0"/>
          <w:lang w:val="en-US"/>
        </w:rPr>
        <w:footnoteReference w:id="71"/>
      </w:r>
      <w:r w:rsidR="000B5594" w:rsidRPr="00610904">
        <w:rPr>
          <w:rFonts w:cs="Arial"/>
          <w:noProof w:val="0"/>
          <w:szCs w:val="20"/>
          <w:lang w:val="en-US"/>
        </w:rPr>
        <w:t xml:space="preserve"> who informed Teresa Lluy that</w:t>
      </w:r>
      <w:r w:rsidR="00022F5E" w:rsidRPr="00610904">
        <w:rPr>
          <w:rFonts w:cs="Arial"/>
          <w:noProof w:val="0"/>
          <w:szCs w:val="20"/>
          <w:lang w:val="en-US"/>
        </w:rPr>
        <w:t xml:space="preserve"> Talía </w:t>
      </w:r>
      <w:r w:rsidR="000B5594" w:rsidRPr="00610904">
        <w:rPr>
          <w:rFonts w:cs="Arial"/>
          <w:noProof w:val="0"/>
          <w:szCs w:val="20"/>
          <w:lang w:val="en-US"/>
        </w:rPr>
        <w:t>urgently needed a transfusion of blood and platelets.</w:t>
      </w:r>
    </w:p>
    <w:p w:rsidR="00022F5E" w:rsidRPr="00610904" w:rsidRDefault="00022F5E" w:rsidP="00610904">
      <w:pPr>
        <w:rPr>
          <w:noProof w:val="0"/>
          <w:lang w:val="en-US"/>
        </w:rPr>
      </w:pPr>
    </w:p>
    <w:p w:rsidR="00022F5E" w:rsidRPr="00610904" w:rsidRDefault="00C44085" w:rsidP="00610904">
      <w:pPr>
        <w:numPr>
          <w:ilvl w:val="0"/>
          <w:numId w:val="1"/>
        </w:numPr>
        <w:rPr>
          <w:noProof w:val="0"/>
          <w:lang w:val="en-US"/>
        </w:rPr>
      </w:pPr>
      <w:r w:rsidRPr="00610904">
        <w:rPr>
          <w:rFonts w:cs="Arial"/>
          <w:noProof w:val="0"/>
          <w:szCs w:val="20"/>
          <w:lang w:val="en-US"/>
        </w:rPr>
        <w:t>In order to obtain the blood required for T</w:t>
      </w:r>
      <w:r w:rsidR="00E84932" w:rsidRPr="00610904">
        <w:rPr>
          <w:rFonts w:cs="Arial"/>
          <w:noProof w:val="0"/>
          <w:szCs w:val="20"/>
          <w:lang w:val="en-US"/>
        </w:rPr>
        <w:t>a</w:t>
      </w:r>
      <w:r w:rsidRPr="00610904">
        <w:rPr>
          <w:rFonts w:cs="Arial"/>
          <w:noProof w:val="0"/>
          <w:szCs w:val="20"/>
          <w:lang w:val="en-US"/>
        </w:rPr>
        <w:t>lía’s transfusion</w:t>
      </w:r>
      <w:r w:rsidR="00022F5E" w:rsidRPr="00610904">
        <w:rPr>
          <w:rFonts w:cs="Arial"/>
          <w:noProof w:val="0"/>
          <w:szCs w:val="20"/>
          <w:lang w:val="en-US"/>
        </w:rPr>
        <w:t xml:space="preserve">, Teresa Lluy </w:t>
      </w:r>
      <w:r w:rsidRPr="00610904">
        <w:rPr>
          <w:rFonts w:cs="Arial"/>
          <w:noProof w:val="0"/>
          <w:szCs w:val="20"/>
          <w:lang w:val="en-US"/>
        </w:rPr>
        <w:t>went to the</w:t>
      </w:r>
      <w:r w:rsidR="00022F5E" w:rsidRPr="00610904">
        <w:rPr>
          <w:rFonts w:cs="Arial"/>
          <w:noProof w:val="0"/>
          <w:szCs w:val="20"/>
          <w:lang w:val="en-US"/>
        </w:rPr>
        <w:t xml:space="preserve"> </w:t>
      </w:r>
      <w:r w:rsidRPr="00610904">
        <w:rPr>
          <w:rFonts w:cs="Arial"/>
          <w:noProof w:val="0"/>
          <w:szCs w:val="20"/>
          <w:lang w:val="en-US"/>
        </w:rPr>
        <w:t>Azuay Red Cross Blood Bank</w:t>
      </w:r>
      <w:r w:rsidR="00022F5E" w:rsidRPr="00610904">
        <w:rPr>
          <w:rFonts w:cs="Arial"/>
          <w:noProof w:val="0"/>
          <w:szCs w:val="20"/>
          <w:lang w:val="en-US"/>
        </w:rPr>
        <w:t xml:space="preserve"> (</w:t>
      </w:r>
      <w:r w:rsidR="009F3D78" w:rsidRPr="00610904">
        <w:rPr>
          <w:rFonts w:cs="Arial"/>
          <w:noProof w:val="0"/>
          <w:szCs w:val="20"/>
          <w:lang w:val="en-US"/>
        </w:rPr>
        <w:t>hereinafter</w:t>
      </w:r>
      <w:r w:rsidR="00022F5E" w:rsidRPr="00610904">
        <w:rPr>
          <w:rFonts w:cs="Arial"/>
          <w:noProof w:val="0"/>
          <w:szCs w:val="20"/>
          <w:lang w:val="en-US"/>
        </w:rPr>
        <w:t xml:space="preserve"> “</w:t>
      </w:r>
      <w:r w:rsidRPr="00610904">
        <w:rPr>
          <w:rFonts w:cs="Arial"/>
          <w:noProof w:val="0"/>
          <w:szCs w:val="20"/>
          <w:lang w:val="en-US"/>
        </w:rPr>
        <w:t>Red Cross Blood Bank</w:t>
      </w:r>
      <w:r w:rsidR="00022F5E" w:rsidRPr="00610904">
        <w:rPr>
          <w:rFonts w:cs="Arial"/>
          <w:noProof w:val="0"/>
          <w:szCs w:val="20"/>
          <w:lang w:val="en-US"/>
        </w:rPr>
        <w:t xml:space="preserve">”) </w:t>
      </w:r>
      <w:r w:rsidRPr="00610904">
        <w:rPr>
          <w:rFonts w:cs="Arial"/>
          <w:noProof w:val="0"/>
          <w:szCs w:val="20"/>
          <w:lang w:val="en-US"/>
        </w:rPr>
        <w:t xml:space="preserve">where they advised her that she should bring donors. </w:t>
      </w:r>
      <w:r w:rsidR="00022F5E" w:rsidRPr="00610904">
        <w:rPr>
          <w:rFonts w:cs="Arial"/>
          <w:noProof w:val="0"/>
          <w:szCs w:val="20"/>
          <w:lang w:val="en-US"/>
        </w:rPr>
        <w:t xml:space="preserve">Teresa Lluy </w:t>
      </w:r>
      <w:r w:rsidRPr="00610904">
        <w:rPr>
          <w:rFonts w:cs="Arial"/>
          <w:noProof w:val="0"/>
          <w:szCs w:val="20"/>
          <w:lang w:val="en-US"/>
        </w:rPr>
        <w:t>then asked some acquaintances, including Mr.</w:t>
      </w:r>
      <w:r w:rsidR="00022F5E" w:rsidRPr="00610904">
        <w:rPr>
          <w:rFonts w:cs="Arial"/>
          <w:noProof w:val="0"/>
          <w:szCs w:val="20"/>
          <w:lang w:val="en-US"/>
        </w:rPr>
        <w:t xml:space="preserve"> HSA, </w:t>
      </w:r>
      <w:r w:rsidRPr="00610904">
        <w:rPr>
          <w:rFonts w:cs="Arial"/>
          <w:noProof w:val="0"/>
          <w:szCs w:val="20"/>
          <w:lang w:val="en-US"/>
        </w:rPr>
        <w:t>and they donated blood.</w:t>
      </w:r>
    </w:p>
    <w:p w:rsidR="00022F5E" w:rsidRPr="00610904" w:rsidRDefault="00022F5E" w:rsidP="00610904">
      <w:pPr>
        <w:rPr>
          <w:rFonts w:cs="Arial"/>
          <w:noProof w:val="0"/>
          <w:szCs w:val="20"/>
          <w:lang w:val="en-US"/>
        </w:rPr>
      </w:pPr>
    </w:p>
    <w:p w:rsidR="00022F5E" w:rsidRPr="00610904" w:rsidRDefault="00C44085" w:rsidP="00610904">
      <w:pPr>
        <w:numPr>
          <w:ilvl w:val="0"/>
          <w:numId w:val="1"/>
        </w:numPr>
        <w:rPr>
          <w:noProof w:val="0"/>
          <w:lang w:val="en-US"/>
        </w:rPr>
      </w:pPr>
      <w:r w:rsidRPr="00610904">
        <w:rPr>
          <w:rFonts w:cs="Arial"/>
          <w:noProof w:val="0"/>
          <w:szCs w:val="20"/>
          <w:lang w:val="en-US"/>
        </w:rPr>
        <w:t>On June 22,</w:t>
      </w:r>
      <w:r w:rsidR="00022F5E" w:rsidRPr="00610904">
        <w:rPr>
          <w:rFonts w:cs="Arial"/>
          <w:noProof w:val="0"/>
          <w:szCs w:val="20"/>
          <w:lang w:val="en-US"/>
        </w:rPr>
        <w:t xml:space="preserve"> 1998, </w:t>
      </w:r>
      <w:r w:rsidR="00544C91" w:rsidRPr="00610904">
        <w:rPr>
          <w:rFonts w:cs="Arial"/>
          <w:noProof w:val="0"/>
          <w:szCs w:val="20"/>
          <w:lang w:val="en-US"/>
        </w:rPr>
        <w:t>Mr. HSA</w:t>
      </w:r>
      <w:r w:rsidR="00022F5E" w:rsidRPr="00610904">
        <w:rPr>
          <w:rFonts w:cs="Arial"/>
          <w:noProof w:val="0"/>
          <w:szCs w:val="20"/>
          <w:lang w:val="en-US"/>
        </w:rPr>
        <w:t xml:space="preserve"> </w:t>
      </w:r>
      <w:r w:rsidRPr="00610904">
        <w:rPr>
          <w:rFonts w:cs="Arial"/>
          <w:noProof w:val="0"/>
          <w:szCs w:val="20"/>
          <w:lang w:val="en-US"/>
        </w:rPr>
        <w:t>went to the</w:t>
      </w:r>
      <w:r w:rsidR="00022F5E" w:rsidRPr="00610904">
        <w:rPr>
          <w:rFonts w:cs="Arial"/>
          <w:noProof w:val="0"/>
          <w:szCs w:val="20"/>
          <w:lang w:val="en-US"/>
        </w:rPr>
        <w:t xml:space="preserve"> </w:t>
      </w:r>
      <w:r w:rsidRPr="00610904">
        <w:rPr>
          <w:rFonts w:cs="Arial"/>
          <w:noProof w:val="0"/>
          <w:szCs w:val="20"/>
          <w:lang w:val="en-US"/>
        </w:rPr>
        <w:t>Red Cross Blood Bank</w:t>
      </w:r>
      <w:r w:rsidR="00022F5E" w:rsidRPr="00610904">
        <w:rPr>
          <w:rFonts w:cs="Arial"/>
          <w:noProof w:val="0"/>
          <w:szCs w:val="20"/>
          <w:lang w:val="en-US"/>
        </w:rPr>
        <w:t xml:space="preserve"> </w:t>
      </w:r>
      <w:r w:rsidRPr="00610904">
        <w:rPr>
          <w:rFonts w:cs="Arial"/>
          <w:noProof w:val="0"/>
          <w:szCs w:val="20"/>
          <w:lang w:val="en-US"/>
        </w:rPr>
        <w:t xml:space="preserve">to donate blood. Ms. </w:t>
      </w:r>
      <w:r w:rsidR="00022F5E" w:rsidRPr="00610904">
        <w:rPr>
          <w:rFonts w:eastAsia="Calibri" w:cs="Arial"/>
          <w:noProof w:val="0"/>
          <w:szCs w:val="20"/>
          <w:lang w:val="en-US"/>
        </w:rPr>
        <w:t xml:space="preserve">MRR, </w:t>
      </w:r>
      <w:r w:rsidRPr="00610904">
        <w:rPr>
          <w:rFonts w:eastAsia="Calibri" w:cs="Arial"/>
          <w:noProof w:val="0"/>
          <w:szCs w:val="20"/>
          <w:lang w:val="en-US"/>
        </w:rPr>
        <w:t xml:space="preserve">nursing assistant </w:t>
      </w:r>
      <w:r w:rsidR="00A8072E" w:rsidRPr="00610904">
        <w:rPr>
          <w:rFonts w:cs="Arial"/>
          <w:noProof w:val="0"/>
          <w:szCs w:val="20"/>
          <w:lang w:val="en-US"/>
        </w:rPr>
        <w:t xml:space="preserve">of the </w:t>
      </w:r>
      <w:r w:rsidRPr="00610904">
        <w:rPr>
          <w:rFonts w:cs="Arial"/>
          <w:noProof w:val="0"/>
          <w:szCs w:val="20"/>
          <w:lang w:val="en-US"/>
        </w:rPr>
        <w:t>Red Cross Blood Bank</w:t>
      </w:r>
      <w:r w:rsidR="00022F5E" w:rsidRPr="00610904">
        <w:rPr>
          <w:rFonts w:cs="Arial"/>
          <w:noProof w:val="0"/>
          <w:szCs w:val="20"/>
          <w:lang w:val="en-US"/>
        </w:rPr>
        <w:t>, t</w:t>
      </w:r>
      <w:r w:rsidRPr="00610904">
        <w:rPr>
          <w:rFonts w:cs="Arial"/>
          <w:noProof w:val="0"/>
          <w:szCs w:val="20"/>
          <w:lang w:val="en-US"/>
        </w:rPr>
        <w:t xml:space="preserve">ook blood samples from Mr. </w:t>
      </w:r>
      <w:r w:rsidR="00022F5E" w:rsidRPr="00610904">
        <w:rPr>
          <w:rFonts w:cs="Arial"/>
          <w:noProof w:val="0"/>
          <w:szCs w:val="20"/>
          <w:lang w:val="en-US"/>
        </w:rPr>
        <w:t>HSA</w:t>
      </w:r>
      <w:r w:rsidR="009F3D78" w:rsidRPr="00610904">
        <w:rPr>
          <w:rFonts w:cs="Arial"/>
          <w:noProof w:val="0"/>
          <w:szCs w:val="20"/>
          <w:lang w:val="en-US"/>
        </w:rPr>
        <w:t xml:space="preserve"> and </w:t>
      </w:r>
      <w:r w:rsidRPr="00610904">
        <w:rPr>
          <w:rFonts w:cs="Arial"/>
          <w:noProof w:val="0"/>
          <w:szCs w:val="20"/>
          <w:lang w:val="en-US"/>
        </w:rPr>
        <w:t xml:space="preserve">delivered the “pints of blood” to Talía’s family and friends. That evening, Ms. BRR, an intern </w:t>
      </w:r>
      <w:r w:rsidRPr="00610904">
        <w:rPr>
          <w:rFonts w:cs="Arial"/>
          <w:noProof w:val="0"/>
          <w:szCs w:val="20"/>
          <w:lang w:val="en-US"/>
        </w:rPr>
        <w:lastRenderedPageBreak/>
        <w:t xml:space="preserve">at </w:t>
      </w:r>
      <w:r w:rsidR="00A8072E" w:rsidRPr="00610904">
        <w:rPr>
          <w:rFonts w:cs="Arial"/>
          <w:noProof w:val="0"/>
          <w:szCs w:val="20"/>
          <w:lang w:val="en-US"/>
        </w:rPr>
        <w:t xml:space="preserve">the </w:t>
      </w:r>
      <w:r w:rsidRPr="00610904">
        <w:rPr>
          <w:rFonts w:cs="Arial"/>
          <w:noProof w:val="0"/>
          <w:szCs w:val="20"/>
          <w:lang w:val="en-US"/>
        </w:rPr>
        <w:t>Red Cross Blood Bank</w:t>
      </w:r>
      <w:r w:rsidR="00022F5E" w:rsidRPr="00610904">
        <w:rPr>
          <w:rFonts w:cs="Arial"/>
          <w:noProof w:val="0"/>
          <w:szCs w:val="20"/>
          <w:lang w:val="en-US"/>
        </w:rPr>
        <w:t xml:space="preserve">, </w:t>
      </w:r>
      <w:r w:rsidRPr="00610904">
        <w:rPr>
          <w:rFonts w:cs="Arial"/>
          <w:noProof w:val="0"/>
          <w:szCs w:val="20"/>
          <w:lang w:val="en-US"/>
        </w:rPr>
        <w:t xml:space="preserve">delivered the concentrates of the platelets to two friends of </w:t>
      </w:r>
      <w:r w:rsidR="00022F5E" w:rsidRPr="00610904">
        <w:rPr>
          <w:rFonts w:cs="Arial"/>
          <w:noProof w:val="0"/>
          <w:szCs w:val="20"/>
          <w:lang w:val="en-US"/>
        </w:rPr>
        <w:t xml:space="preserve">Teresa Lluy. </w:t>
      </w:r>
      <w:r w:rsidRPr="00610904">
        <w:rPr>
          <w:rFonts w:cs="Arial"/>
          <w:noProof w:val="0"/>
          <w:szCs w:val="20"/>
          <w:lang w:val="en-US"/>
        </w:rPr>
        <w:t xml:space="preserve">Owing to the urgency, personnel of the Humanitarian Clinic gave the blood transfusions to Talía on June 22, </w:t>
      </w:r>
      <w:r w:rsidR="00022F5E" w:rsidRPr="00610904">
        <w:rPr>
          <w:rFonts w:cs="Arial"/>
          <w:noProof w:val="0"/>
          <w:szCs w:val="20"/>
          <w:lang w:val="en-US"/>
        </w:rPr>
        <w:t>1998</w:t>
      </w:r>
      <w:r w:rsidRPr="00610904">
        <w:rPr>
          <w:rFonts w:cs="Arial"/>
          <w:noProof w:val="0"/>
          <w:szCs w:val="20"/>
          <w:lang w:val="en-US"/>
        </w:rPr>
        <w:t>, and during the early morning hours of the following day.</w:t>
      </w:r>
    </w:p>
    <w:p w:rsidR="00C44085" w:rsidRPr="00610904" w:rsidRDefault="00C44085" w:rsidP="00610904">
      <w:pPr>
        <w:rPr>
          <w:noProof w:val="0"/>
          <w:lang w:val="en-US"/>
        </w:rPr>
      </w:pPr>
    </w:p>
    <w:p w:rsidR="00022F5E" w:rsidRPr="00610904" w:rsidRDefault="00544C91" w:rsidP="00610904">
      <w:pPr>
        <w:numPr>
          <w:ilvl w:val="0"/>
          <w:numId w:val="1"/>
        </w:numPr>
        <w:rPr>
          <w:noProof w:val="0"/>
          <w:lang w:val="en-US"/>
        </w:rPr>
      </w:pPr>
      <w:r w:rsidRPr="00610904">
        <w:rPr>
          <w:rFonts w:cs="Arial"/>
          <w:noProof w:val="0"/>
          <w:szCs w:val="20"/>
          <w:lang w:val="en-US"/>
        </w:rPr>
        <w:t>On June 23,</w:t>
      </w:r>
      <w:r w:rsidR="00022F5E" w:rsidRPr="00610904">
        <w:rPr>
          <w:rFonts w:cs="Arial"/>
          <w:noProof w:val="0"/>
          <w:szCs w:val="20"/>
          <w:lang w:val="en-US"/>
        </w:rPr>
        <w:t xml:space="preserve"> 1998</w:t>
      </w:r>
      <w:r w:rsidR="00E84932" w:rsidRPr="00610904">
        <w:rPr>
          <w:rFonts w:cs="Arial"/>
          <w:noProof w:val="0"/>
          <w:szCs w:val="20"/>
          <w:lang w:val="en-US"/>
        </w:rPr>
        <w:t xml:space="preserve">, </w:t>
      </w:r>
      <w:r w:rsidR="00C44085" w:rsidRPr="00610904">
        <w:rPr>
          <w:rFonts w:cs="Arial"/>
          <w:noProof w:val="0"/>
          <w:szCs w:val="20"/>
          <w:lang w:val="en-US"/>
        </w:rPr>
        <w:t>Ms. EOQ</w:t>
      </w:r>
      <w:r w:rsidR="00022F5E" w:rsidRPr="00610904">
        <w:rPr>
          <w:rFonts w:cs="Arial"/>
          <w:noProof w:val="0"/>
          <w:szCs w:val="20"/>
          <w:lang w:val="en-US"/>
        </w:rPr>
        <w:t xml:space="preserve">, </w:t>
      </w:r>
      <w:r w:rsidRPr="00610904">
        <w:rPr>
          <w:rFonts w:cs="Arial"/>
          <w:noProof w:val="0"/>
          <w:szCs w:val="20"/>
          <w:lang w:val="en-US"/>
        </w:rPr>
        <w:t>biochemist</w:t>
      </w:r>
      <w:r w:rsidR="00A8072E" w:rsidRPr="00610904">
        <w:rPr>
          <w:rFonts w:cs="Arial"/>
          <w:noProof w:val="0"/>
          <w:szCs w:val="20"/>
          <w:lang w:val="en-US"/>
        </w:rPr>
        <w:t xml:space="preserve"> of the </w:t>
      </w:r>
      <w:r w:rsidR="00C44085" w:rsidRPr="00610904">
        <w:rPr>
          <w:rFonts w:cs="Arial"/>
          <w:noProof w:val="0"/>
          <w:szCs w:val="20"/>
          <w:lang w:val="en-US"/>
        </w:rPr>
        <w:t xml:space="preserve">Red Cross </w:t>
      </w:r>
      <w:r w:rsidR="00A8072E" w:rsidRPr="00610904">
        <w:rPr>
          <w:rFonts w:cs="Arial"/>
          <w:noProof w:val="0"/>
          <w:szCs w:val="20"/>
          <w:lang w:val="en-US"/>
        </w:rPr>
        <w:t>Blood Bank</w:t>
      </w:r>
      <w:r w:rsidR="00C44085" w:rsidRPr="00610904">
        <w:rPr>
          <w:rFonts w:cs="Arial"/>
          <w:noProof w:val="0"/>
          <w:szCs w:val="20"/>
          <w:lang w:val="en-US"/>
        </w:rPr>
        <w:t xml:space="preserve"> examined the blood sample of HSA for the first time, including testing for HIV.</w:t>
      </w:r>
      <w:r w:rsidR="00022F5E" w:rsidRPr="00610904">
        <w:rPr>
          <w:rStyle w:val="FootnoteReference"/>
          <w:noProof w:val="0"/>
          <w:lang w:val="en-US"/>
        </w:rPr>
        <w:footnoteReference w:id="72"/>
      </w:r>
      <w:r w:rsidR="00022F5E" w:rsidRPr="00610904">
        <w:rPr>
          <w:rFonts w:cs="Arial"/>
          <w:noProof w:val="0"/>
          <w:szCs w:val="20"/>
          <w:lang w:val="en-US"/>
        </w:rPr>
        <w:t xml:space="preserve"> Talía </w:t>
      </w:r>
      <w:r w:rsidR="00C44085" w:rsidRPr="00610904">
        <w:rPr>
          <w:rFonts w:cs="Arial"/>
          <w:noProof w:val="0"/>
          <w:szCs w:val="20"/>
          <w:lang w:val="en-US"/>
        </w:rPr>
        <w:t xml:space="preserve">remained in </w:t>
      </w:r>
      <w:r w:rsidR="00091F7C" w:rsidRPr="00610904">
        <w:rPr>
          <w:rFonts w:cs="Arial"/>
          <w:noProof w:val="0"/>
          <w:szCs w:val="20"/>
          <w:lang w:val="en-US"/>
        </w:rPr>
        <w:t>the Humanitarian Clinic</w:t>
      </w:r>
      <w:r w:rsidR="00C44085" w:rsidRPr="00610904">
        <w:rPr>
          <w:rFonts w:cs="Arial"/>
          <w:noProof w:val="0"/>
          <w:szCs w:val="20"/>
          <w:lang w:val="en-US"/>
        </w:rPr>
        <w:t xml:space="preserve"> until June 29, </w:t>
      </w:r>
      <w:r w:rsidR="00022F5E" w:rsidRPr="00610904">
        <w:rPr>
          <w:rFonts w:cs="Arial"/>
          <w:noProof w:val="0"/>
          <w:szCs w:val="20"/>
          <w:lang w:val="en-US"/>
        </w:rPr>
        <w:t xml:space="preserve">1998, </w:t>
      </w:r>
      <w:r w:rsidR="00C44085" w:rsidRPr="00610904">
        <w:rPr>
          <w:rFonts w:cs="Arial"/>
          <w:noProof w:val="0"/>
          <w:szCs w:val="20"/>
          <w:lang w:val="en-US"/>
        </w:rPr>
        <w:t>when she was released.</w:t>
      </w:r>
    </w:p>
    <w:p w:rsidR="00022F5E" w:rsidRPr="00610904" w:rsidRDefault="00022F5E" w:rsidP="00610904">
      <w:pPr>
        <w:rPr>
          <w:rFonts w:cs="Arial"/>
          <w:b/>
          <w:noProof w:val="0"/>
          <w:szCs w:val="20"/>
          <w:lang w:val="en-US"/>
        </w:rPr>
      </w:pPr>
    </w:p>
    <w:p w:rsidR="00022F5E" w:rsidRPr="00610904" w:rsidRDefault="00C44085" w:rsidP="00610904">
      <w:pPr>
        <w:pStyle w:val="Heading2"/>
        <w:spacing w:before="0" w:after="0"/>
        <w:rPr>
          <w:noProof w:val="0"/>
          <w:lang w:val="en-US"/>
        </w:rPr>
      </w:pPr>
      <w:bookmarkStart w:id="84" w:name="_Toc443399090"/>
      <w:r w:rsidRPr="00610904">
        <w:rPr>
          <w:noProof w:val="0"/>
          <w:lang w:val="en-US"/>
        </w:rPr>
        <w:t>Talia’s infection with HIV</w:t>
      </w:r>
      <w:r w:rsidR="00022F5E" w:rsidRPr="00610904">
        <w:rPr>
          <w:rStyle w:val="FootnoteReference"/>
          <w:noProof w:val="0"/>
          <w:lang w:val="en-US"/>
        </w:rPr>
        <w:footnoteReference w:id="73"/>
      </w:r>
      <w:bookmarkEnd w:id="84"/>
    </w:p>
    <w:p w:rsidR="00022F5E" w:rsidRPr="00610904" w:rsidRDefault="00022F5E" w:rsidP="00610904">
      <w:pPr>
        <w:rPr>
          <w:noProof w:val="0"/>
          <w:lang w:val="en-US"/>
        </w:rPr>
      </w:pPr>
    </w:p>
    <w:p w:rsidR="00022F5E" w:rsidRPr="00610904" w:rsidRDefault="0051351F" w:rsidP="00610904">
      <w:pPr>
        <w:numPr>
          <w:ilvl w:val="0"/>
          <w:numId w:val="1"/>
        </w:numPr>
        <w:rPr>
          <w:noProof w:val="0"/>
          <w:lang w:val="en-US"/>
        </w:rPr>
      </w:pPr>
      <w:r>
        <w:rPr>
          <w:noProof w:val="0"/>
          <w:szCs w:val="20"/>
          <w:lang w:val="en-US"/>
        </w:rPr>
        <w:t>“A</w:t>
      </w:r>
      <w:r w:rsidR="00AF14CB" w:rsidRPr="00610904">
        <w:rPr>
          <w:noProof w:val="0"/>
          <w:szCs w:val="20"/>
          <w:lang w:val="en-US"/>
        </w:rPr>
        <w:t xml:space="preserve">pproximately fifteen days” after having donated the blood to </w:t>
      </w:r>
      <w:r w:rsidR="00022F5E" w:rsidRPr="00610904">
        <w:rPr>
          <w:noProof w:val="0"/>
          <w:szCs w:val="20"/>
          <w:lang w:val="en-US"/>
        </w:rPr>
        <w:t xml:space="preserve">Talía, </w:t>
      </w:r>
      <w:r w:rsidR="00544C91" w:rsidRPr="00610904">
        <w:rPr>
          <w:noProof w:val="0"/>
          <w:szCs w:val="20"/>
          <w:lang w:val="en-US"/>
        </w:rPr>
        <w:t>Mr. HSA</w:t>
      </w:r>
      <w:r w:rsidR="00022F5E" w:rsidRPr="00610904">
        <w:rPr>
          <w:noProof w:val="0"/>
          <w:szCs w:val="20"/>
          <w:lang w:val="en-US"/>
        </w:rPr>
        <w:t xml:space="preserve"> </w:t>
      </w:r>
      <w:r w:rsidR="00AF14CB" w:rsidRPr="00610904">
        <w:rPr>
          <w:noProof w:val="0"/>
          <w:szCs w:val="20"/>
          <w:lang w:val="en-US"/>
        </w:rPr>
        <w:t xml:space="preserve">received a call “from </w:t>
      </w:r>
      <w:r w:rsidR="00A8072E" w:rsidRPr="00610904">
        <w:rPr>
          <w:noProof w:val="0"/>
          <w:szCs w:val="20"/>
          <w:lang w:val="en-US"/>
        </w:rPr>
        <w:t>the Red Cross</w:t>
      </w:r>
      <w:r w:rsidR="00022F5E" w:rsidRPr="00610904">
        <w:rPr>
          <w:noProof w:val="0"/>
          <w:szCs w:val="20"/>
          <w:lang w:val="en-US"/>
        </w:rPr>
        <w:t xml:space="preserve">” </w:t>
      </w:r>
      <w:r w:rsidR="00AF14CB" w:rsidRPr="00610904">
        <w:rPr>
          <w:noProof w:val="0"/>
          <w:szCs w:val="20"/>
          <w:lang w:val="en-US"/>
        </w:rPr>
        <w:t xml:space="preserve">asking him to come to the </w:t>
      </w:r>
      <w:r w:rsidR="00C44085" w:rsidRPr="00610904">
        <w:rPr>
          <w:noProof w:val="0"/>
          <w:szCs w:val="20"/>
          <w:lang w:val="en-US"/>
        </w:rPr>
        <w:t>Red Cross Blood Bank</w:t>
      </w:r>
      <w:r w:rsidR="00022F5E" w:rsidRPr="00610904">
        <w:rPr>
          <w:noProof w:val="0"/>
          <w:szCs w:val="20"/>
          <w:lang w:val="en-US"/>
        </w:rPr>
        <w:t xml:space="preserve"> </w:t>
      </w:r>
      <w:r w:rsidR="00AF14CB" w:rsidRPr="00610904">
        <w:rPr>
          <w:noProof w:val="0"/>
          <w:szCs w:val="20"/>
          <w:lang w:val="en-US"/>
        </w:rPr>
        <w:t xml:space="preserve">in order to take other blood samples, because “the phials had spilled.” </w:t>
      </w:r>
      <w:r w:rsidR="00AF14CB" w:rsidRPr="00610904">
        <w:rPr>
          <w:rFonts w:eastAsia="Calibri" w:cs="Arial"/>
          <w:noProof w:val="0"/>
          <w:szCs w:val="20"/>
          <w:lang w:val="en-US"/>
        </w:rPr>
        <w:t>Ms. MRR</w:t>
      </w:r>
      <w:r w:rsidR="00022F5E" w:rsidRPr="00610904">
        <w:rPr>
          <w:rFonts w:eastAsia="Calibri" w:cs="Arial"/>
          <w:noProof w:val="0"/>
          <w:szCs w:val="20"/>
          <w:lang w:val="en-US"/>
        </w:rPr>
        <w:t xml:space="preserve"> </w:t>
      </w:r>
      <w:r w:rsidR="00AF14CB" w:rsidRPr="00610904">
        <w:rPr>
          <w:rFonts w:eastAsia="Calibri" w:cs="Arial"/>
          <w:noProof w:val="0"/>
          <w:szCs w:val="20"/>
          <w:lang w:val="en-US"/>
        </w:rPr>
        <w:t xml:space="preserve">again took blood samples from </w:t>
      </w:r>
      <w:r w:rsidR="00022F5E" w:rsidRPr="00610904">
        <w:rPr>
          <w:rFonts w:eastAsia="Calibri" w:cs="Arial"/>
          <w:noProof w:val="0"/>
          <w:szCs w:val="20"/>
          <w:lang w:val="en-US"/>
        </w:rPr>
        <w:t xml:space="preserve">HSA. </w:t>
      </w:r>
      <w:r w:rsidR="00544C91" w:rsidRPr="00610904">
        <w:rPr>
          <w:rFonts w:eastAsia="Calibri" w:cs="Arial"/>
          <w:noProof w:val="0"/>
          <w:szCs w:val="20"/>
          <w:lang w:val="en-US"/>
        </w:rPr>
        <w:t>Mr. HSA</w:t>
      </w:r>
      <w:r w:rsidR="00022F5E" w:rsidRPr="00610904">
        <w:rPr>
          <w:rFonts w:eastAsia="Calibri" w:cs="Arial"/>
          <w:noProof w:val="0"/>
          <w:szCs w:val="20"/>
          <w:lang w:val="en-US"/>
        </w:rPr>
        <w:t xml:space="preserve"> </w:t>
      </w:r>
      <w:r w:rsidR="00AF14CB" w:rsidRPr="00610904">
        <w:rPr>
          <w:rFonts w:eastAsia="Calibri" w:cs="Arial"/>
          <w:noProof w:val="0"/>
          <w:szCs w:val="20"/>
          <w:lang w:val="en-US"/>
        </w:rPr>
        <w:t>asked</w:t>
      </w:r>
      <w:r w:rsidR="00022F5E" w:rsidRPr="00610904">
        <w:rPr>
          <w:noProof w:val="0"/>
          <w:szCs w:val="20"/>
          <w:lang w:val="en-US"/>
        </w:rPr>
        <w:t xml:space="preserve"> </w:t>
      </w:r>
      <w:r w:rsidR="00AF14CB" w:rsidRPr="00610904">
        <w:rPr>
          <w:noProof w:val="0"/>
          <w:szCs w:val="20"/>
          <w:lang w:val="en-US"/>
        </w:rPr>
        <w:t>Ms. MRR</w:t>
      </w:r>
      <w:r w:rsidR="00022F5E" w:rsidRPr="00610904">
        <w:rPr>
          <w:noProof w:val="0"/>
          <w:szCs w:val="20"/>
          <w:lang w:val="en-US"/>
        </w:rPr>
        <w:t xml:space="preserve"> </w:t>
      </w:r>
      <w:r w:rsidR="00AF14CB" w:rsidRPr="00610904">
        <w:rPr>
          <w:noProof w:val="0"/>
          <w:szCs w:val="20"/>
          <w:lang w:val="en-US"/>
        </w:rPr>
        <w:t xml:space="preserve">why a new sample was required and if there was any problem with his blood, to which MRR replied that he should not be concerned; that “it was to keep the sample at </w:t>
      </w:r>
      <w:r w:rsidR="00A8072E" w:rsidRPr="00610904">
        <w:rPr>
          <w:noProof w:val="0"/>
          <w:szCs w:val="20"/>
          <w:lang w:val="en-US"/>
        </w:rPr>
        <w:t>the Red Cross</w:t>
      </w:r>
      <w:r w:rsidR="00AF14CB" w:rsidRPr="00610904">
        <w:rPr>
          <w:noProof w:val="0"/>
          <w:szCs w:val="20"/>
          <w:lang w:val="en-US"/>
        </w:rPr>
        <w:t>.”</w:t>
      </w:r>
      <w:r w:rsidR="00022F5E" w:rsidRPr="00610904">
        <w:rPr>
          <w:noProof w:val="0"/>
          <w:szCs w:val="20"/>
          <w:lang w:val="en-US"/>
        </w:rPr>
        <w:t xml:space="preserve"> </w:t>
      </w:r>
    </w:p>
    <w:p w:rsidR="00022F5E" w:rsidRPr="00610904" w:rsidRDefault="00022F5E" w:rsidP="00610904">
      <w:pPr>
        <w:rPr>
          <w:noProof w:val="0"/>
          <w:lang w:val="en-US"/>
        </w:rPr>
      </w:pPr>
    </w:p>
    <w:p w:rsidR="00022F5E" w:rsidRPr="00610904" w:rsidRDefault="00AF14CB" w:rsidP="00610904">
      <w:pPr>
        <w:numPr>
          <w:ilvl w:val="0"/>
          <w:numId w:val="1"/>
        </w:numPr>
        <w:rPr>
          <w:noProof w:val="0"/>
          <w:lang w:val="en-US"/>
        </w:rPr>
      </w:pPr>
      <w:r w:rsidRPr="00610904">
        <w:rPr>
          <w:noProof w:val="0"/>
          <w:szCs w:val="20"/>
          <w:lang w:val="en-US"/>
        </w:rPr>
        <w:t>One week later</w:t>
      </w:r>
      <w:r w:rsidR="00022F5E" w:rsidRPr="00610904">
        <w:rPr>
          <w:noProof w:val="0"/>
          <w:szCs w:val="20"/>
          <w:lang w:val="en-US"/>
        </w:rPr>
        <w:t xml:space="preserve">, </w:t>
      </w:r>
      <w:r w:rsidR="00544C91" w:rsidRPr="00610904">
        <w:rPr>
          <w:noProof w:val="0"/>
          <w:szCs w:val="20"/>
          <w:lang w:val="en-US"/>
        </w:rPr>
        <w:t>Mr. HSA</w:t>
      </w:r>
      <w:r w:rsidR="00022F5E" w:rsidRPr="00610904">
        <w:rPr>
          <w:noProof w:val="0"/>
          <w:szCs w:val="20"/>
          <w:lang w:val="en-US"/>
        </w:rPr>
        <w:t xml:space="preserve"> rec</w:t>
      </w:r>
      <w:r w:rsidRPr="00610904">
        <w:rPr>
          <w:noProof w:val="0"/>
          <w:szCs w:val="20"/>
          <w:lang w:val="en-US"/>
        </w:rPr>
        <w:t xml:space="preserve">eived a telephone call from </w:t>
      </w:r>
      <w:r w:rsidR="00A8072E" w:rsidRPr="00610904">
        <w:rPr>
          <w:noProof w:val="0"/>
          <w:szCs w:val="20"/>
          <w:lang w:val="en-US"/>
        </w:rPr>
        <w:t>the Red Cross</w:t>
      </w:r>
      <w:r w:rsidRPr="00610904">
        <w:rPr>
          <w:noProof w:val="0"/>
          <w:szCs w:val="20"/>
          <w:lang w:val="en-US"/>
        </w:rPr>
        <w:t xml:space="preserve"> to inform him that he was infected with HIV. </w:t>
      </w:r>
      <w:r w:rsidR="00544C91" w:rsidRPr="00610904">
        <w:rPr>
          <w:noProof w:val="0"/>
          <w:szCs w:val="20"/>
          <w:lang w:val="en-US"/>
        </w:rPr>
        <w:t>On August 13,</w:t>
      </w:r>
      <w:r w:rsidR="00022F5E" w:rsidRPr="00610904">
        <w:rPr>
          <w:noProof w:val="0"/>
          <w:szCs w:val="20"/>
          <w:lang w:val="en-US"/>
        </w:rPr>
        <w:t xml:space="preserve"> 1998</w:t>
      </w:r>
      <w:r w:rsidR="00544C91" w:rsidRPr="00610904">
        <w:rPr>
          <w:noProof w:val="0"/>
          <w:szCs w:val="20"/>
          <w:lang w:val="en-US"/>
        </w:rPr>
        <w:t>,</w:t>
      </w:r>
      <w:r w:rsidR="00022F5E" w:rsidRPr="00610904">
        <w:rPr>
          <w:noProof w:val="0"/>
          <w:szCs w:val="20"/>
          <w:lang w:val="en-US"/>
        </w:rPr>
        <w:t xml:space="preserve"> </w:t>
      </w:r>
      <w:r w:rsidR="00544C91" w:rsidRPr="00610904">
        <w:rPr>
          <w:noProof w:val="0"/>
          <w:szCs w:val="20"/>
          <w:lang w:val="en-US"/>
        </w:rPr>
        <w:t>Mr. HSA</w:t>
      </w:r>
      <w:r w:rsidR="00022F5E" w:rsidRPr="00610904">
        <w:rPr>
          <w:noProof w:val="0"/>
          <w:szCs w:val="20"/>
          <w:lang w:val="en-US"/>
        </w:rPr>
        <w:t xml:space="preserve"> </w:t>
      </w:r>
      <w:r w:rsidRPr="00610904">
        <w:rPr>
          <w:noProof w:val="0"/>
          <w:szCs w:val="20"/>
          <w:lang w:val="en-US"/>
        </w:rPr>
        <w:t xml:space="preserve">underwent other tests that confirmed that he was infected with </w:t>
      </w:r>
      <w:r w:rsidR="00A8072E" w:rsidRPr="00610904">
        <w:rPr>
          <w:noProof w:val="0"/>
          <w:szCs w:val="20"/>
          <w:lang w:val="en-US"/>
        </w:rPr>
        <w:t>HIV</w:t>
      </w:r>
      <w:r w:rsidR="00022F5E" w:rsidRPr="00610904">
        <w:rPr>
          <w:noProof w:val="0"/>
          <w:szCs w:val="20"/>
          <w:lang w:val="en-US"/>
        </w:rPr>
        <w:t>.</w:t>
      </w:r>
    </w:p>
    <w:p w:rsidR="00022F5E" w:rsidRPr="00610904" w:rsidRDefault="00022F5E" w:rsidP="00610904">
      <w:pPr>
        <w:rPr>
          <w:noProof w:val="0"/>
          <w:szCs w:val="20"/>
          <w:lang w:val="en-US"/>
        </w:rPr>
      </w:pPr>
    </w:p>
    <w:p w:rsidR="00022F5E" w:rsidRPr="00610904" w:rsidRDefault="00022F5E" w:rsidP="00610904">
      <w:pPr>
        <w:numPr>
          <w:ilvl w:val="0"/>
          <w:numId w:val="1"/>
        </w:numPr>
        <w:rPr>
          <w:noProof w:val="0"/>
          <w:lang w:val="en-US"/>
        </w:rPr>
      </w:pPr>
      <w:r w:rsidRPr="00610904">
        <w:rPr>
          <w:noProof w:val="0"/>
          <w:szCs w:val="20"/>
          <w:lang w:val="en-US"/>
        </w:rPr>
        <w:t xml:space="preserve">Talía </w:t>
      </w:r>
      <w:r w:rsidR="00AF14CB" w:rsidRPr="00610904">
        <w:rPr>
          <w:noProof w:val="0"/>
          <w:szCs w:val="20"/>
          <w:lang w:val="en-US"/>
        </w:rPr>
        <w:t xml:space="preserve">was released from </w:t>
      </w:r>
      <w:r w:rsidR="006B6975" w:rsidRPr="00610904">
        <w:rPr>
          <w:noProof w:val="0"/>
          <w:szCs w:val="20"/>
          <w:lang w:val="en-US"/>
        </w:rPr>
        <w:t xml:space="preserve">the </w:t>
      </w:r>
      <w:r w:rsidR="00091F7C" w:rsidRPr="00610904">
        <w:rPr>
          <w:noProof w:val="0"/>
          <w:szCs w:val="20"/>
          <w:lang w:val="en-US"/>
        </w:rPr>
        <w:t>Humanitarian Clinic</w:t>
      </w:r>
      <w:r w:rsidRPr="00610904">
        <w:rPr>
          <w:noProof w:val="0"/>
          <w:szCs w:val="20"/>
          <w:lang w:val="en-US"/>
        </w:rPr>
        <w:t xml:space="preserve"> </w:t>
      </w:r>
      <w:r w:rsidR="00AF14CB" w:rsidRPr="00610904">
        <w:rPr>
          <w:rFonts w:cs="Arial"/>
          <w:noProof w:val="0"/>
          <w:szCs w:val="20"/>
          <w:lang w:val="en-US"/>
        </w:rPr>
        <w:t>on June 29,</w:t>
      </w:r>
      <w:r w:rsidRPr="00610904">
        <w:rPr>
          <w:rFonts w:cs="Arial"/>
          <w:noProof w:val="0"/>
          <w:szCs w:val="20"/>
          <w:lang w:val="en-US"/>
        </w:rPr>
        <w:t xml:space="preserve"> 1998 (</w:t>
      </w:r>
      <w:r w:rsidRPr="00610904">
        <w:rPr>
          <w:rFonts w:cs="Arial"/>
          <w:i/>
          <w:noProof w:val="0"/>
          <w:szCs w:val="20"/>
          <w:lang w:val="en-US"/>
        </w:rPr>
        <w:t>supra</w:t>
      </w:r>
      <w:r w:rsidRPr="00610904">
        <w:rPr>
          <w:rFonts w:cs="Arial"/>
          <w:noProof w:val="0"/>
          <w:szCs w:val="20"/>
          <w:lang w:val="en-US"/>
        </w:rPr>
        <w:t xml:space="preserve"> </w:t>
      </w:r>
      <w:r w:rsidR="006E502B" w:rsidRPr="00610904">
        <w:rPr>
          <w:rFonts w:cs="Arial"/>
          <w:noProof w:val="0"/>
          <w:szCs w:val="20"/>
          <w:lang w:val="en-US"/>
        </w:rPr>
        <w:t>para.</w:t>
      </w:r>
      <w:r w:rsidRPr="00610904">
        <w:rPr>
          <w:rFonts w:cs="Arial"/>
          <w:noProof w:val="0"/>
          <w:szCs w:val="20"/>
          <w:lang w:val="en-US"/>
        </w:rPr>
        <w:t xml:space="preserve"> </w:t>
      </w:r>
      <w:r w:rsidR="00FF6D0A" w:rsidRPr="00610904">
        <w:rPr>
          <w:rFonts w:cs="Arial"/>
          <w:noProof w:val="0"/>
          <w:szCs w:val="20"/>
          <w:lang w:val="en-US"/>
        </w:rPr>
        <w:t>78</w:t>
      </w:r>
      <w:r w:rsidRPr="00610904">
        <w:rPr>
          <w:rFonts w:cs="Arial"/>
          <w:noProof w:val="0"/>
          <w:szCs w:val="20"/>
          <w:lang w:val="en-US"/>
        </w:rPr>
        <w:t>)</w:t>
      </w:r>
      <w:r w:rsidR="00AF14CB" w:rsidRPr="00610904">
        <w:rPr>
          <w:noProof w:val="0"/>
          <w:szCs w:val="20"/>
          <w:lang w:val="en-US"/>
        </w:rPr>
        <w:t xml:space="preserve">. </w:t>
      </w:r>
      <w:r w:rsidR="00A258D3" w:rsidRPr="00610904">
        <w:rPr>
          <w:noProof w:val="0"/>
          <w:szCs w:val="20"/>
          <w:lang w:val="en-US"/>
        </w:rPr>
        <w:t>However</w:t>
      </w:r>
      <w:r w:rsidR="00AF14CB" w:rsidRPr="00610904">
        <w:rPr>
          <w:noProof w:val="0"/>
          <w:szCs w:val="20"/>
          <w:lang w:val="en-US"/>
        </w:rPr>
        <w:t>, she was told that she should continue with treatment at home for six months, with blood tests every month, and a monthly control visit with</w:t>
      </w:r>
      <w:r w:rsidRPr="00610904">
        <w:rPr>
          <w:noProof w:val="0"/>
          <w:szCs w:val="20"/>
          <w:lang w:val="en-US"/>
        </w:rPr>
        <w:t xml:space="preserve"> </w:t>
      </w:r>
      <w:r w:rsidR="00544C91" w:rsidRPr="00610904">
        <w:rPr>
          <w:noProof w:val="0"/>
          <w:szCs w:val="20"/>
          <w:lang w:val="en-US"/>
        </w:rPr>
        <w:t>Dr. PMT</w:t>
      </w:r>
      <w:r w:rsidRPr="00610904">
        <w:rPr>
          <w:noProof w:val="0"/>
          <w:szCs w:val="20"/>
          <w:lang w:val="en-US"/>
        </w:rPr>
        <w:t xml:space="preserve">. A </w:t>
      </w:r>
      <w:r w:rsidR="00AF14CB" w:rsidRPr="00610904">
        <w:rPr>
          <w:noProof w:val="0"/>
          <w:szCs w:val="20"/>
          <w:lang w:val="en-US"/>
        </w:rPr>
        <w:t xml:space="preserve">few days after </w:t>
      </w:r>
      <w:r w:rsidR="00A258D3" w:rsidRPr="00610904">
        <w:rPr>
          <w:noProof w:val="0"/>
          <w:szCs w:val="20"/>
          <w:lang w:val="en-US"/>
        </w:rPr>
        <w:t xml:space="preserve">her release </w:t>
      </w:r>
      <w:r w:rsidR="00AF14CB" w:rsidRPr="00610904">
        <w:rPr>
          <w:noProof w:val="0"/>
          <w:szCs w:val="20"/>
          <w:lang w:val="en-US"/>
        </w:rPr>
        <w:t xml:space="preserve">from the Clinic, </w:t>
      </w:r>
      <w:r w:rsidRPr="00610904">
        <w:rPr>
          <w:noProof w:val="0"/>
          <w:szCs w:val="20"/>
          <w:lang w:val="en-US"/>
        </w:rPr>
        <w:t>Talía</w:t>
      </w:r>
      <w:r w:rsidR="00AF14CB" w:rsidRPr="00610904">
        <w:rPr>
          <w:noProof w:val="0"/>
          <w:szCs w:val="20"/>
          <w:lang w:val="en-US"/>
        </w:rPr>
        <w:t xml:space="preserve">’s mother took her to Dr. PMT’s office and he ordered Talía to have a blood test “to control her illness.” Following that test, </w:t>
      </w:r>
      <w:r w:rsidR="00544C91" w:rsidRPr="00610904">
        <w:rPr>
          <w:noProof w:val="0"/>
          <w:szCs w:val="20"/>
          <w:lang w:val="en-US"/>
        </w:rPr>
        <w:t>Dr. PMT</w:t>
      </w:r>
      <w:r w:rsidRPr="00610904">
        <w:rPr>
          <w:noProof w:val="0"/>
          <w:szCs w:val="20"/>
          <w:lang w:val="en-US"/>
        </w:rPr>
        <w:t xml:space="preserve"> </w:t>
      </w:r>
      <w:r w:rsidR="00AF14CB" w:rsidRPr="00610904">
        <w:rPr>
          <w:noProof w:val="0"/>
          <w:szCs w:val="20"/>
          <w:lang w:val="en-US"/>
        </w:rPr>
        <w:t>told</w:t>
      </w:r>
      <w:r w:rsidRPr="00610904">
        <w:rPr>
          <w:noProof w:val="0"/>
          <w:szCs w:val="20"/>
          <w:lang w:val="en-US"/>
        </w:rPr>
        <w:t xml:space="preserve"> Teresa Lluy </w:t>
      </w:r>
      <w:r w:rsidR="00AF14CB" w:rsidRPr="00610904">
        <w:rPr>
          <w:noProof w:val="0"/>
          <w:szCs w:val="20"/>
          <w:lang w:val="en-US"/>
        </w:rPr>
        <w:t>that "</w:t>
      </w:r>
      <w:r w:rsidR="00856968" w:rsidRPr="00610904">
        <w:rPr>
          <w:noProof w:val="0"/>
          <w:szCs w:val="20"/>
          <w:lang w:val="en-US"/>
        </w:rPr>
        <w:t>everything</w:t>
      </w:r>
      <w:r w:rsidR="00AF14CB" w:rsidRPr="00610904">
        <w:rPr>
          <w:noProof w:val="0"/>
          <w:szCs w:val="20"/>
          <w:lang w:val="en-US"/>
        </w:rPr>
        <w:t xml:space="preserve"> was normal.”</w:t>
      </w:r>
    </w:p>
    <w:p w:rsidR="00022F5E" w:rsidRPr="00610904" w:rsidRDefault="00022F5E" w:rsidP="00610904">
      <w:pPr>
        <w:rPr>
          <w:noProof w:val="0"/>
          <w:szCs w:val="20"/>
          <w:lang w:val="en-US"/>
        </w:rPr>
      </w:pPr>
    </w:p>
    <w:p w:rsidR="00022F5E" w:rsidRPr="00610904" w:rsidRDefault="00544C91" w:rsidP="00610904">
      <w:pPr>
        <w:numPr>
          <w:ilvl w:val="0"/>
          <w:numId w:val="1"/>
        </w:numPr>
        <w:rPr>
          <w:noProof w:val="0"/>
          <w:lang w:val="en-US"/>
        </w:rPr>
      </w:pPr>
      <w:r w:rsidRPr="00610904">
        <w:rPr>
          <w:noProof w:val="0"/>
          <w:szCs w:val="20"/>
          <w:lang w:val="en-US"/>
        </w:rPr>
        <w:t>On July 22,</w:t>
      </w:r>
      <w:r w:rsidR="00022F5E" w:rsidRPr="00610904">
        <w:rPr>
          <w:noProof w:val="0"/>
          <w:szCs w:val="20"/>
          <w:lang w:val="en-US"/>
        </w:rPr>
        <w:t xml:space="preserve"> 1998</w:t>
      </w:r>
      <w:r w:rsidRPr="00610904">
        <w:rPr>
          <w:noProof w:val="0"/>
          <w:szCs w:val="20"/>
          <w:lang w:val="en-US"/>
        </w:rPr>
        <w:t>,</w:t>
      </w:r>
      <w:r w:rsidR="00AF14CB" w:rsidRPr="00610904">
        <w:rPr>
          <w:noProof w:val="0"/>
          <w:szCs w:val="20"/>
          <w:lang w:val="en-US"/>
        </w:rPr>
        <w:t xml:space="preserve"> Teresa</w:t>
      </w:r>
      <w:r w:rsidR="00022F5E" w:rsidRPr="00610904">
        <w:rPr>
          <w:noProof w:val="0"/>
          <w:szCs w:val="20"/>
          <w:lang w:val="en-US"/>
        </w:rPr>
        <w:t xml:space="preserve"> Lluy </w:t>
      </w:r>
      <w:r w:rsidR="00AF14CB" w:rsidRPr="00610904">
        <w:rPr>
          <w:noProof w:val="0"/>
          <w:szCs w:val="20"/>
          <w:lang w:val="en-US"/>
        </w:rPr>
        <w:t xml:space="preserve">again went to </w:t>
      </w:r>
      <w:r w:rsidRPr="00610904">
        <w:rPr>
          <w:noProof w:val="0"/>
          <w:szCs w:val="20"/>
          <w:lang w:val="en-US"/>
        </w:rPr>
        <w:t>Dr. PMT</w:t>
      </w:r>
      <w:r w:rsidR="00AF14CB" w:rsidRPr="00610904">
        <w:rPr>
          <w:noProof w:val="0"/>
          <w:szCs w:val="20"/>
          <w:lang w:val="en-US"/>
        </w:rPr>
        <w:t xml:space="preserve">’s office, and he told her that Talía should have another blood test, “but including the test for [AIDS].” Consequently, </w:t>
      </w:r>
      <w:r w:rsidR="00022F5E" w:rsidRPr="00610904">
        <w:rPr>
          <w:noProof w:val="0"/>
          <w:szCs w:val="20"/>
          <w:lang w:val="en-US"/>
        </w:rPr>
        <w:t xml:space="preserve">Teresa </w:t>
      </w:r>
      <w:r w:rsidR="00AF14CB" w:rsidRPr="00610904">
        <w:rPr>
          <w:noProof w:val="0"/>
          <w:szCs w:val="20"/>
          <w:lang w:val="en-US"/>
        </w:rPr>
        <w:t xml:space="preserve">Lluy went with Talía to </w:t>
      </w:r>
      <w:r w:rsidR="00091F7C" w:rsidRPr="00610904">
        <w:rPr>
          <w:noProof w:val="0"/>
          <w:szCs w:val="20"/>
          <w:lang w:val="en-US"/>
        </w:rPr>
        <w:t>the Humanitarian Clinic</w:t>
      </w:r>
      <w:r w:rsidR="00022F5E" w:rsidRPr="00610904">
        <w:rPr>
          <w:noProof w:val="0"/>
          <w:szCs w:val="20"/>
          <w:lang w:val="en-US"/>
        </w:rPr>
        <w:t xml:space="preserve"> </w:t>
      </w:r>
      <w:r w:rsidR="00AF14CB" w:rsidRPr="00610904">
        <w:rPr>
          <w:noProof w:val="0"/>
          <w:szCs w:val="20"/>
          <w:lang w:val="en-US"/>
        </w:rPr>
        <w:t>so that she could undergo another blood test. The</w:t>
      </w:r>
      <w:r w:rsidR="00091F7C" w:rsidRPr="00610904">
        <w:rPr>
          <w:noProof w:val="0"/>
          <w:szCs w:val="20"/>
          <w:lang w:val="en-US"/>
        </w:rPr>
        <w:t xml:space="preserve"> Humanitarian Clinic</w:t>
      </w:r>
      <w:r w:rsidR="00022F5E" w:rsidRPr="00610904">
        <w:rPr>
          <w:noProof w:val="0"/>
          <w:szCs w:val="20"/>
          <w:lang w:val="en-US"/>
        </w:rPr>
        <w:t xml:space="preserve"> </w:t>
      </w:r>
      <w:r w:rsidR="00AF14CB" w:rsidRPr="00610904">
        <w:rPr>
          <w:noProof w:val="0"/>
          <w:szCs w:val="20"/>
          <w:lang w:val="en-US"/>
        </w:rPr>
        <w:t>sent them to</w:t>
      </w:r>
      <w:r w:rsidR="00022F5E" w:rsidRPr="00610904">
        <w:rPr>
          <w:noProof w:val="0"/>
          <w:szCs w:val="20"/>
          <w:lang w:val="en-US"/>
        </w:rPr>
        <w:t xml:space="preserve"> </w:t>
      </w:r>
      <w:r w:rsidRPr="00610904">
        <w:rPr>
          <w:noProof w:val="0"/>
          <w:szCs w:val="20"/>
          <w:lang w:val="en-US"/>
        </w:rPr>
        <w:t>the Leopoldo Izquieta Pérez Laboratories</w:t>
      </w:r>
      <w:r w:rsidR="009F3D78" w:rsidRPr="00610904">
        <w:rPr>
          <w:noProof w:val="0"/>
          <w:szCs w:val="20"/>
          <w:lang w:val="en-US"/>
        </w:rPr>
        <w:t xml:space="preserve"> and</w:t>
      </w:r>
      <w:r w:rsidR="00AF14CB" w:rsidRPr="00610904">
        <w:rPr>
          <w:noProof w:val="0"/>
          <w:szCs w:val="20"/>
          <w:lang w:val="en-US"/>
        </w:rPr>
        <w:t xml:space="preserve">, there, she was informed that </w:t>
      </w:r>
      <w:r w:rsidR="00022F5E" w:rsidRPr="00610904">
        <w:rPr>
          <w:noProof w:val="0"/>
          <w:szCs w:val="20"/>
          <w:lang w:val="en-US"/>
        </w:rPr>
        <w:t>Talía “</w:t>
      </w:r>
      <w:r w:rsidRPr="00610904">
        <w:rPr>
          <w:noProof w:val="0"/>
          <w:szCs w:val="20"/>
          <w:lang w:val="en-US"/>
        </w:rPr>
        <w:t>had</w:t>
      </w:r>
      <w:r w:rsidR="00022F5E" w:rsidRPr="00610904">
        <w:rPr>
          <w:noProof w:val="0"/>
          <w:szCs w:val="20"/>
          <w:lang w:val="en-US"/>
        </w:rPr>
        <w:t xml:space="preserve"> </w:t>
      </w:r>
      <w:r w:rsidRPr="00610904">
        <w:rPr>
          <w:noProof w:val="0"/>
          <w:szCs w:val="20"/>
          <w:lang w:val="en-US"/>
        </w:rPr>
        <w:t xml:space="preserve">the </w:t>
      </w:r>
      <w:r w:rsidR="00A8072E" w:rsidRPr="00610904">
        <w:rPr>
          <w:noProof w:val="0"/>
          <w:szCs w:val="20"/>
          <w:lang w:val="en-US"/>
        </w:rPr>
        <w:t>AIDS</w:t>
      </w:r>
      <w:r w:rsidRPr="00610904">
        <w:rPr>
          <w:noProof w:val="0"/>
          <w:szCs w:val="20"/>
          <w:lang w:val="en-US"/>
        </w:rPr>
        <w:t xml:space="preserve"> virus.”</w:t>
      </w:r>
    </w:p>
    <w:p w:rsidR="00022F5E" w:rsidRPr="00610904" w:rsidRDefault="00022F5E" w:rsidP="00610904">
      <w:pPr>
        <w:rPr>
          <w:noProof w:val="0"/>
          <w:szCs w:val="20"/>
          <w:lang w:val="en-US"/>
        </w:rPr>
      </w:pPr>
    </w:p>
    <w:p w:rsidR="00022F5E" w:rsidRPr="00610904" w:rsidRDefault="00AF14CB" w:rsidP="00610904">
      <w:pPr>
        <w:numPr>
          <w:ilvl w:val="0"/>
          <w:numId w:val="1"/>
        </w:numPr>
        <w:rPr>
          <w:noProof w:val="0"/>
          <w:lang w:val="en-US"/>
        </w:rPr>
      </w:pPr>
      <w:r w:rsidRPr="00610904">
        <w:rPr>
          <w:noProof w:val="0"/>
          <w:szCs w:val="20"/>
          <w:lang w:val="en-US"/>
        </w:rPr>
        <w:t>In a statement she made during the criminal proceedings in Ecuador (</w:t>
      </w:r>
      <w:r w:rsidRPr="00610904">
        <w:rPr>
          <w:i/>
          <w:noProof w:val="0"/>
          <w:szCs w:val="20"/>
          <w:lang w:val="en-US"/>
        </w:rPr>
        <w:t>infra</w:t>
      </w:r>
      <w:r w:rsidRPr="00610904">
        <w:rPr>
          <w:noProof w:val="0"/>
          <w:szCs w:val="20"/>
          <w:lang w:val="en-US"/>
        </w:rPr>
        <w:t xml:space="preserve"> para. 90), </w:t>
      </w:r>
      <w:r w:rsidR="00022F5E" w:rsidRPr="00610904">
        <w:rPr>
          <w:noProof w:val="0"/>
          <w:szCs w:val="20"/>
          <w:lang w:val="en-US"/>
        </w:rPr>
        <w:t xml:space="preserve">Teresa Lluy </w:t>
      </w:r>
      <w:r w:rsidRPr="00610904">
        <w:rPr>
          <w:noProof w:val="0"/>
          <w:szCs w:val="20"/>
          <w:lang w:val="en-US"/>
        </w:rPr>
        <w:t>indicated that</w:t>
      </w:r>
      <w:r w:rsidR="00022F5E" w:rsidRPr="00610904">
        <w:rPr>
          <w:noProof w:val="0"/>
          <w:szCs w:val="20"/>
          <w:lang w:val="en-US"/>
        </w:rPr>
        <w:t>:</w:t>
      </w:r>
    </w:p>
    <w:p w:rsidR="00022F5E" w:rsidRPr="00610904" w:rsidRDefault="00022F5E" w:rsidP="00610904">
      <w:pPr>
        <w:rPr>
          <w:noProof w:val="0"/>
          <w:szCs w:val="20"/>
          <w:lang w:val="en-US"/>
        </w:rPr>
      </w:pPr>
    </w:p>
    <w:p w:rsidR="00AF14CB" w:rsidRPr="00610904" w:rsidRDefault="00022F5E" w:rsidP="00610904">
      <w:pPr>
        <w:ind w:left="720" w:right="475"/>
        <w:rPr>
          <w:noProof w:val="0"/>
          <w:sz w:val="16"/>
          <w:szCs w:val="20"/>
          <w:lang w:val="en-US"/>
        </w:rPr>
      </w:pPr>
      <w:r w:rsidRPr="00610904">
        <w:rPr>
          <w:noProof w:val="0"/>
          <w:sz w:val="16"/>
          <w:szCs w:val="20"/>
          <w:lang w:val="en-US"/>
        </w:rPr>
        <w:t xml:space="preserve">“[…] </w:t>
      </w:r>
      <w:r w:rsidR="00AF14CB" w:rsidRPr="00610904">
        <w:rPr>
          <w:noProof w:val="0"/>
          <w:sz w:val="16"/>
          <w:szCs w:val="20"/>
          <w:lang w:val="en-US"/>
        </w:rPr>
        <w:t xml:space="preserve">at the beginning of August, </w:t>
      </w:r>
      <w:r w:rsidRPr="00610904">
        <w:rPr>
          <w:noProof w:val="0"/>
          <w:sz w:val="16"/>
          <w:szCs w:val="20"/>
          <w:lang w:val="en-US"/>
        </w:rPr>
        <w:t xml:space="preserve">Dr. </w:t>
      </w:r>
      <w:proofErr w:type="gramStart"/>
      <w:r w:rsidRPr="00610904">
        <w:rPr>
          <w:noProof w:val="0"/>
          <w:sz w:val="16"/>
          <w:szCs w:val="20"/>
          <w:lang w:val="en-US"/>
        </w:rPr>
        <w:t>A[</w:t>
      </w:r>
      <w:proofErr w:type="gramEnd"/>
      <w:r w:rsidRPr="00610904">
        <w:rPr>
          <w:noProof w:val="0"/>
          <w:sz w:val="16"/>
          <w:szCs w:val="20"/>
          <w:lang w:val="en-US"/>
        </w:rPr>
        <w:t>…]</w:t>
      </w:r>
      <w:r w:rsidR="00AC2638" w:rsidRPr="00610904">
        <w:rPr>
          <w:noProof w:val="0"/>
          <w:sz w:val="16"/>
          <w:szCs w:val="20"/>
          <w:lang w:val="en-US"/>
        </w:rPr>
        <w:t xml:space="preserve"> at </w:t>
      </w:r>
      <w:r w:rsidR="006B6975" w:rsidRPr="00610904">
        <w:rPr>
          <w:noProof w:val="0"/>
          <w:sz w:val="16"/>
          <w:szCs w:val="20"/>
          <w:lang w:val="en-US"/>
        </w:rPr>
        <w:t xml:space="preserve">the </w:t>
      </w:r>
      <w:r w:rsidR="00091F7C" w:rsidRPr="00610904">
        <w:rPr>
          <w:noProof w:val="0"/>
          <w:sz w:val="16"/>
          <w:szCs w:val="20"/>
          <w:lang w:val="en-US"/>
        </w:rPr>
        <w:t>Humanitarian Clinic</w:t>
      </w:r>
      <w:r w:rsidRPr="00610904">
        <w:rPr>
          <w:noProof w:val="0"/>
          <w:sz w:val="16"/>
          <w:szCs w:val="20"/>
          <w:lang w:val="en-US"/>
        </w:rPr>
        <w:t xml:space="preserve"> </w:t>
      </w:r>
      <w:r w:rsidR="00AC2638" w:rsidRPr="00610904">
        <w:rPr>
          <w:noProof w:val="0"/>
          <w:sz w:val="16"/>
          <w:szCs w:val="20"/>
          <w:lang w:val="en-US"/>
        </w:rPr>
        <w:t>told [her]</w:t>
      </w:r>
      <w:r w:rsidR="00AF14CB" w:rsidRPr="00610904">
        <w:rPr>
          <w:noProof w:val="0"/>
          <w:sz w:val="16"/>
          <w:szCs w:val="20"/>
          <w:lang w:val="en-US"/>
        </w:rPr>
        <w:t xml:space="preserve"> </w:t>
      </w:r>
      <w:r w:rsidR="00AC2638" w:rsidRPr="00610904">
        <w:rPr>
          <w:noProof w:val="0"/>
          <w:sz w:val="16"/>
          <w:szCs w:val="20"/>
          <w:lang w:val="en-US"/>
        </w:rPr>
        <w:t>to</w:t>
      </w:r>
      <w:r w:rsidR="00AF14CB" w:rsidRPr="00610904">
        <w:rPr>
          <w:noProof w:val="0"/>
          <w:sz w:val="16"/>
          <w:szCs w:val="20"/>
          <w:lang w:val="en-US"/>
        </w:rPr>
        <w:t xml:space="preserve"> go to the</w:t>
      </w:r>
      <w:r w:rsidRPr="00610904">
        <w:rPr>
          <w:noProof w:val="0"/>
          <w:sz w:val="16"/>
          <w:szCs w:val="20"/>
          <w:lang w:val="en-US"/>
        </w:rPr>
        <w:t xml:space="preserve"> Izquieta Pérez </w:t>
      </w:r>
      <w:r w:rsidR="00AF14CB" w:rsidRPr="00610904">
        <w:rPr>
          <w:noProof w:val="0"/>
          <w:sz w:val="16"/>
          <w:szCs w:val="20"/>
          <w:lang w:val="en-US"/>
        </w:rPr>
        <w:t xml:space="preserve">Institute and speak to </w:t>
      </w:r>
      <w:r w:rsidRPr="00610904">
        <w:rPr>
          <w:noProof w:val="0"/>
          <w:sz w:val="16"/>
          <w:szCs w:val="20"/>
          <w:lang w:val="en-US"/>
        </w:rPr>
        <w:t xml:space="preserve">Dr. V[…], </w:t>
      </w:r>
      <w:r w:rsidR="00AF14CB" w:rsidRPr="00610904">
        <w:rPr>
          <w:noProof w:val="0"/>
          <w:sz w:val="16"/>
          <w:szCs w:val="20"/>
          <w:lang w:val="en-US"/>
        </w:rPr>
        <w:t>who asked [her] whether the c</w:t>
      </w:r>
      <w:r w:rsidR="00AC2638" w:rsidRPr="00610904">
        <w:rPr>
          <w:noProof w:val="0"/>
          <w:sz w:val="16"/>
          <w:szCs w:val="20"/>
          <w:lang w:val="en-US"/>
        </w:rPr>
        <w:t>hild’s parents or the donors had visited the</w:t>
      </w:r>
      <w:r w:rsidR="00AF14CB" w:rsidRPr="00610904">
        <w:rPr>
          <w:noProof w:val="0"/>
          <w:sz w:val="16"/>
          <w:szCs w:val="20"/>
          <w:lang w:val="en-US"/>
        </w:rPr>
        <w:t xml:space="preserve"> United States, telling her that the child’s b</w:t>
      </w:r>
      <w:r w:rsidR="00AC2638" w:rsidRPr="00610904">
        <w:rPr>
          <w:noProof w:val="0"/>
          <w:sz w:val="16"/>
          <w:szCs w:val="20"/>
          <w:lang w:val="en-US"/>
        </w:rPr>
        <w:t>lood was contaminated and that [she]</w:t>
      </w:r>
      <w:r w:rsidR="00AF14CB" w:rsidRPr="00610904">
        <w:rPr>
          <w:noProof w:val="0"/>
          <w:sz w:val="16"/>
          <w:szCs w:val="20"/>
          <w:lang w:val="en-US"/>
        </w:rPr>
        <w:t xml:space="preserve"> </w:t>
      </w:r>
      <w:r w:rsidR="00AC2638" w:rsidRPr="00610904">
        <w:rPr>
          <w:noProof w:val="0"/>
          <w:sz w:val="16"/>
          <w:szCs w:val="20"/>
          <w:lang w:val="en-US"/>
        </w:rPr>
        <w:t>should come back when the results were back from Guayaquil. [She] then visited Dr. [PMT] and in answer to [her] questions […], he replied: “you must get used to the idea that the girl has AIDS as a result of the blood transfusion, clarifying that it never appears initially, but rather months later.’ […] She later returned to Dr. [PMT] and, at the Red Cross, this professional</w:t>
      </w:r>
      <w:r w:rsidR="00A258D3" w:rsidRPr="00610904">
        <w:rPr>
          <w:noProof w:val="0"/>
          <w:sz w:val="16"/>
          <w:szCs w:val="20"/>
          <w:lang w:val="en-US"/>
        </w:rPr>
        <w:t>, after</w:t>
      </w:r>
      <w:r w:rsidR="00AC2638" w:rsidRPr="00610904">
        <w:rPr>
          <w:noProof w:val="0"/>
          <w:sz w:val="16"/>
          <w:szCs w:val="20"/>
          <w:lang w:val="en-US"/>
        </w:rPr>
        <w:t xml:space="preserve"> s</w:t>
      </w:r>
      <w:r w:rsidR="00A258D3" w:rsidRPr="00610904">
        <w:rPr>
          <w:noProof w:val="0"/>
          <w:sz w:val="16"/>
          <w:szCs w:val="20"/>
          <w:lang w:val="en-US"/>
        </w:rPr>
        <w:t>e</w:t>
      </w:r>
      <w:r w:rsidR="00AC2638" w:rsidRPr="00610904">
        <w:rPr>
          <w:noProof w:val="0"/>
          <w:sz w:val="16"/>
          <w:szCs w:val="20"/>
          <w:lang w:val="en-US"/>
        </w:rPr>
        <w:t>eing the test</w:t>
      </w:r>
      <w:r w:rsidR="00A258D3" w:rsidRPr="00610904">
        <w:rPr>
          <w:noProof w:val="0"/>
          <w:sz w:val="16"/>
          <w:szCs w:val="20"/>
          <w:lang w:val="en-US"/>
        </w:rPr>
        <w:t>,</w:t>
      </w:r>
      <w:r w:rsidR="00AC2638" w:rsidRPr="00610904">
        <w:rPr>
          <w:noProof w:val="0"/>
          <w:sz w:val="16"/>
          <w:szCs w:val="20"/>
          <w:lang w:val="en-US"/>
        </w:rPr>
        <w:t xml:space="preserve"> said that she was infected. </w:t>
      </w:r>
      <w:r w:rsidR="00856968" w:rsidRPr="00610904">
        <w:rPr>
          <w:noProof w:val="0"/>
          <w:sz w:val="16"/>
          <w:szCs w:val="20"/>
          <w:lang w:val="en-US"/>
        </w:rPr>
        <w:t>Subsequently</w:t>
      </w:r>
      <w:r w:rsidR="00AC2638" w:rsidRPr="00610904">
        <w:rPr>
          <w:noProof w:val="0"/>
          <w:sz w:val="16"/>
          <w:szCs w:val="20"/>
          <w:lang w:val="en-US"/>
        </w:rPr>
        <w:t xml:space="preserve">, [she] found out that [HSA] had AIDS; [she] therefore returned to Dr. [PMT] to ask him when he had found out about this and the doctor said that he, personally, had performed the test on the day after HSA donated blood – on June 23 – and he then knew that HSA had AIDS. Several days later, [she] returned because Dr. [PMT] had offered to continue treating the child and he </w:t>
      </w:r>
      <w:r w:rsidR="00AC2638" w:rsidRPr="00610904">
        <w:rPr>
          <w:noProof w:val="0"/>
          <w:sz w:val="16"/>
          <w:szCs w:val="20"/>
          <w:lang w:val="en-US"/>
        </w:rPr>
        <w:lastRenderedPageBreak/>
        <w:t xml:space="preserve">then confessed that what had happened was due to </w:t>
      </w:r>
      <w:r w:rsidR="00A258D3" w:rsidRPr="00610904">
        <w:rPr>
          <w:noProof w:val="0"/>
          <w:sz w:val="16"/>
          <w:szCs w:val="20"/>
          <w:lang w:val="en-US"/>
        </w:rPr>
        <w:t xml:space="preserve">involuntary human error </w:t>
      </w:r>
      <w:r w:rsidR="00AC2638" w:rsidRPr="00610904">
        <w:rPr>
          <w:noProof w:val="0"/>
          <w:sz w:val="16"/>
          <w:szCs w:val="20"/>
          <w:lang w:val="en-US"/>
        </w:rPr>
        <w:t>and that he would continue treatin</w:t>
      </w:r>
      <w:r w:rsidR="00A258D3" w:rsidRPr="00610904">
        <w:rPr>
          <w:noProof w:val="0"/>
          <w:sz w:val="16"/>
          <w:szCs w:val="20"/>
          <w:lang w:val="en-US"/>
        </w:rPr>
        <w:t>g</w:t>
      </w:r>
      <w:r w:rsidR="00AC2638" w:rsidRPr="00610904">
        <w:rPr>
          <w:noProof w:val="0"/>
          <w:sz w:val="16"/>
          <w:szCs w:val="20"/>
          <w:lang w:val="en-US"/>
        </w:rPr>
        <w:t xml:space="preserve"> her, giving her vaccines and the respective check-ups.” </w:t>
      </w:r>
    </w:p>
    <w:p w:rsidR="00022F5E" w:rsidRPr="00610904" w:rsidRDefault="00022F5E" w:rsidP="00610904">
      <w:pPr>
        <w:ind w:left="720" w:right="990"/>
        <w:rPr>
          <w:noProof w:val="0"/>
          <w:sz w:val="16"/>
          <w:szCs w:val="20"/>
          <w:lang w:val="en-US"/>
        </w:rPr>
      </w:pPr>
    </w:p>
    <w:p w:rsidR="00022F5E" w:rsidRPr="00610904" w:rsidRDefault="00AC2638" w:rsidP="00610904">
      <w:pPr>
        <w:numPr>
          <w:ilvl w:val="0"/>
          <w:numId w:val="1"/>
        </w:numPr>
        <w:rPr>
          <w:noProof w:val="0"/>
          <w:lang w:val="en-US"/>
        </w:rPr>
      </w:pPr>
      <w:r w:rsidRPr="00610904">
        <w:rPr>
          <w:noProof w:val="0"/>
          <w:szCs w:val="22"/>
          <w:lang w:val="en-US"/>
        </w:rPr>
        <w:t xml:space="preserve">In this regard, </w:t>
      </w:r>
      <w:r w:rsidR="00022F5E" w:rsidRPr="00610904">
        <w:rPr>
          <w:noProof w:val="0"/>
          <w:szCs w:val="22"/>
          <w:lang w:val="en-US"/>
        </w:rPr>
        <w:t xml:space="preserve">Iván Lluy </w:t>
      </w:r>
      <w:r w:rsidRPr="00610904">
        <w:rPr>
          <w:noProof w:val="0"/>
          <w:szCs w:val="22"/>
          <w:lang w:val="en-US"/>
        </w:rPr>
        <w:t>testified that</w:t>
      </w:r>
      <w:r w:rsidR="00022F5E" w:rsidRPr="00610904">
        <w:rPr>
          <w:noProof w:val="0"/>
          <w:szCs w:val="22"/>
          <w:lang w:val="en-US"/>
        </w:rPr>
        <w:t xml:space="preserve"> </w:t>
      </w:r>
      <w:r w:rsidR="00544C91" w:rsidRPr="00610904">
        <w:rPr>
          <w:noProof w:val="0"/>
          <w:szCs w:val="22"/>
          <w:lang w:val="en-US"/>
        </w:rPr>
        <w:t>Dr. PMT</w:t>
      </w:r>
      <w:r w:rsidR="00022F5E" w:rsidRPr="00610904">
        <w:rPr>
          <w:noProof w:val="0"/>
          <w:szCs w:val="22"/>
          <w:lang w:val="en-US"/>
        </w:rPr>
        <w:t xml:space="preserve"> “</w:t>
      </w:r>
      <w:r w:rsidRPr="00610904">
        <w:rPr>
          <w:noProof w:val="0"/>
          <w:szCs w:val="22"/>
          <w:lang w:val="en-US"/>
        </w:rPr>
        <w:t xml:space="preserve">told [them] that he was prepared to offer Talía the necessary care, but if [they] filed a complaint, she would lose this assistance and, without treatment, would not live more than two more years.” </w:t>
      </w:r>
    </w:p>
    <w:p w:rsidR="00022F5E" w:rsidRPr="00610904" w:rsidRDefault="00022F5E" w:rsidP="00610904">
      <w:pPr>
        <w:rPr>
          <w:noProof w:val="0"/>
          <w:lang w:val="en-US"/>
        </w:rPr>
      </w:pPr>
    </w:p>
    <w:p w:rsidR="00022F5E" w:rsidRPr="00610904" w:rsidRDefault="00091F7C" w:rsidP="00610904">
      <w:pPr>
        <w:numPr>
          <w:ilvl w:val="0"/>
          <w:numId w:val="1"/>
        </w:numPr>
        <w:rPr>
          <w:noProof w:val="0"/>
          <w:lang w:val="en-US"/>
        </w:rPr>
      </w:pPr>
      <w:r w:rsidRPr="00610904">
        <w:rPr>
          <w:noProof w:val="0"/>
          <w:szCs w:val="22"/>
          <w:lang w:val="en-US"/>
        </w:rPr>
        <w:t>On July 28</w:t>
      </w:r>
      <w:r w:rsidR="009F3D78" w:rsidRPr="00610904">
        <w:rPr>
          <w:noProof w:val="0"/>
          <w:szCs w:val="22"/>
          <w:lang w:val="en-US"/>
        </w:rPr>
        <w:t xml:space="preserve"> and </w:t>
      </w:r>
      <w:r w:rsidRPr="00610904">
        <w:rPr>
          <w:noProof w:val="0"/>
          <w:szCs w:val="22"/>
          <w:lang w:val="en-US"/>
        </w:rPr>
        <w:t>August 13,</w:t>
      </w:r>
      <w:r w:rsidR="00022F5E" w:rsidRPr="00610904">
        <w:rPr>
          <w:noProof w:val="0"/>
          <w:szCs w:val="22"/>
          <w:lang w:val="en-US"/>
        </w:rPr>
        <w:t xml:space="preserve"> 1998,</w:t>
      </w:r>
      <w:r w:rsidR="00AC2638" w:rsidRPr="00610904">
        <w:rPr>
          <w:noProof w:val="0"/>
          <w:szCs w:val="22"/>
          <w:lang w:val="en-US"/>
        </w:rPr>
        <w:t xml:space="preserve"> and Janu</w:t>
      </w:r>
      <w:r w:rsidRPr="00610904">
        <w:rPr>
          <w:noProof w:val="0"/>
          <w:szCs w:val="22"/>
          <w:lang w:val="en-US"/>
        </w:rPr>
        <w:t>ary 15,</w:t>
      </w:r>
      <w:r w:rsidR="00022F5E" w:rsidRPr="00610904">
        <w:rPr>
          <w:noProof w:val="0"/>
          <w:szCs w:val="22"/>
          <w:lang w:val="en-US"/>
        </w:rPr>
        <w:t xml:space="preserve"> 1999</w:t>
      </w:r>
      <w:r w:rsidRPr="00610904">
        <w:rPr>
          <w:noProof w:val="0"/>
          <w:szCs w:val="22"/>
          <w:lang w:val="en-US"/>
        </w:rPr>
        <w:t>,</w:t>
      </w:r>
      <w:r w:rsidR="00022F5E" w:rsidRPr="00610904">
        <w:rPr>
          <w:noProof w:val="0"/>
          <w:szCs w:val="22"/>
          <w:lang w:val="en-US"/>
        </w:rPr>
        <w:t xml:space="preserve"> </w:t>
      </w:r>
      <w:r w:rsidR="00AC2638" w:rsidRPr="00610904">
        <w:rPr>
          <w:noProof w:val="0"/>
          <w:szCs w:val="22"/>
          <w:lang w:val="en-US"/>
        </w:rPr>
        <w:t xml:space="preserve">blood tests were performed that confirmed that Talía had HIV. When she learned that HSA’s blood had HIV and that </w:t>
      </w:r>
      <w:r w:rsidR="00022F5E" w:rsidRPr="00610904">
        <w:rPr>
          <w:rFonts w:eastAsia="Calibri" w:cs="Arial"/>
          <w:noProof w:val="0"/>
          <w:szCs w:val="20"/>
          <w:lang w:val="en-US"/>
        </w:rPr>
        <w:t>Talía ha</w:t>
      </w:r>
      <w:r w:rsidR="00A258D3" w:rsidRPr="00610904">
        <w:rPr>
          <w:rFonts w:eastAsia="Calibri" w:cs="Arial"/>
          <w:noProof w:val="0"/>
          <w:szCs w:val="20"/>
          <w:lang w:val="en-US"/>
        </w:rPr>
        <w:t>d been infected with the</w:t>
      </w:r>
      <w:r w:rsidR="00AC2638" w:rsidRPr="00610904">
        <w:rPr>
          <w:rFonts w:eastAsia="Calibri" w:cs="Arial"/>
          <w:noProof w:val="0"/>
          <w:szCs w:val="20"/>
          <w:lang w:val="en-US"/>
        </w:rPr>
        <w:t xml:space="preserve"> virus when she received a blood donation</w:t>
      </w:r>
      <w:r w:rsidR="00022F5E" w:rsidRPr="00610904">
        <w:rPr>
          <w:rFonts w:eastAsia="Calibri" w:cs="Arial"/>
          <w:noProof w:val="0"/>
          <w:szCs w:val="20"/>
          <w:lang w:val="en-US"/>
        </w:rPr>
        <w:t xml:space="preserve">, Teresa Lluy </w:t>
      </w:r>
      <w:r w:rsidR="00AC2638" w:rsidRPr="00610904">
        <w:rPr>
          <w:rFonts w:eastAsia="Calibri" w:cs="Arial"/>
          <w:noProof w:val="0"/>
          <w:szCs w:val="20"/>
          <w:lang w:val="en-US"/>
        </w:rPr>
        <w:t xml:space="preserve">filed </w:t>
      </w:r>
      <w:r w:rsidR="00A258D3" w:rsidRPr="00610904">
        <w:rPr>
          <w:rFonts w:eastAsia="Calibri" w:cs="Arial"/>
          <w:noProof w:val="0"/>
          <w:szCs w:val="20"/>
          <w:lang w:val="en-US"/>
        </w:rPr>
        <w:t>various</w:t>
      </w:r>
      <w:r w:rsidR="00AC2638" w:rsidRPr="00610904">
        <w:rPr>
          <w:rFonts w:eastAsia="Calibri" w:cs="Arial"/>
          <w:noProof w:val="0"/>
          <w:szCs w:val="20"/>
          <w:lang w:val="en-US"/>
        </w:rPr>
        <w:t xml:space="preserve"> civil and criminal actions in </w:t>
      </w:r>
      <w:r w:rsidR="00A8072E" w:rsidRPr="00610904">
        <w:rPr>
          <w:rFonts w:eastAsia="Calibri" w:cs="Arial"/>
          <w:noProof w:val="0"/>
          <w:szCs w:val="20"/>
          <w:lang w:val="en-US"/>
        </w:rPr>
        <w:t>Ecuador</w:t>
      </w:r>
      <w:r w:rsidR="00022F5E" w:rsidRPr="00610904">
        <w:rPr>
          <w:rFonts w:eastAsia="Calibri"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A8072E" w:rsidP="00610904">
      <w:pPr>
        <w:pStyle w:val="Heading2"/>
        <w:spacing w:before="0" w:after="0"/>
        <w:rPr>
          <w:noProof w:val="0"/>
          <w:lang w:val="en-US"/>
        </w:rPr>
      </w:pPr>
      <w:bookmarkStart w:id="85" w:name="_Toc443399091"/>
      <w:r w:rsidRPr="00610904">
        <w:rPr>
          <w:noProof w:val="0"/>
          <w:lang w:val="en-US"/>
        </w:rPr>
        <w:t>The criminal action</w:t>
      </w:r>
      <w:bookmarkEnd w:id="85"/>
    </w:p>
    <w:p w:rsidR="00022F5E" w:rsidRPr="00610904" w:rsidRDefault="00022F5E" w:rsidP="00610904">
      <w:pPr>
        <w:rPr>
          <w:rFonts w:eastAsia="Calibri" w:cs="Arial"/>
          <w:noProof w:val="0"/>
          <w:szCs w:val="20"/>
          <w:lang w:val="en-US"/>
        </w:rPr>
      </w:pPr>
    </w:p>
    <w:p w:rsidR="00022F5E" w:rsidRPr="00610904" w:rsidRDefault="00091F7C" w:rsidP="00610904">
      <w:pPr>
        <w:numPr>
          <w:ilvl w:val="0"/>
          <w:numId w:val="1"/>
        </w:numPr>
        <w:rPr>
          <w:noProof w:val="0"/>
          <w:lang w:val="en-US"/>
        </w:rPr>
      </w:pPr>
      <w:r w:rsidRPr="00610904">
        <w:rPr>
          <w:rFonts w:cs="Arial"/>
          <w:noProof w:val="0"/>
          <w:szCs w:val="20"/>
          <w:lang w:val="en-US"/>
        </w:rPr>
        <w:t>On September 29,</w:t>
      </w:r>
      <w:r w:rsidR="00022F5E" w:rsidRPr="00610904">
        <w:rPr>
          <w:rFonts w:cs="Arial"/>
          <w:noProof w:val="0"/>
          <w:szCs w:val="20"/>
          <w:lang w:val="en-US"/>
        </w:rPr>
        <w:t xml:space="preserve"> 1998, Teresa Lluy </w:t>
      </w:r>
      <w:r w:rsidR="00AC2638" w:rsidRPr="00610904">
        <w:rPr>
          <w:rFonts w:cs="Arial"/>
          <w:noProof w:val="0"/>
          <w:szCs w:val="20"/>
          <w:lang w:val="en-US"/>
        </w:rPr>
        <w:t xml:space="preserve">filed a criminal complaint “to determine those responsible for the blood transfusion performed on </w:t>
      </w:r>
      <w:r w:rsidR="00022F5E" w:rsidRPr="00610904">
        <w:rPr>
          <w:rFonts w:cs="Arial"/>
          <w:noProof w:val="0"/>
          <w:szCs w:val="20"/>
          <w:lang w:val="en-US"/>
        </w:rPr>
        <w:t xml:space="preserve">Talía </w:t>
      </w:r>
      <w:r w:rsidR="00AC2638" w:rsidRPr="00610904">
        <w:rPr>
          <w:rFonts w:cs="Arial"/>
          <w:noProof w:val="0"/>
          <w:szCs w:val="20"/>
          <w:lang w:val="en-US"/>
        </w:rPr>
        <w:t>that had infected the child with HIV.</w:t>
      </w:r>
      <w:r w:rsidR="00022F5E" w:rsidRPr="00610904">
        <w:rPr>
          <w:rFonts w:cs="Arial"/>
          <w:noProof w:val="0"/>
          <w:szCs w:val="20"/>
          <w:lang w:val="en-US"/>
        </w:rPr>
        <w:t>”</w:t>
      </w:r>
      <w:r w:rsidR="00022F5E" w:rsidRPr="00610904">
        <w:rPr>
          <w:rStyle w:val="FootnoteReference"/>
          <w:noProof w:val="0"/>
          <w:lang w:val="en-US"/>
        </w:rPr>
        <w:footnoteReference w:id="74"/>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091F7C" w:rsidP="00610904">
      <w:pPr>
        <w:numPr>
          <w:ilvl w:val="0"/>
          <w:numId w:val="1"/>
        </w:numPr>
        <w:rPr>
          <w:noProof w:val="0"/>
          <w:lang w:val="en-US"/>
        </w:rPr>
      </w:pPr>
      <w:r w:rsidRPr="00610904">
        <w:rPr>
          <w:rFonts w:cs="Arial"/>
          <w:noProof w:val="0"/>
          <w:szCs w:val="20"/>
          <w:lang w:val="en-US"/>
        </w:rPr>
        <w:t>On October 19,</w:t>
      </w:r>
      <w:r w:rsidR="00022F5E" w:rsidRPr="00610904">
        <w:rPr>
          <w:rFonts w:cs="Arial"/>
          <w:noProof w:val="0"/>
          <w:szCs w:val="20"/>
          <w:lang w:val="en-US"/>
        </w:rPr>
        <w:t xml:space="preserve"> 1998</w:t>
      </w:r>
      <w:r w:rsidRPr="00610904">
        <w:rPr>
          <w:rFonts w:cs="Arial"/>
          <w:noProof w:val="0"/>
          <w:szCs w:val="20"/>
          <w:lang w:val="en-US"/>
        </w:rPr>
        <w:t>,</w:t>
      </w:r>
      <w:r w:rsidR="00022F5E" w:rsidRPr="00610904">
        <w:rPr>
          <w:rFonts w:cs="Arial"/>
          <w:noProof w:val="0"/>
          <w:szCs w:val="20"/>
          <w:lang w:val="en-US"/>
        </w:rPr>
        <w:t xml:space="preserve"> </w:t>
      </w:r>
      <w:r w:rsidRPr="00610904">
        <w:rPr>
          <w:rFonts w:cs="Arial"/>
          <w:noProof w:val="0"/>
          <w:szCs w:val="20"/>
          <w:lang w:val="en-US"/>
        </w:rPr>
        <w:t>the Fourth Criminal Court</w:t>
      </w:r>
      <w:r w:rsidR="00AC2638" w:rsidRPr="00610904">
        <w:rPr>
          <w:rFonts w:cs="Arial"/>
          <w:noProof w:val="0"/>
          <w:szCs w:val="20"/>
          <w:lang w:val="en-US"/>
        </w:rPr>
        <w:t xml:space="preserve"> of</w:t>
      </w:r>
      <w:r w:rsidR="00022F5E" w:rsidRPr="00610904">
        <w:rPr>
          <w:rFonts w:cs="Arial"/>
          <w:noProof w:val="0"/>
          <w:szCs w:val="20"/>
          <w:lang w:val="en-US"/>
        </w:rPr>
        <w:t xml:space="preserve"> Azuay (</w:t>
      </w:r>
      <w:r w:rsidR="009F3D78" w:rsidRPr="00610904">
        <w:rPr>
          <w:rFonts w:cs="Arial"/>
          <w:noProof w:val="0"/>
          <w:szCs w:val="20"/>
          <w:lang w:val="en-US"/>
        </w:rPr>
        <w:t>hereinafter</w:t>
      </w:r>
      <w:r w:rsidR="00022F5E" w:rsidRPr="00610904">
        <w:rPr>
          <w:rFonts w:cs="Arial"/>
          <w:noProof w:val="0"/>
          <w:szCs w:val="20"/>
          <w:lang w:val="en-US"/>
        </w:rPr>
        <w:t xml:space="preserve"> “</w:t>
      </w:r>
      <w:r w:rsidR="00AC2638" w:rsidRPr="00610904">
        <w:rPr>
          <w:rFonts w:cs="Arial"/>
          <w:noProof w:val="0"/>
          <w:szCs w:val="20"/>
          <w:lang w:val="en-US"/>
        </w:rPr>
        <w:t xml:space="preserve">the </w:t>
      </w:r>
      <w:r w:rsidR="00653A30" w:rsidRPr="00610904">
        <w:rPr>
          <w:rFonts w:cs="Arial"/>
          <w:noProof w:val="0"/>
          <w:szCs w:val="20"/>
          <w:lang w:val="en-US"/>
        </w:rPr>
        <w:t>Fourth Court</w:t>
      </w:r>
      <w:r w:rsidR="00022F5E" w:rsidRPr="00610904">
        <w:rPr>
          <w:rFonts w:cs="Arial"/>
          <w:noProof w:val="0"/>
          <w:szCs w:val="20"/>
          <w:lang w:val="en-US"/>
        </w:rPr>
        <w:t>” o</w:t>
      </w:r>
      <w:r w:rsidR="00AC2638" w:rsidRPr="00610904">
        <w:rPr>
          <w:rFonts w:cs="Arial"/>
          <w:noProof w:val="0"/>
          <w:szCs w:val="20"/>
          <w:lang w:val="en-US"/>
        </w:rPr>
        <w:t>r</w:t>
      </w:r>
      <w:r w:rsidR="00022F5E" w:rsidRPr="00610904">
        <w:rPr>
          <w:rFonts w:cs="Arial"/>
          <w:noProof w:val="0"/>
          <w:szCs w:val="20"/>
          <w:lang w:val="en-US"/>
        </w:rPr>
        <w:t xml:space="preserve"> “</w:t>
      </w:r>
      <w:r w:rsidR="00AC2638" w:rsidRPr="00610904">
        <w:rPr>
          <w:rFonts w:cs="Arial"/>
          <w:noProof w:val="0"/>
          <w:szCs w:val="20"/>
          <w:lang w:val="en-US"/>
        </w:rPr>
        <w:t xml:space="preserve">the </w:t>
      </w:r>
      <w:r w:rsidR="00653A30" w:rsidRPr="00610904">
        <w:rPr>
          <w:rFonts w:cs="Arial"/>
          <w:noProof w:val="0"/>
          <w:szCs w:val="20"/>
          <w:lang w:val="en-US"/>
        </w:rPr>
        <w:t>Fourth Criminal Court</w:t>
      </w:r>
      <w:r w:rsidR="00022F5E" w:rsidRPr="00610904">
        <w:rPr>
          <w:rFonts w:cs="Arial"/>
          <w:noProof w:val="0"/>
          <w:szCs w:val="20"/>
          <w:lang w:val="en-US"/>
        </w:rPr>
        <w:t xml:space="preserve">”) </w:t>
      </w:r>
      <w:r w:rsidR="00AC2638" w:rsidRPr="00610904">
        <w:rPr>
          <w:rFonts w:cs="Arial"/>
          <w:noProof w:val="0"/>
          <w:szCs w:val="20"/>
          <w:lang w:val="en-US"/>
        </w:rPr>
        <w:t>issued</w:t>
      </w:r>
      <w:r w:rsidR="00022F5E" w:rsidRPr="00610904">
        <w:rPr>
          <w:rFonts w:cs="Arial"/>
          <w:noProof w:val="0"/>
          <w:szCs w:val="20"/>
          <w:lang w:val="en-US"/>
        </w:rPr>
        <w:t xml:space="preserve"> “</w:t>
      </w:r>
      <w:r w:rsidR="00AC2638" w:rsidRPr="00610904">
        <w:rPr>
          <w:rFonts w:cs="Arial"/>
          <w:noProof w:val="0"/>
          <w:szCs w:val="20"/>
          <w:lang w:val="en-US"/>
        </w:rPr>
        <w:t>an order to investigate the alleged offense,” opening the proceedings “to identify those responsible.</w:t>
      </w:r>
      <w:r w:rsidR="00022F5E" w:rsidRPr="00610904">
        <w:rPr>
          <w:rFonts w:cs="Arial"/>
          <w:noProof w:val="0"/>
          <w:szCs w:val="20"/>
          <w:lang w:val="en-US"/>
        </w:rPr>
        <w:t>”</w:t>
      </w:r>
      <w:r w:rsidR="00022F5E" w:rsidRPr="00610904">
        <w:rPr>
          <w:rStyle w:val="FootnoteReference"/>
          <w:noProof w:val="0"/>
          <w:lang w:val="en-US"/>
        </w:rPr>
        <w:footnoteReference w:id="75"/>
      </w:r>
      <w:r w:rsidR="00AC2638" w:rsidRPr="00610904">
        <w:rPr>
          <w:rFonts w:cs="Arial"/>
          <w:noProof w:val="0"/>
          <w:szCs w:val="20"/>
          <w:lang w:val="en-US"/>
        </w:rPr>
        <w:t xml:space="preserve"> Consequently, the court ordered that the preliminary </w:t>
      </w:r>
      <w:r w:rsidR="00A258D3" w:rsidRPr="00610904">
        <w:rPr>
          <w:rFonts w:cs="Arial"/>
          <w:noProof w:val="0"/>
          <w:szCs w:val="20"/>
          <w:lang w:val="en-US"/>
        </w:rPr>
        <w:t>investigations</w:t>
      </w:r>
      <w:r w:rsidR="00AC2638" w:rsidRPr="00610904">
        <w:rPr>
          <w:rFonts w:cs="Arial"/>
          <w:noProof w:val="0"/>
          <w:szCs w:val="20"/>
          <w:lang w:val="en-US"/>
        </w:rPr>
        <w:t xml:space="preserve"> be undertaken and, to this end, determined that testimony be receiv</w:t>
      </w:r>
      <w:r w:rsidR="00A258D3" w:rsidRPr="00610904">
        <w:rPr>
          <w:rFonts w:cs="Arial"/>
          <w:noProof w:val="0"/>
          <w:szCs w:val="20"/>
          <w:lang w:val="en-US"/>
        </w:rPr>
        <w:t>ed and the scene of the facts</w:t>
      </w:r>
      <w:r w:rsidR="00AC2638" w:rsidRPr="00610904">
        <w:rPr>
          <w:rFonts w:cs="Arial"/>
          <w:noProof w:val="0"/>
          <w:szCs w:val="20"/>
          <w:lang w:val="en-US"/>
        </w:rPr>
        <w:t xml:space="preserve"> inspected,</w:t>
      </w:r>
      <w:r w:rsidR="00022F5E" w:rsidRPr="00610904">
        <w:rPr>
          <w:rStyle w:val="FootnoteReference"/>
          <w:noProof w:val="0"/>
          <w:lang w:val="en-US"/>
        </w:rPr>
        <w:footnoteReference w:id="76"/>
      </w:r>
      <w:r w:rsidR="00AC2638" w:rsidRPr="00610904">
        <w:rPr>
          <w:rFonts w:cs="Arial"/>
          <w:noProof w:val="0"/>
          <w:szCs w:val="20"/>
          <w:lang w:val="en-US"/>
        </w:rPr>
        <w:t xml:space="preserve"> </w:t>
      </w:r>
      <w:r w:rsidR="00A258D3" w:rsidRPr="00610904">
        <w:rPr>
          <w:rFonts w:cs="Arial"/>
          <w:noProof w:val="0"/>
          <w:szCs w:val="20"/>
          <w:lang w:val="en-US"/>
        </w:rPr>
        <w:t>as well as</w:t>
      </w:r>
      <w:r w:rsidR="00AC2638" w:rsidRPr="00610904">
        <w:rPr>
          <w:rFonts w:cs="Arial"/>
          <w:noProof w:val="0"/>
          <w:szCs w:val="20"/>
          <w:lang w:val="en-US"/>
        </w:rPr>
        <w:t xml:space="preserve"> other necessary in</w:t>
      </w:r>
      <w:r w:rsidR="00A258D3" w:rsidRPr="00610904">
        <w:rPr>
          <w:rFonts w:cs="Arial"/>
          <w:noProof w:val="0"/>
          <w:szCs w:val="20"/>
          <w:lang w:val="en-US"/>
        </w:rPr>
        <w:t>quiries</w:t>
      </w:r>
      <w:r w:rsidR="00AC2638" w:rsidRPr="00610904">
        <w:rPr>
          <w:rFonts w:cs="Arial"/>
          <w:noProof w:val="0"/>
          <w:szCs w:val="20"/>
          <w:lang w:val="en-US"/>
        </w:rPr>
        <w:t>.</w:t>
      </w:r>
    </w:p>
    <w:p w:rsidR="00022F5E" w:rsidRPr="00610904" w:rsidRDefault="00022F5E" w:rsidP="00610904">
      <w:pPr>
        <w:rPr>
          <w:rFonts w:cs="Arial"/>
          <w:noProof w:val="0"/>
          <w:szCs w:val="20"/>
          <w:lang w:val="en-US"/>
        </w:rPr>
      </w:pPr>
    </w:p>
    <w:p w:rsidR="00022F5E" w:rsidRPr="00610904" w:rsidRDefault="00091F7C" w:rsidP="00610904">
      <w:pPr>
        <w:numPr>
          <w:ilvl w:val="0"/>
          <w:numId w:val="1"/>
        </w:numPr>
        <w:rPr>
          <w:noProof w:val="0"/>
          <w:lang w:val="en-US"/>
        </w:rPr>
      </w:pPr>
      <w:r w:rsidRPr="00610904">
        <w:rPr>
          <w:rFonts w:cs="Arial"/>
          <w:noProof w:val="0"/>
          <w:szCs w:val="20"/>
          <w:lang w:val="en-US"/>
        </w:rPr>
        <w:t xml:space="preserve">On October 19, </w:t>
      </w:r>
      <w:r w:rsidR="00022F5E" w:rsidRPr="00610904">
        <w:rPr>
          <w:rFonts w:cs="Arial"/>
          <w:noProof w:val="0"/>
          <w:szCs w:val="20"/>
          <w:lang w:val="en-US"/>
        </w:rPr>
        <w:t>1998</w:t>
      </w:r>
      <w:r w:rsidRPr="00610904">
        <w:rPr>
          <w:rFonts w:cs="Arial"/>
          <w:noProof w:val="0"/>
          <w:szCs w:val="20"/>
          <w:lang w:val="en-US"/>
        </w:rPr>
        <w:t>,</w:t>
      </w:r>
      <w:r w:rsidR="00022F5E" w:rsidRPr="00610904">
        <w:rPr>
          <w:noProof w:val="0"/>
          <w:szCs w:val="20"/>
          <w:lang w:val="en-US"/>
        </w:rPr>
        <w:t xml:space="preserve"> </w:t>
      </w:r>
      <w:r w:rsidR="00AC2638" w:rsidRPr="00610904">
        <w:rPr>
          <w:noProof w:val="0"/>
          <w:szCs w:val="20"/>
          <w:lang w:val="en-US"/>
        </w:rPr>
        <w:t xml:space="preserve">Dr. </w:t>
      </w:r>
      <w:r w:rsidR="00022F5E" w:rsidRPr="00610904">
        <w:rPr>
          <w:noProof w:val="0"/>
          <w:szCs w:val="20"/>
          <w:lang w:val="en-US"/>
        </w:rPr>
        <w:t>PMT, Director</w:t>
      </w:r>
      <w:r w:rsidR="00A8072E" w:rsidRPr="00610904">
        <w:rPr>
          <w:noProof w:val="0"/>
          <w:szCs w:val="20"/>
          <w:lang w:val="en-US"/>
        </w:rPr>
        <w:t xml:space="preserve"> of the </w:t>
      </w:r>
      <w:r w:rsidR="00C44085" w:rsidRPr="00610904">
        <w:rPr>
          <w:noProof w:val="0"/>
          <w:szCs w:val="20"/>
          <w:lang w:val="en-US"/>
        </w:rPr>
        <w:t>Red Cross Blood Bank</w:t>
      </w:r>
      <w:r w:rsidR="00022F5E" w:rsidRPr="00610904">
        <w:rPr>
          <w:noProof w:val="0"/>
          <w:szCs w:val="20"/>
          <w:lang w:val="en-US"/>
        </w:rPr>
        <w:t>,</w:t>
      </w:r>
      <w:r w:rsidR="009F3D78" w:rsidRPr="00610904">
        <w:rPr>
          <w:noProof w:val="0"/>
          <w:szCs w:val="20"/>
          <w:lang w:val="en-US"/>
        </w:rPr>
        <w:t xml:space="preserve"> </w:t>
      </w:r>
      <w:r w:rsidR="00AC2638" w:rsidRPr="00610904">
        <w:rPr>
          <w:noProof w:val="0"/>
          <w:szCs w:val="20"/>
          <w:lang w:val="en-US"/>
        </w:rPr>
        <w:t xml:space="preserve">who had diagnosed </w:t>
      </w:r>
      <w:r w:rsidR="00022F5E" w:rsidRPr="00610904">
        <w:rPr>
          <w:noProof w:val="0"/>
          <w:szCs w:val="20"/>
          <w:lang w:val="en-US"/>
        </w:rPr>
        <w:t>Talía</w:t>
      </w:r>
      <w:r w:rsidR="00AC2638" w:rsidRPr="00610904">
        <w:rPr>
          <w:noProof w:val="0"/>
          <w:szCs w:val="20"/>
          <w:lang w:val="en-US"/>
        </w:rPr>
        <w:t xml:space="preserve"> at</w:t>
      </w:r>
      <w:r w:rsidR="00022F5E" w:rsidRPr="00610904">
        <w:rPr>
          <w:noProof w:val="0"/>
          <w:szCs w:val="20"/>
          <w:lang w:val="en-US"/>
        </w:rPr>
        <w:t xml:space="preserve"> </w:t>
      </w:r>
      <w:r w:rsidRPr="00610904">
        <w:rPr>
          <w:noProof w:val="0"/>
          <w:szCs w:val="20"/>
          <w:lang w:val="en-US"/>
        </w:rPr>
        <w:t>the Humanitarian Clinic</w:t>
      </w:r>
      <w:r w:rsidR="00022F5E" w:rsidRPr="00610904">
        <w:rPr>
          <w:noProof w:val="0"/>
          <w:szCs w:val="20"/>
          <w:lang w:val="en-US"/>
        </w:rPr>
        <w:t xml:space="preserve"> orde</w:t>
      </w:r>
      <w:r w:rsidR="00AC2638" w:rsidRPr="00610904">
        <w:rPr>
          <w:noProof w:val="0"/>
          <w:szCs w:val="20"/>
          <w:lang w:val="en-US"/>
        </w:rPr>
        <w:t xml:space="preserve">ring the transfusion of two pints of blood and platelets </w:t>
      </w:r>
      <w:r w:rsidR="00022F5E" w:rsidRPr="00610904">
        <w:rPr>
          <w:noProof w:val="0"/>
          <w:szCs w:val="20"/>
          <w:lang w:val="en-US"/>
        </w:rPr>
        <w:t>(</w:t>
      </w:r>
      <w:r w:rsidR="00022F5E" w:rsidRPr="00610904">
        <w:rPr>
          <w:i/>
          <w:noProof w:val="0"/>
          <w:szCs w:val="20"/>
          <w:lang w:val="en-US"/>
        </w:rPr>
        <w:t>supra</w:t>
      </w:r>
      <w:r w:rsidR="00022F5E" w:rsidRPr="00610904">
        <w:rPr>
          <w:noProof w:val="0"/>
          <w:szCs w:val="20"/>
          <w:lang w:val="en-US"/>
        </w:rPr>
        <w:t xml:space="preserve"> </w:t>
      </w:r>
      <w:r w:rsidR="006E502B" w:rsidRPr="00610904">
        <w:rPr>
          <w:noProof w:val="0"/>
          <w:szCs w:val="20"/>
          <w:lang w:val="en-US"/>
        </w:rPr>
        <w:t>para.</w:t>
      </w:r>
      <w:r w:rsidR="00022F5E" w:rsidRPr="00610904">
        <w:rPr>
          <w:noProof w:val="0"/>
          <w:szCs w:val="20"/>
          <w:lang w:val="en-US"/>
        </w:rPr>
        <w:t xml:space="preserve"> </w:t>
      </w:r>
      <w:r w:rsidR="00EB0EB9" w:rsidRPr="00610904">
        <w:rPr>
          <w:noProof w:val="0"/>
          <w:szCs w:val="20"/>
          <w:lang w:val="en-US"/>
        </w:rPr>
        <w:t>75</w:t>
      </w:r>
      <w:r w:rsidR="00022F5E" w:rsidRPr="00610904">
        <w:rPr>
          <w:noProof w:val="0"/>
          <w:szCs w:val="20"/>
          <w:lang w:val="en-US"/>
        </w:rPr>
        <w:t>)</w:t>
      </w:r>
      <w:r w:rsidR="00AC2638" w:rsidRPr="00610904">
        <w:rPr>
          <w:noProof w:val="0"/>
          <w:szCs w:val="20"/>
          <w:lang w:val="en-US"/>
        </w:rPr>
        <w:t xml:space="preserve"> came forward to testify.</w:t>
      </w:r>
      <w:r w:rsidR="00022F5E" w:rsidRPr="00610904">
        <w:rPr>
          <w:rStyle w:val="FootnoteReference"/>
          <w:rFonts w:eastAsia="Calibri"/>
          <w:noProof w:val="0"/>
          <w:lang w:val="en-US"/>
        </w:rPr>
        <w:footnoteReference w:id="77"/>
      </w:r>
      <w:r w:rsidR="00AC2638" w:rsidRPr="00610904">
        <w:rPr>
          <w:noProof w:val="0"/>
          <w:szCs w:val="20"/>
          <w:lang w:val="en-US"/>
        </w:rPr>
        <w:t xml:space="preserve"> The same day, EOQ, the Red Cross </w:t>
      </w:r>
      <w:r w:rsidR="00AC2638" w:rsidRPr="00610904">
        <w:rPr>
          <w:noProof w:val="0"/>
          <w:szCs w:val="20"/>
          <w:lang w:val="en-US"/>
        </w:rPr>
        <w:lastRenderedPageBreak/>
        <w:t>biochemist who had performed the HIV tests on HSA’s blood</w:t>
      </w:r>
      <w:r w:rsidR="00022F5E" w:rsidRPr="00610904">
        <w:rPr>
          <w:noProof w:val="0"/>
          <w:szCs w:val="20"/>
          <w:lang w:val="en-US"/>
        </w:rPr>
        <w:t xml:space="preserve"> </w:t>
      </w:r>
      <w:r w:rsidR="00544C91" w:rsidRPr="00610904">
        <w:rPr>
          <w:noProof w:val="0"/>
          <w:szCs w:val="20"/>
          <w:lang w:val="en-US"/>
        </w:rPr>
        <w:t>on June 23,</w:t>
      </w:r>
      <w:r w:rsidR="00022F5E" w:rsidRPr="00610904">
        <w:rPr>
          <w:noProof w:val="0"/>
          <w:szCs w:val="20"/>
          <w:lang w:val="en-US"/>
        </w:rPr>
        <w:t xml:space="preserve"> 1998 (</w:t>
      </w:r>
      <w:r w:rsidR="00022F5E" w:rsidRPr="00610904">
        <w:rPr>
          <w:i/>
          <w:noProof w:val="0"/>
          <w:szCs w:val="20"/>
          <w:lang w:val="en-US"/>
        </w:rPr>
        <w:t>supra</w:t>
      </w:r>
      <w:r w:rsidR="00022F5E" w:rsidRPr="00610904">
        <w:rPr>
          <w:noProof w:val="0"/>
          <w:szCs w:val="20"/>
          <w:lang w:val="en-US"/>
        </w:rPr>
        <w:t xml:space="preserve"> </w:t>
      </w:r>
      <w:r w:rsidR="006E502B" w:rsidRPr="00610904">
        <w:rPr>
          <w:noProof w:val="0"/>
          <w:szCs w:val="20"/>
          <w:lang w:val="en-US"/>
        </w:rPr>
        <w:t>para.</w:t>
      </w:r>
      <w:r w:rsidR="00022F5E" w:rsidRPr="00610904">
        <w:rPr>
          <w:noProof w:val="0"/>
          <w:szCs w:val="20"/>
          <w:lang w:val="en-US"/>
        </w:rPr>
        <w:t xml:space="preserve"> </w:t>
      </w:r>
      <w:r w:rsidR="00EB0EB9" w:rsidRPr="00610904">
        <w:rPr>
          <w:noProof w:val="0"/>
          <w:szCs w:val="20"/>
          <w:lang w:val="en-US"/>
        </w:rPr>
        <w:t>78</w:t>
      </w:r>
      <w:r w:rsidR="00022F5E" w:rsidRPr="00610904">
        <w:rPr>
          <w:noProof w:val="0"/>
          <w:szCs w:val="20"/>
          <w:lang w:val="en-US"/>
        </w:rPr>
        <w:t>)</w:t>
      </w:r>
      <w:r w:rsidR="00AC2638" w:rsidRPr="00610904">
        <w:rPr>
          <w:noProof w:val="0"/>
          <w:szCs w:val="20"/>
          <w:lang w:val="en-US"/>
        </w:rPr>
        <w:t>, testified</w:t>
      </w:r>
      <w:r w:rsidRPr="00610904">
        <w:rPr>
          <w:noProof w:val="0"/>
          <w:szCs w:val="20"/>
          <w:lang w:val="en-US"/>
        </w:rPr>
        <w:t>.</w:t>
      </w:r>
      <w:r w:rsidR="00022F5E" w:rsidRPr="00610904">
        <w:rPr>
          <w:rStyle w:val="FootnoteReference"/>
          <w:rFonts w:eastAsia="Calibri"/>
          <w:noProof w:val="0"/>
          <w:lang w:val="en-US"/>
        </w:rPr>
        <w:footnoteReference w:id="78"/>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091F7C" w:rsidP="00610904">
      <w:pPr>
        <w:numPr>
          <w:ilvl w:val="0"/>
          <w:numId w:val="1"/>
        </w:numPr>
        <w:rPr>
          <w:noProof w:val="0"/>
          <w:lang w:val="en-US"/>
        </w:rPr>
      </w:pPr>
      <w:r w:rsidRPr="00610904">
        <w:rPr>
          <w:noProof w:val="0"/>
          <w:szCs w:val="20"/>
          <w:lang w:val="en-US"/>
        </w:rPr>
        <w:t>On October 20,</w:t>
      </w:r>
      <w:r w:rsidR="00022F5E" w:rsidRPr="00610904">
        <w:rPr>
          <w:noProof w:val="0"/>
          <w:szCs w:val="20"/>
          <w:lang w:val="en-US"/>
        </w:rPr>
        <w:t xml:space="preserve"> 1998</w:t>
      </w:r>
      <w:r w:rsidRPr="00610904">
        <w:rPr>
          <w:noProof w:val="0"/>
          <w:szCs w:val="20"/>
          <w:lang w:val="en-US"/>
        </w:rPr>
        <w:t>,</w:t>
      </w:r>
      <w:r w:rsidR="00022F5E" w:rsidRPr="00610904">
        <w:rPr>
          <w:noProof w:val="0"/>
          <w:szCs w:val="20"/>
          <w:lang w:val="en-US"/>
        </w:rPr>
        <w:t xml:space="preserve"> </w:t>
      </w:r>
      <w:r w:rsidR="00544C91" w:rsidRPr="00610904">
        <w:rPr>
          <w:noProof w:val="0"/>
          <w:szCs w:val="20"/>
          <w:lang w:val="en-US"/>
        </w:rPr>
        <w:t>Mr. HSA</w:t>
      </w:r>
      <w:r w:rsidR="00022F5E" w:rsidRPr="00610904">
        <w:rPr>
          <w:noProof w:val="0"/>
          <w:szCs w:val="20"/>
          <w:lang w:val="en-US"/>
        </w:rPr>
        <w:t xml:space="preserve"> </w:t>
      </w:r>
      <w:r w:rsidR="00AC2638" w:rsidRPr="00610904">
        <w:rPr>
          <w:noProof w:val="0"/>
          <w:szCs w:val="20"/>
          <w:lang w:val="en-US"/>
        </w:rPr>
        <w:t xml:space="preserve">testified about what happened on the day that he donated blood for </w:t>
      </w:r>
      <w:r w:rsidR="00022F5E" w:rsidRPr="00610904">
        <w:rPr>
          <w:rFonts w:cs="Arial"/>
          <w:noProof w:val="0"/>
          <w:szCs w:val="20"/>
          <w:lang w:val="en-US"/>
        </w:rPr>
        <w:t>Talía</w:t>
      </w:r>
      <w:r w:rsidR="009F3D78" w:rsidRPr="00610904">
        <w:rPr>
          <w:rFonts w:cs="Arial"/>
          <w:noProof w:val="0"/>
          <w:szCs w:val="20"/>
          <w:lang w:val="en-US"/>
        </w:rPr>
        <w:t xml:space="preserve"> and </w:t>
      </w:r>
      <w:r w:rsidR="00AC2638" w:rsidRPr="00610904">
        <w:rPr>
          <w:rFonts w:cs="Arial"/>
          <w:noProof w:val="0"/>
          <w:szCs w:val="20"/>
          <w:lang w:val="en-US"/>
        </w:rPr>
        <w:t xml:space="preserve">how he later found out that he was </w:t>
      </w:r>
      <w:r w:rsidR="0095033A" w:rsidRPr="00610904">
        <w:rPr>
          <w:rFonts w:cs="Arial"/>
          <w:noProof w:val="0"/>
          <w:szCs w:val="20"/>
          <w:lang w:val="en-US"/>
        </w:rPr>
        <w:t xml:space="preserve">a carrier of </w:t>
      </w:r>
      <w:r w:rsidR="00A8072E" w:rsidRPr="00610904">
        <w:rPr>
          <w:noProof w:val="0"/>
          <w:szCs w:val="20"/>
          <w:lang w:val="en-US"/>
        </w:rPr>
        <w:t>HIV</w:t>
      </w:r>
      <w:r w:rsidR="0095033A" w:rsidRPr="00610904">
        <w:rPr>
          <w:noProof w:val="0"/>
          <w:szCs w:val="20"/>
          <w:lang w:val="en-US"/>
        </w:rPr>
        <w:t>.</w:t>
      </w:r>
      <w:r w:rsidR="00022F5E" w:rsidRPr="00610904">
        <w:rPr>
          <w:rStyle w:val="FootnoteReference"/>
          <w:rFonts w:eastAsia="Calibri"/>
          <w:noProof w:val="0"/>
          <w:lang w:val="en-US"/>
        </w:rPr>
        <w:footnoteReference w:id="79"/>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091F7C" w:rsidP="00610904">
      <w:pPr>
        <w:numPr>
          <w:ilvl w:val="0"/>
          <w:numId w:val="1"/>
        </w:numPr>
        <w:rPr>
          <w:noProof w:val="0"/>
          <w:lang w:val="en-US"/>
        </w:rPr>
      </w:pPr>
      <w:r w:rsidRPr="00610904">
        <w:rPr>
          <w:noProof w:val="0"/>
          <w:szCs w:val="20"/>
          <w:lang w:val="en-US"/>
        </w:rPr>
        <w:t>On November 15,</w:t>
      </w:r>
      <w:r w:rsidR="00022F5E" w:rsidRPr="00610904">
        <w:rPr>
          <w:noProof w:val="0"/>
          <w:szCs w:val="20"/>
          <w:lang w:val="en-US"/>
        </w:rPr>
        <w:t xml:space="preserve"> 1998</w:t>
      </w:r>
      <w:r w:rsidRPr="00610904">
        <w:rPr>
          <w:noProof w:val="0"/>
          <w:szCs w:val="20"/>
          <w:lang w:val="en-US"/>
        </w:rPr>
        <w:t>,</w:t>
      </w:r>
      <w:r w:rsidR="00022F5E" w:rsidRPr="00610904">
        <w:rPr>
          <w:noProof w:val="0"/>
          <w:szCs w:val="20"/>
          <w:lang w:val="en-US"/>
        </w:rPr>
        <w:t xml:space="preserve"> </w:t>
      </w:r>
      <w:r w:rsidR="0095033A" w:rsidRPr="00610904">
        <w:rPr>
          <w:noProof w:val="0"/>
          <w:szCs w:val="20"/>
          <w:lang w:val="en-US"/>
        </w:rPr>
        <w:t>Teresa Lluy appeared before the court to testify. She gave an account of what happened between</w:t>
      </w:r>
      <w:r w:rsidRPr="00610904">
        <w:rPr>
          <w:noProof w:val="0"/>
          <w:szCs w:val="20"/>
          <w:lang w:val="en-US"/>
        </w:rPr>
        <w:t xml:space="preserve"> June</w:t>
      </w:r>
      <w:r w:rsidR="00022F5E" w:rsidRPr="00610904">
        <w:rPr>
          <w:noProof w:val="0"/>
          <w:szCs w:val="20"/>
          <w:lang w:val="en-US"/>
        </w:rPr>
        <w:t xml:space="preserve"> 20</w:t>
      </w:r>
      <w:r w:rsidR="009F3D78" w:rsidRPr="00610904">
        <w:rPr>
          <w:noProof w:val="0"/>
          <w:szCs w:val="20"/>
          <w:lang w:val="en-US"/>
        </w:rPr>
        <w:t xml:space="preserve"> and </w:t>
      </w:r>
      <w:r w:rsidRPr="00610904">
        <w:rPr>
          <w:noProof w:val="0"/>
          <w:szCs w:val="20"/>
          <w:lang w:val="en-US"/>
        </w:rPr>
        <w:t xml:space="preserve">22, </w:t>
      </w:r>
      <w:r w:rsidR="00022F5E" w:rsidRPr="00610904">
        <w:rPr>
          <w:noProof w:val="0"/>
          <w:szCs w:val="20"/>
          <w:lang w:val="en-US"/>
        </w:rPr>
        <w:t>1998, as</w:t>
      </w:r>
      <w:r w:rsidR="0095033A" w:rsidRPr="00610904">
        <w:rPr>
          <w:noProof w:val="0"/>
          <w:szCs w:val="20"/>
          <w:lang w:val="en-US"/>
        </w:rPr>
        <w:t xml:space="preserve"> well as after Talía’s blood transfusion and up until the time </w:t>
      </w:r>
      <w:r w:rsidR="00A258D3" w:rsidRPr="00610904">
        <w:rPr>
          <w:noProof w:val="0"/>
          <w:szCs w:val="20"/>
          <w:lang w:val="en-US"/>
        </w:rPr>
        <w:t>when</w:t>
      </w:r>
      <w:r w:rsidR="0095033A" w:rsidRPr="00610904">
        <w:rPr>
          <w:noProof w:val="0"/>
          <w:szCs w:val="20"/>
          <w:lang w:val="en-US"/>
        </w:rPr>
        <w:t xml:space="preserve"> she found out that </w:t>
      </w:r>
      <w:r w:rsidR="00022F5E" w:rsidRPr="00610904">
        <w:rPr>
          <w:noProof w:val="0"/>
          <w:szCs w:val="20"/>
          <w:lang w:val="en-US"/>
        </w:rPr>
        <w:t xml:space="preserve">Talía </w:t>
      </w:r>
      <w:r w:rsidR="0095033A" w:rsidRPr="00610904">
        <w:rPr>
          <w:noProof w:val="0"/>
          <w:szCs w:val="20"/>
          <w:lang w:val="en-US"/>
        </w:rPr>
        <w:t>had</w:t>
      </w:r>
      <w:r w:rsidR="00022F5E" w:rsidRPr="00610904">
        <w:rPr>
          <w:noProof w:val="0"/>
          <w:szCs w:val="20"/>
          <w:lang w:val="en-US"/>
        </w:rPr>
        <w:t xml:space="preserve"> </w:t>
      </w:r>
      <w:r w:rsidR="00A8072E" w:rsidRPr="00610904">
        <w:rPr>
          <w:noProof w:val="0"/>
          <w:szCs w:val="20"/>
          <w:lang w:val="en-US"/>
        </w:rPr>
        <w:t>HIV</w:t>
      </w:r>
      <w:r w:rsidR="0095033A" w:rsidRPr="00610904">
        <w:rPr>
          <w:noProof w:val="0"/>
          <w:szCs w:val="20"/>
          <w:lang w:val="en-US"/>
        </w:rPr>
        <w:t>.</w:t>
      </w:r>
      <w:r w:rsidR="00022F5E" w:rsidRPr="00610904">
        <w:rPr>
          <w:rStyle w:val="FootnoteReference"/>
          <w:rFonts w:eastAsia="Calibri"/>
          <w:noProof w:val="0"/>
          <w:lang w:val="en-US"/>
        </w:rPr>
        <w:footnoteReference w:id="80"/>
      </w:r>
      <w:r w:rsidR="00022F5E" w:rsidRPr="00610904">
        <w:rPr>
          <w:noProof w:val="0"/>
          <w:szCs w:val="20"/>
          <w:lang w:val="en-US"/>
        </w:rPr>
        <w:t xml:space="preserve"> </w:t>
      </w:r>
      <w:r w:rsidRPr="00610904">
        <w:rPr>
          <w:noProof w:val="0"/>
          <w:szCs w:val="20"/>
          <w:lang w:val="en-US"/>
        </w:rPr>
        <w:t>On November 18,</w:t>
      </w:r>
      <w:r w:rsidR="00022F5E" w:rsidRPr="00610904">
        <w:rPr>
          <w:noProof w:val="0"/>
          <w:szCs w:val="20"/>
          <w:lang w:val="en-US"/>
        </w:rPr>
        <w:t xml:space="preserve"> 1998</w:t>
      </w:r>
      <w:r w:rsidRPr="00610904">
        <w:rPr>
          <w:noProof w:val="0"/>
          <w:szCs w:val="20"/>
          <w:lang w:val="en-US"/>
        </w:rPr>
        <w:t>,</w:t>
      </w:r>
      <w:r w:rsidR="00022F5E" w:rsidRPr="00610904">
        <w:rPr>
          <w:noProof w:val="0"/>
          <w:szCs w:val="20"/>
          <w:lang w:val="en-US"/>
        </w:rPr>
        <w:t xml:space="preserve"> </w:t>
      </w:r>
      <w:r w:rsidR="00544C91" w:rsidRPr="00610904">
        <w:rPr>
          <w:noProof w:val="0"/>
          <w:szCs w:val="20"/>
          <w:lang w:val="en-US"/>
        </w:rPr>
        <w:t>Mr. HSA</w:t>
      </w:r>
      <w:r w:rsidR="00022A6F" w:rsidRPr="00610904">
        <w:rPr>
          <w:noProof w:val="0"/>
          <w:szCs w:val="20"/>
          <w:lang w:val="en-US"/>
        </w:rPr>
        <w:t xml:space="preserve"> came forward once again to testify and added that, when he was advised of his illness, </w:t>
      </w:r>
      <w:r w:rsidR="00A8072E" w:rsidRPr="00610904">
        <w:rPr>
          <w:noProof w:val="0"/>
          <w:szCs w:val="20"/>
          <w:lang w:val="en-US"/>
        </w:rPr>
        <w:t>the Red Cross</w:t>
      </w:r>
      <w:r w:rsidR="00022F5E" w:rsidRPr="00610904">
        <w:rPr>
          <w:noProof w:val="0"/>
          <w:szCs w:val="20"/>
          <w:lang w:val="en-US"/>
        </w:rPr>
        <w:t xml:space="preserve"> </w:t>
      </w:r>
      <w:r w:rsidR="00022A6F" w:rsidRPr="00610904">
        <w:rPr>
          <w:noProof w:val="0"/>
          <w:szCs w:val="20"/>
          <w:lang w:val="en-US"/>
        </w:rPr>
        <w:t xml:space="preserve">assured him that his blood had not been given to </w:t>
      </w:r>
      <w:r w:rsidR="00022F5E" w:rsidRPr="00610904">
        <w:rPr>
          <w:noProof w:val="0"/>
          <w:szCs w:val="20"/>
          <w:lang w:val="en-US"/>
        </w:rPr>
        <w:t>Talía</w:t>
      </w:r>
      <w:r w:rsidRPr="00610904">
        <w:rPr>
          <w:noProof w:val="0"/>
          <w:szCs w:val="20"/>
          <w:lang w:val="en-US"/>
        </w:rPr>
        <w:t>.</w:t>
      </w:r>
      <w:r w:rsidR="00022F5E" w:rsidRPr="00610904">
        <w:rPr>
          <w:rStyle w:val="FootnoteReference"/>
          <w:rFonts w:eastAsia="Calibri"/>
          <w:noProof w:val="0"/>
          <w:lang w:val="en-US"/>
        </w:rPr>
        <w:footnoteReference w:id="81"/>
      </w:r>
      <w:r w:rsidR="00022F5E" w:rsidRPr="00610904">
        <w:rPr>
          <w:noProof w:val="0"/>
          <w:szCs w:val="20"/>
          <w:lang w:val="en-US"/>
        </w:rPr>
        <w:t xml:space="preserve"> </w:t>
      </w:r>
    </w:p>
    <w:p w:rsidR="00022F5E" w:rsidRPr="00610904" w:rsidRDefault="00022F5E" w:rsidP="00610904">
      <w:pPr>
        <w:rPr>
          <w:noProof w:val="0"/>
          <w:szCs w:val="22"/>
          <w:lang w:val="en-US"/>
        </w:rPr>
      </w:pPr>
    </w:p>
    <w:p w:rsidR="00022F5E" w:rsidRPr="00610904" w:rsidRDefault="00091F7C" w:rsidP="00610904">
      <w:pPr>
        <w:numPr>
          <w:ilvl w:val="0"/>
          <w:numId w:val="1"/>
        </w:numPr>
        <w:rPr>
          <w:noProof w:val="0"/>
          <w:lang w:val="en-US"/>
        </w:rPr>
      </w:pPr>
      <w:r w:rsidRPr="00610904">
        <w:rPr>
          <w:noProof w:val="0"/>
          <w:szCs w:val="22"/>
          <w:lang w:val="en-US"/>
        </w:rPr>
        <w:t>On December 14,</w:t>
      </w:r>
      <w:r w:rsidR="00022F5E" w:rsidRPr="00610904">
        <w:rPr>
          <w:noProof w:val="0"/>
          <w:szCs w:val="22"/>
          <w:lang w:val="en-US"/>
        </w:rPr>
        <w:t xml:space="preserve"> 1998</w:t>
      </w:r>
      <w:r w:rsidRPr="00610904">
        <w:rPr>
          <w:noProof w:val="0"/>
          <w:szCs w:val="22"/>
          <w:lang w:val="en-US"/>
        </w:rPr>
        <w:t>,</w:t>
      </w:r>
      <w:r w:rsidR="00022F5E" w:rsidRPr="00610904">
        <w:rPr>
          <w:noProof w:val="0"/>
          <w:szCs w:val="22"/>
          <w:lang w:val="en-US"/>
        </w:rPr>
        <w:t xml:space="preserve"> MRR, </w:t>
      </w:r>
      <w:r w:rsidR="00FD5407" w:rsidRPr="00610904">
        <w:rPr>
          <w:noProof w:val="0"/>
          <w:szCs w:val="22"/>
          <w:lang w:val="en-US"/>
        </w:rPr>
        <w:t xml:space="preserve">nursing assistant </w:t>
      </w:r>
      <w:r w:rsidR="00A8072E" w:rsidRPr="00610904">
        <w:rPr>
          <w:noProof w:val="0"/>
          <w:szCs w:val="22"/>
          <w:lang w:val="en-US"/>
        </w:rPr>
        <w:t xml:space="preserve">of the </w:t>
      </w:r>
      <w:r w:rsidR="00C44085" w:rsidRPr="00610904">
        <w:rPr>
          <w:noProof w:val="0"/>
          <w:szCs w:val="22"/>
          <w:lang w:val="en-US"/>
        </w:rPr>
        <w:t>Red Cross Blood Bank</w:t>
      </w:r>
      <w:r w:rsidR="00FD5407" w:rsidRPr="00610904">
        <w:rPr>
          <w:noProof w:val="0"/>
          <w:szCs w:val="22"/>
          <w:lang w:val="en-US"/>
        </w:rPr>
        <w:t xml:space="preserve"> came forward to testify. She had taken the blood samples from the donors </w:t>
      </w:r>
      <w:r w:rsidRPr="00610904">
        <w:rPr>
          <w:noProof w:val="0"/>
          <w:szCs w:val="22"/>
          <w:lang w:val="en-US"/>
        </w:rPr>
        <w:t>on June 22,</w:t>
      </w:r>
      <w:r w:rsidR="00022F5E" w:rsidRPr="00610904">
        <w:rPr>
          <w:noProof w:val="0"/>
          <w:szCs w:val="22"/>
          <w:lang w:val="en-US"/>
        </w:rPr>
        <w:t xml:space="preserve"> 1998</w:t>
      </w:r>
      <w:r w:rsidRPr="00610904">
        <w:rPr>
          <w:noProof w:val="0"/>
          <w:szCs w:val="22"/>
          <w:lang w:val="en-US"/>
        </w:rPr>
        <w:t>,</w:t>
      </w:r>
      <w:r w:rsidR="009F3D78" w:rsidRPr="00610904">
        <w:rPr>
          <w:noProof w:val="0"/>
          <w:szCs w:val="22"/>
          <w:lang w:val="en-US"/>
        </w:rPr>
        <w:t xml:space="preserve"> and </w:t>
      </w:r>
      <w:r w:rsidR="00FD5407" w:rsidRPr="00610904">
        <w:rPr>
          <w:noProof w:val="0"/>
          <w:szCs w:val="22"/>
          <w:lang w:val="en-US"/>
        </w:rPr>
        <w:t>handed over the blood.</w:t>
      </w:r>
      <w:r w:rsidR="00022F5E" w:rsidRPr="00610904">
        <w:rPr>
          <w:rStyle w:val="FootnoteReference"/>
          <w:rFonts w:eastAsia="Calibri"/>
          <w:noProof w:val="0"/>
          <w:szCs w:val="22"/>
          <w:lang w:val="en-US"/>
        </w:rPr>
        <w:footnoteReference w:id="82"/>
      </w:r>
    </w:p>
    <w:p w:rsidR="00022F5E" w:rsidRPr="00610904" w:rsidRDefault="00022F5E" w:rsidP="00610904">
      <w:pPr>
        <w:rPr>
          <w:noProof w:val="0"/>
          <w:szCs w:val="22"/>
          <w:lang w:val="en-US"/>
        </w:rPr>
      </w:pPr>
    </w:p>
    <w:p w:rsidR="00022F5E" w:rsidRPr="00610904" w:rsidRDefault="00091F7C" w:rsidP="00610904">
      <w:pPr>
        <w:numPr>
          <w:ilvl w:val="0"/>
          <w:numId w:val="1"/>
        </w:numPr>
        <w:rPr>
          <w:noProof w:val="0"/>
          <w:lang w:val="en-US"/>
        </w:rPr>
      </w:pPr>
      <w:r w:rsidRPr="00610904">
        <w:rPr>
          <w:noProof w:val="0"/>
          <w:szCs w:val="22"/>
          <w:lang w:val="en-US"/>
        </w:rPr>
        <w:t>On December 14,</w:t>
      </w:r>
      <w:r w:rsidR="00022F5E" w:rsidRPr="00610904">
        <w:rPr>
          <w:noProof w:val="0"/>
          <w:szCs w:val="22"/>
          <w:lang w:val="en-US"/>
        </w:rPr>
        <w:t xml:space="preserve"> 1998</w:t>
      </w:r>
      <w:r w:rsidRPr="00610904">
        <w:rPr>
          <w:noProof w:val="0"/>
          <w:szCs w:val="22"/>
          <w:lang w:val="en-US"/>
        </w:rPr>
        <w:t>,</w:t>
      </w:r>
      <w:r w:rsidR="00022F5E" w:rsidRPr="00610904">
        <w:rPr>
          <w:noProof w:val="0"/>
          <w:szCs w:val="22"/>
          <w:lang w:val="en-US"/>
        </w:rPr>
        <w:t xml:space="preserve"> Teresa Lluy </w:t>
      </w:r>
      <w:r w:rsidR="00FD5407" w:rsidRPr="00610904">
        <w:rPr>
          <w:noProof w:val="0"/>
          <w:szCs w:val="22"/>
          <w:lang w:val="en-US"/>
        </w:rPr>
        <w:t>provided the</w:t>
      </w:r>
      <w:r w:rsidR="00022F5E" w:rsidRPr="00610904">
        <w:rPr>
          <w:noProof w:val="0"/>
          <w:szCs w:val="22"/>
          <w:lang w:val="en-US"/>
        </w:rPr>
        <w:t xml:space="preserve"> </w:t>
      </w:r>
      <w:r w:rsidR="00653A30" w:rsidRPr="00610904">
        <w:rPr>
          <w:noProof w:val="0"/>
          <w:szCs w:val="22"/>
          <w:lang w:val="en-US"/>
        </w:rPr>
        <w:t>Fourth Court</w:t>
      </w:r>
      <w:r w:rsidR="00022F5E" w:rsidRPr="00610904">
        <w:rPr>
          <w:noProof w:val="0"/>
          <w:szCs w:val="22"/>
          <w:lang w:val="en-US"/>
        </w:rPr>
        <w:t xml:space="preserve"> </w:t>
      </w:r>
      <w:r w:rsidR="00FD5407" w:rsidRPr="00610904">
        <w:rPr>
          <w:noProof w:val="0"/>
          <w:szCs w:val="22"/>
          <w:lang w:val="en-US"/>
        </w:rPr>
        <w:t>with three negative results of the HIV tests performed on herself, and</w:t>
      </w:r>
      <w:r w:rsidR="00A258D3" w:rsidRPr="00610904">
        <w:rPr>
          <w:noProof w:val="0"/>
          <w:szCs w:val="22"/>
          <w:lang w:val="en-US"/>
        </w:rPr>
        <w:t xml:space="preserve"> on</w:t>
      </w:r>
      <w:r w:rsidR="00FD5407" w:rsidRPr="00610904">
        <w:rPr>
          <w:noProof w:val="0"/>
          <w:szCs w:val="22"/>
          <w:lang w:val="en-US"/>
        </w:rPr>
        <w:t xml:space="preserve"> Talía’s brother and father</w:t>
      </w:r>
      <w:r w:rsidR="00A258D3" w:rsidRPr="00610904">
        <w:rPr>
          <w:noProof w:val="0"/>
          <w:szCs w:val="22"/>
          <w:lang w:val="en-US"/>
        </w:rPr>
        <w:t>,</w:t>
      </w:r>
      <w:r w:rsidR="00FD5407" w:rsidRPr="00610904">
        <w:rPr>
          <w:noProof w:val="0"/>
          <w:szCs w:val="22"/>
          <w:lang w:val="en-US"/>
        </w:rPr>
        <w:t xml:space="preserve"> in order to prove that none of the members of the family was a carrier of HIV.</w:t>
      </w:r>
      <w:r w:rsidR="00022F5E" w:rsidRPr="00610904">
        <w:rPr>
          <w:rStyle w:val="FootnoteReference"/>
          <w:rFonts w:eastAsia="Calibri"/>
          <w:noProof w:val="0"/>
          <w:szCs w:val="22"/>
          <w:lang w:val="en-US"/>
        </w:rPr>
        <w:footnoteReference w:id="83"/>
      </w:r>
      <w:r w:rsidR="00022F5E" w:rsidRPr="00610904">
        <w:rPr>
          <w:noProof w:val="0"/>
          <w:szCs w:val="22"/>
          <w:lang w:val="en-US"/>
        </w:rPr>
        <w:t xml:space="preserve"> Teresa Lluy </w:t>
      </w:r>
      <w:r w:rsidR="00FD5407" w:rsidRPr="00610904">
        <w:rPr>
          <w:noProof w:val="0"/>
          <w:szCs w:val="22"/>
          <w:lang w:val="en-US"/>
        </w:rPr>
        <w:t xml:space="preserve">also provided a certificate, issued on October 27, 1998, of a gynecological examination carried out </w:t>
      </w:r>
      <w:r w:rsidR="00022F5E" w:rsidRPr="00610904">
        <w:rPr>
          <w:noProof w:val="0"/>
          <w:szCs w:val="22"/>
          <w:lang w:val="en-US"/>
        </w:rPr>
        <w:t>Talía</w:t>
      </w:r>
      <w:r w:rsidR="00FD5407" w:rsidRPr="00610904">
        <w:rPr>
          <w:noProof w:val="0"/>
          <w:szCs w:val="22"/>
          <w:lang w:val="en-US"/>
        </w:rPr>
        <w:t>, which indicated that there were no recent or previous traumatic lesions in Talía’s external genitalia, and that “the characteristics of the hymen [were] normal.</w:t>
      </w:r>
      <w:r w:rsidR="00022F5E" w:rsidRPr="00610904">
        <w:rPr>
          <w:rFonts w:cs="Arial"/>
          <w:noProof w:val="0"/>
          <w:szCs w:val="20"/>
          <w:lang w:val="en-US"/>
        </w:rPr>
        <w:t>”</w:t>
      </w:r>
      <w:r w:rsidR="00022F5E" w:rsidRPr="00610904">
        <w:rPr>
          <w:rStyle w:val="FootnoteReference"/>
          <w:noProof w:val="0"/>
          <w:lang w:val="en-US"/>
        </w:rPr>
        <w:footnoteReference w:id="84"/>
      </w:r>
      <w:r w:rsidR="00022F5E" w:rsidRPr="00610904">
        <w:rPr>
          <w:rFonts w:cs="Arial"/>
          <w:noProof w:val="0"/>
          <w:szCs w:val="20"/>
          <w:lang w:val="en-US"/>
        </w:rPr>
        <w:t xml:space="preserve"> </w:t>
      </w:r>
    </w:p>
    <w:p w:rsidR="00022F5E" w:rsidRPr="00610904" w:rsidRDefault="00022F5E" w:rsidP="00610904">
      <w:pPr>
        <w:rPr>
          <w:noProof w:val="0"/>
          <w:szCs w:val="20"/>
          <w:lang w:val="en-US"/>
        </w:rPr>
      </w:pPr>
    </w:p>
    <w:p w:rsidR="00022F5E" w:rsidRPr="00610904" w:rsidRDefault="00091F7C" w:rsidP="00610904">
      <w:pPr>
        <w:numPr>
          <w:ilvl w:val="0"/>
          <w:numId w:val="1"/>
        </w:numPr>
        <w:rPr>
          <w:noProof w:val="0"/>
          <w:lang w:val="en-US"/>
        </w:rPr>
      </w:pPr>
      <w:r w:rsidRPr="00610904">
        <w:rPr>
          <w:noProof w:val="0"/>
          <w:szCs w:val="20"/>
          <w:lang w:val="en-US"/>
        </w:rPr>
        <w:t>On July 5,</w:t>
      </w:r>
      <w:r w:rsidR="00022F5E" w:rsidRPr="00610904">
        <w:rPr>
          <w:noProof w:val="0"/>
          <w:szCs w:val="20"/>
          <w:lang w:val="en-US"/>
        </w:rPr>
        <w:t xml:space="preserve"> 1999</w:t>
      </w:r>
      <w:r w:rsidRPr="00610904">
        <w:rPr>
          <w:noProof w:val="0"/>
          <w:szCs w:val="20"/>
          <w:lang w:val="en-US"/>
        </w:rPr>
        <w:t>,</w:t>
      </w:r>
      <w:r w:rsidR="00022F5E" w:rsidRPr="00610904">
        <w:rPr>
          <w:noProof w:val="0"/>
          <w:szCs w:val="20"/>
          <w:lang w:val="en-US"/>
        </w:rPr>
        <w:t xml:space="preserve"> </w:t>
      </w:r>
      <w:r w:rsidRPr="00610904">
        <w:rPr>
          <w:noProof w:val="0"/>
          <w:szCs w:val="20"/>
          <w:lang w:val="en-US"/>
        </w:rPr>
        <w:t>two</w:t>
      </w:r>
      <w:r w:rsidR="00022F5E" w:rsidRPr="00610904">
        <w:rPr>
          <w:noProof w:val="0"/>
          <w:szCs w:val="20"/>
          <w:lang w:val="en-US"/>
        </w:rPr>
        <w:t xml:space="preserve"> </w:t>
      </w:r>
      <w:r w:rsidR="00A8072E" w:rsidRPr="00610904">
        <w:rPr>
          <w:noProof w:val="0"/>
          <w:szCs w:val="20"/>
          <w:lang w:val="en-US"/>
        </w:rPr>
        <w:t>expert</w:t>
      </w:r>
      <w:r w:rsidR="00FD5407" w:rsidRPr="00610904">
        <w:rPr>
          <w:noProof w:val="0"/>
          <w:szCs w:val="20"/>
          <w:lang w:val="en-US"/>
        </w:rPr>
        <w:t xml:space="preserve">s were appointed from this Medical Association’s list: Drs.  </w:t>
      </w:r>
      <w:r w:rsidR="00022F5E" w:rsidRPr="00610904">
        <w:rPr>
          <w:noProof w:val="0"/>
          <w:szCs w:val="20"/>
          <w:lang w:val="en-US"/>
        </w:rPr>
        <w:t>JPR</w:t>
      </w:r>
      <w:r w:rsidR="009F3D78" w:rsidRPr="00610904">
        <w:rPr>
          <w:noProof w:val="0"/>
          <w:szCs w:val="20"/>
          <w:lang w:val="en-US"/>
        </w:rPr>
        <w:t xml:space="preserve"> and </w:t>
      </w:r>
      <w:r w:rsidR="00022F5E" w:rsidRPr="00610904">
        <w:rPr>
          <w:noProof w:val="0"/>
          <w:szCs w:val="20"/>
          <w:lang w:val="en-US"/>
        </w:rPr>
        <w:t xml:space="preserve">NVI, </w:t>
      </w:r>
      <w:r w:rsidR="00FD5407" w:rsidRPr="00610904">
        <w:rPr>
          <w:noProof w:val="0"/>
          <w:szCs w:val="20"/>
          <w:lang w:val="en-US"/>
        </w:rPr>
        <w:t>and they were asked to present their report within 10 days.</w:t>
      </w:r>
      <w:r w:rsidR="00022F5E" w:rsidRPr="00610904">
        <w:rPr>
          <w:rStyle w:val="FootnoteReference"/>
          <w:rFonts w:eastAsia="Calibri"/>
          <w:noProof w:val="0"/>
          <w:lang w:val="en-US"/>
        </w:rPr>
        <w:footnoteReference w:id="85"/>
      </w:r>
      <w:r w:rsidR="00022F5E" w:rsidRPr="00610904">
        <w:rPr>
          <w:noProof w:val="0"/>
          <w:szCs w:val="20"/>
          <w:lang w:val="en-US"/>
        </w:rPr>
        <w:t xml:space="preserve"> </w:t>
      </w:r>
      <w:r w:rsidR="00FD5407" w:rsidRPr="00610904">
        <w:rPr>
          <w:noProof w:val="0"/>
          <w:szCs w:val="20"/>
          <w:lang w:val="en-US"/>
        </w:rPr>
        <w:t xml:space="preserve">These </w:t>
      </w:r>
      <w:r w:rsidR="00A8072E" w:rsidRPr="00610904">
        <w:rPr>
          <w:noProof w:val="0"/>
          <w:szCs w:val="20"/>
          <w:lang w:val="en-US"/>
        </w:rPr>
        <w:t>expert</w:t>
      </w:r>
      <w:r w:rsidR="00FD5407" w:rsidRPr="00610904">
        <w:rPr>
          <w:noProof w:val="0"/>
          <w:szCs w:val="20"/>
          <w:lang w:val="en-US"/>
        </w:rPr>
        <w:t xml:space="preserve">s assumed their functions </w:t>
      </w:r>
      <w:r w:rsidR="00795F5F" w:rsidRPr="00610904">
        <w:rPr>
          <w:noProof w:val="0"/>
          <w:szCs w:val="20"/>
          <w:lang w:val="en-US"/>
        </w:rPr>
        <w:t>on July 28,</w:t>
      </w:r>
      <w:r w:rsidR="00022F5E" w:rsidRPr="00610904">
        <w:rPr>
          <w:noProof w:val="0"/>
          <w:szCs w:val="20"/>
          <w:lang w:val="en-US"/>
        </w:rPr>
        <w:t xml:space="preserve"> 1999</w:t>
      </w:r>
      <w:r w:rsidR="00022F5E" w:rsidRPr="00610904">
        <w:rPr>
          <w:rStyle w:val="FootnoteReference"/>
          <w:rFonts w:eastAsia="Calibri"/>
          <w:noProof w:val="0"/>
          <w:lang w:val="en-US"/>
        </w:rPr>
        <w:footnoteReference w:id="86"/>
      </w:r>
      <w:r w:rsidR="009F3D78" w:rsidRPr="00610904">
        <w:rPr>
          <w:noProof w:val="0"/>
          <w:szCs w:val="20"/>
          <w:lang w:val="en-US"/>
        </w:rPr>
        <w:t xml:space="preserve"> and </w:t>
      </w:r>
      <w:r w:rsidR="00FD5407" w:rsidRPr="00610904">
        <w:rPr>
          <w:noProof w:val="0"/>
          <w:szCs w:val="20"/>
          <w:lang w:val="en-US"/>
        </w:rPr>
        <w:t xml:space="preserve">delivered their report on August 17, </w:t>
      </w:r>
      <w:r w:rsidR="00022F5E" w:rsidRPr="00610904">
        <w:rPr>
          <w:noProof w:val="0"/>
          <w:szCs w:val="20"/>
          <w:lang w:val="en-US"/>
        </w:rPr>
        <w:t>1999</w:t>
      </w:r>
      <w:r w:rsidR="00FD5407" w:rsidRPr="00610904">
        <w:rPr>
          <w:noProof w:val="0"/>
          <w:szCs w:val="20"/>
          <w:lang w:val="en-US"/>
        </w:rPr>
        <w:t>.</w:t>
      </w:r>
      <w:r w:rsidR="00022F5E" w:rsidRPr="00610904">
        <w:rPr>
          <w:rStyle w:val="FootnoteReference"/>
          <w:noProof w:val="0"/>
          <w:lang w:val="en-US"/>
        </w:rPr>
        <w:footnoteReference w:id="87"/>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FD5407" w:rsidP="00610904">
      <w:pPr>
        <w:numPr>
          <w:ilvl w:val="0"/>
          <w:numId w:val="1"/>
        </w:numPr>
        <w:rPr>
          <w:noProof w:val="0"/>
          <w:lang w:val="en-US"/>
        </w:rPr>
      </w:pPr>
      <w:r w:rsidRPr="00610904">
        <w:rPr>
          <w:noProof w:val="0"/>
          <w:szCs w:val="20"/>
          <w:lang w:val="en-US"/>
        </w:rPr>
        <w:t xml:space="preserve">In this report, Drs. </w:t>
      </w:r>
      <w:r w:rsidR="00022F5E" w:rsidRPr="00610904">
        <w:rPr>
          <w:noProof w:val="0"/>
          <w:szCs w:val="20"/>
          <w:lang w:val="en-US"/>
        </w:rPr>
        <w:t>JPR</w:t>
      </w:r>
      <w:r w:rsidR="009F3D78" w:rsidRPr="00610904">
        <w:rPr>
          <w:noProof w:val="0"/>
          <w:szCs w:val="20"/>
          <w:lang w:val="en-US"/>
        </w:rPr>
        <w:t xml:space="preserve"> and </w:t>
      </w:r>
      <w:r w:rsidR="00022F5E" w:rsidRPr="00610904">
        <w:rPr>
          <w:noProof w:val="0"/>
          <w:szCs w:val="20"/>
          <w:lang w:val="en-US"/>
        </w:rPr>
        <w:t xml:space="preserve">NVI </w:t>
      </w:r>
      <w:r w:rsidRPr="00610904">
        <w:rPr>
          <w:noProof w:val="0"/>
          <w:szCs w:val="20"/>
          <w:lang w:val="en-US"/>
        </w:rPr>
        <w:t>referred to</w:t>
      </w:r>
      <w:r w:rsidR="00022F5E" w:rsidRPr="00610904">
        <w:rPr>
          <w:noProof w:val="0"/>
          <w:szCs w:val="20"/>
          <w:lang w:val="en-US"/>
        </w:rPr>
        <w:t xml:space="preserve">: </w:t>
      </w:r>
      <w:r w:rsidRPr="00610904">
        <w:rPr>
          <w:noProof w:val="0"/>
          <w:szCs w:val="20"/>
          <w:lang w:val="en-US"/>
        </w:rPr>
        <w:t>(</w:t>
      </w:r>
      <w:r w:rsidR="00022F5E" w:rsidRPr="00610904">
        <w:rPr>
          <w:noProof w:val="0"/>
          <w:szCs w:val="20"/>
          <w:lang w:val="en-US"/>
        </w:rPr>
        <w:t xml:space="preserve">i) </w:t>
      </w:r>
      <w:r w:rsidRPr="00610904">
        <w:rPr>
          <w:noProof w:val="0"/>
          <w:szCs w:val="20"/>
          <w:lang w:val="en-US"/>
        </w:rPr>
        <w:t xml:space="preserve">the time and method used to obtain a concentrate of platelets in </w:t>
      </w:r>
      <w:r w:rsidR="00A8072E" w:rsidRPr="00610904">
        <w:rPr>
          <w:noProof w:val="0"/>
          <w:szCs w:val="20"/>
          <w:lang w:val="en-US"/>
        </w:rPr>
        <w:t xml:space="preserve">the </w:t>
      </w:r>
      <w:r w:rsidR="00C44085" w:rsidRPr="00610904">
        <w:rPr>
          <w:noProof w:val="0"/>
          <w:szCs w:val="20"/>
          <w:lang w:val="en-US"/>
        </w:rPr>
        <w:t>Red Cross Blood Bank</w:t>
      </w:r>
      <w:r w:rsidRPr="00610904">
        <w:rPr>
          <w:noProof w:val="0"/>
          <w:szCs w:val="20"/>
          <w:lang w:val="en-US"/>
        </w:rPr>
        <w:t>;</w:t>
      </w:r>
      <w:r w:rsidR="00022F5E" w:rsidRPr="00610904">
        <w:rPr>
          <w:rStyle w:val="FootnoteReference"/>
          <w:rFonts w:eastAsia="Calibri"/>
          <w:noProof w:val="0"/>
          <w:lang w:val="en-US"/>
        </w:rPr>
        <w:footnoteReference w:id="88"/>
      </w:r>
      <w:r w:rsidR="00022F5E" w:rsidRPr="00610904">
        <w:rPr>
          <w:noProof w:val="0"/>
          <w:szCs w:val="20"/>
          <w:lang w:val="en-US"/>
        </w:rPr>
        <w:t xml:space="preserve"> </w:t>
      </w:r>
      <w:r w:rsidRPr="00610904">
        <w:rPr>
          <w:noProof w:val="0"/>
          <w:szCs w:val="20"/>
          <w:lang w:val="en-US"/>
        </w:rPr>
        <w:t>(</w:t>
      </w:r>
      <w:r w:rsidR="00022F5E" w:rsidRPr="00610904">
        <w:rPr>
          <w:noProof w:val="0"/>
          <w:szCs w:val="20"/>
          <w:lang w:val="en-US"/>
        </w:rPr>
        <w:t xml:space="preserve">ii) </w:t>
      </w:r>
      <w:r w:rsidRPr="00610904">
        <w:rPr>
          <w:noProof w:val="0"/>
          <w:szCs w:val="20"/>
          <w:lang w:val="en-US"/>
        </w:rPr>
        <w:t xml:space="preserve">the codes assigned to each donor </w:t>
      </w:r>
      <w:r w:rsidRPr="00610904">
        <w:rPr>
          <w:noProof w:val="0"/>
          <w:szCs w:val="20"/>
          <w:lang w:val="en-US"/>
        </w:rPr>
        <w:lastRenderedPageBreak/>
        <w:t xml:space="preserve">on June 22, </w:t>
      </w:r>
      <w:r w:rsidR="00022F5E" w:rsidRPr="00610904">
        <w:rPr>
          <w:noProof w:val="0"/>
          <w:szCs w:val="20"/>
          <w:lang w:val="en-US"/>
        </w:rPr>
        <w:t xml:space="preserve">1998, </w:t>
      </w:r>
      <w:r w:rsidRPr="00610904">
        <w:rPr>
          <w:noProof w:val="0"/>
          <w:szCs w:val="20"/>
          <w:lang w:val="en-US"/>
        </w:rPr>
        <w:t xml:space="preserve">including </w:t>
      </w:r>
      <w:r w:rsidR="00544C91" w:rsidRPr="00610904">
        <w:rPr>
          <w:noProof w:val="0"/>
          <w:szCs w:val="20"/>
          <w:lang w:val="en-US"/>
        </w:rPr>
        <w:t>Mr. HSA</w:t>
      </w:r>
      <w:r w:rsidRPr="00610904">
        <w:rPr>
          <w:noProof w:val="0"/>
          <w:szCs w:val="20"/>
          <w:lang w:val="en-US"/>
        </w:rPr>
        <w:t>;</w:t>
      </w:r>
      <w:r w:rsidR="00022F5E" w:rsidRPr="00610904">
        <w:rPr>
          <w:rStyle w:val="FootnoteReference"/>
          <w:rFonts w:eastAsia="Calibri"/>
          <w:noProof w:val="0"/>
          <w:lang w:val="en-US"/>
        </w:rPr>
        <w:footnoteReference w:id="89"/>
      </w:r>
      <w:r w:rsidR="00022F5E" w:rsidRPr="00610904">
        <w:rPr>
          <w:noProof w:val="0"/>
          <w:szCs w:val="20"/>
          <w:lang w:val="en-US"/>
        </w:rPr>
        <w:t xml:space="preserve"> </w:t>
      </w:r>
      <w:r w:rsidRPr="00610904">
        <w:rPr>
          <w:noProof w:val="0"/>
          <w:szCs w:val="20"/>
          <w:lang w:val="en-US"/>
        </w:rPr>
        <w:t xml:space="preserve">(iii) the contradictions detected in the records available with regard to the donor from whom the platelets were obtained that were given to </w:t>
      </w:r>
      <w:r w:rsidR="00022F5E" w:rsidRPr="00610904">
        <w:rPr>
          <w:noProof w:val="0"/>
          <w:szCs w:val="20"/>
          <w:lang w:val="en-US"/>
        </w:rPr>
        <w:t>Talía</w:t>
      </w:r>
      <w:r w:rsidRPr="00610904">
        <w:rPr>
          <w:noProof w:val="0"/>
          <w:szCs w:val="20"/>
          <w:lang w:val="en-US"/>
        </w:rPr>
        <w:t>;</w:t>
      </w:r>
      <w:r w:rsidR="00022F5E" w:rsidRPr="00610904">
        <w:rPr>
          <w:rStyle w:val="FootnoteReference"/>
          <w:rFonts w:eastAsia="Calibri"/>
          <w:noProof w:val="0"/>
          <w:lang w:val="en-US"/>
        </w:rPr>
        <w:footnoteReference w:id="90"/>
      </w:r>
      <w:r w:rsidR="00022F5E" w:rsidRPr="00610904">
        <w:rPr>
          <w:noProof w:val="0"/>
          <w:szCs w:val="20"/>
          <w:lang w:val="en-US"/>
        </w:rPr>
        <w:t xml:space="preserve"> </w:t>
      </w:r>
      <w:r w:rsidRPr="00610904">
        <w:rPr>
          <w:noProof w:val="0"/>
          <w:szCs w:val="20"/>
          <w:lang w:val="en-US"/>
        </w:rPr>
        <w:t>(</w:t>
      </w:r>
      <w:r w:rsidR="00022F5E" w:rsidRPr="00610904">
        <w:rPr>
          <w:noProof w:val="0"/>
          <w:szCs w:val="20"/>
          <w:lang w:val="en-US"/>
        </w:rPr>
        <w:t xml:space="preserve">iv) </w:t>
      </w:r>
      <w:r w:rsidRPr="00610904">
        <w:rPr>
          <w:noProof w:val="0"/>
          <w:szCs w:val="20"/>
          <w:lang w:val="en-US"/>
        </w:rPr>
        <w:t>the absence of a record of the time at which HSA's blood was received and of the tests performed on HSA's blood</w:t>
      </w:r>
      <w:r w:rsidR="00A258D3" w:rsidRPr="00610904">
        <w:rPr>
          <w:noProof w:val="0"/>
          <w:szCs w:val="20"/>
          <w:lang w:val="en-US"/>
        </w:rPr>
        <w:t xml:space="preserve"> on June 22, 1998</w:t>
      </w:r>
      <w:r w:rsidRPr="00610904">
        <w:rPr>
          <w:noProof w:val="0"/>
          <w:szCs w:val="20"/>
          <w:lang w:val="en-US"/>
        </w:rPr>
        <w:t>,</w:t>
      </w:r>
      <w:r w:rsidR="00022F5E" w:rsidRPr="00610904">
        <w:rPr>
          <w:rStyle w:val="FootnoteReference"/>
          <w:rFonts w:eastAsia="Calibri"/>
          <w:noProof w:val="0"/>
          <w:lang w:val="en-US"/>
        </w:rPr>
        <w:footnoteReference w:id="91"/>
      </w:r>
      <w:r w:rsidR="009F3D78" w:rsidRPr="00610904">
        <w:rPr>
          <w:noProof w:val="0"/>
          <w:szCs w:val="20"/>
          <w:lang w:val="en-US"/>
        </w:rPr>
        <w:t xml:space="preserve"> and </w:t>
      </w:r>
      <w:r w:rsidRPr="00610904">
        <w:rPr>
          <w:noProof w:val="0"/>
          <w:szCs w:val="20"/>
          <w:lang w:val="en-US"/>
        </w:rPr>
        <w:t>(</w:t>
      </w:r>
      <w:r w:rsidR="00022F5E" w:rsidRPr="00610904">
        <w:rPr>
          <w:noProof w:val="0"/>
          <w:szCs w:val="20"/>
          <w:lang w:val="en-US"/>
        </w:rPr>
        <w:t xml:space="preserve">v) </w:t>
      </w:r>
      <w:r w:rsidRPr="00610904">
        <w:rPr>
          <w:noProof w:val="0"/>
          <w:szCs w:val="20"/>
          <w:lang w:val="en-US"/>
        </w:rPr>
        <w:t>the failure to note in the medical record the “identification slips of the blood units.</w:t>
      </w:r>
      <w:r w:rsidR="00022F5E" w:rsidRPr="00610904">
        <w:rPr>
          <w:noProof w:val="0"/>
          <w:szCs w:val="20"/>
          <w:lang w:val="en-US"/>
        </w:rPr>
        <w:t>”</w:t>
      </w:r>
      <w:r w:rsidR="00022F5E" w:rsidRPr="00610904">
        <w:rPr>
          <w:rStyle w:val="FootnoteReference"/>
          <w:rFonts w:eastAsia="Calibri"/>
          <w:noProof w:val="0"/>
          <w:lang w:val="en-US"/>
        </w:rPr>
        <w:footnoteReference w:id="92"/>
      </w:r>
    </w:p>
    <w:p w:rsidR="00022F5E" w:rsidRPr="00610904" w:rsidRDefault="00022F5E" w:rsidP="00610904">
      <w:pPr>
        <w:rPr>
          <w:noProof w:val="0"/>
          <w:szCs w:val="20"/>
          <w:lang w:val="en-US"/>
        </w:rPr>
      </w:pPr>
    </w:p>
    <w:p w:rsidR="00022F5E" w:rsidRPr="00610904" w:rsidRDefault="00BA0AD2" w:rsidP="00610904">
      <w:pPr>
        <w:numPr>
          <w:ilvl w:val="0"/>
          <w:numId w:val="1"/>
        </w:numPr>
        <w:rPr>
          <w:noProof w:val="0"/>
          <w:lang w:val="en-US"/>
        </w:rPr>
      </w:pPr>
      <w:r w:rsidRPr="00610904">
        <w:rPr>
          <w:noProof w:val="0"/>
          <w:szCs w:val="20"/>
          <w:lang w:val="en-US"/>
        </w:rPr>
        <w:t>I</w:t>
      </w:r>
      <w:r w:rsidR="00022F5E" w:rsidRPr="00610904">
        <w:rPr>
          <w:noProof w:val="0"/>
          <w:szCs w:val="20"/>
          <w:lang w:val="en-US"/>
        </w:rPr>
        <w:t>n</w:t>
      </w:r>
      <w:r w:rsidRPr="00610904">
        <w:rPr>
          <w:noProof w:val="0"/>
          <w:szCs w:val="20"/>
          <w:lang w:val="en-US"/>
        </w:rPr>
        <w:t xml:space="preserve"> the final part</w:t>
      </w:r>
      <w:r w:rsidR="00022F5E" w:rsidRPr="00610904">
        <w:rPr>
          <w:noProof w:val="0"/>
          <w:szCs w:val="20"/>
          <w:lang w:val="en-US"/>
        </w:rPr>
        <w:t xml:space="preserve"> </w:t>
      </w:r>
      <w:r w:rsidRPr="00610904">
        <w:rPr>
          <w:noProof w:val="0"/>
          <w:szCs w:val="20"/>
          <w:lang w:val="en-US"/>
        </w:rPr>
        <w:t xml:space="preserve">of their expert opinion, Drs. </w:t>
      </w:r>
      <w:r w:rsidR="00022F5E" w:rsidRPr="00610904">
        <w:rPr>
          <w:noProof w:val="0"/>
          <w:szCs w:val="20"/>
          <w:lang w:val="en-US"/>
        </w:rPr>
        <w:t>JPR</w:t>
      </w:r>
      <w:r w:rsidR="009F3D78" w:rsidRPr="00610904">
        <w:rPr>
          <w:noProof w:val="0"/>
          <w:szCs w:val="20"/>
          <w:lang w:val="en-US"/>
        </w:rPr>
        <w:t xml:space="preserve"> and </w:t>
      </w:r>
      <w:r w:rsidR="00022F5E" w:rsidRPr="00610904">
        <w:rPr>
          <w:noProof w:val="0"/>
          <w:szCs w:val="20"/>
          <w:lang w:val="en-US"/>
        </w:rPr>
        <w:t>NVI indica</w:t>
      </w:r>
      <w:r w:rsidRPr="00610904">
        <w:rPr>
          <w:noProof w:val="0"/>
          <w:szCs w:val="20"/>
          <w:lang w:val="en-US"/>
        </w:rPr>
        <w:t xml:space="preserve">ted the need to perform a test of “comparison of viral genotype and sequential analysis of </w:t>
      </w:r>
      <w:r w:rsidRPr="00610904">
        <w:rPr>
          <w:bCs/>
          <w:noProof w:val="0"/>
          <w:lang w:val="en-US"/>
        </w:rPr>
        <w:t xml:space="preserve">nucleotides,” as follows: “from the scientific perspective, [the test] could help to establish or eliminate the possibility that the blood transfusion was the cause of the presence of the HIV antibody in the child </w:t>
      </w:r>
      <w:r w:rsidRPr="00610904">
        <w:rPr>
          <w:noProof w:val="0"/>
          <w:szCs w:val="20"/>
          <w:lang w:val="en-US"/>
        </w:rPr>
        <w:t xml:space="preserve">[Talía], </w:t>
      </w:r>
      <w:r w:rsidR="00EE43B5" w:rsidRPr="00610904">
        <w:rPr>
          <w:noProof w:val="0"/>
          <w:szCs w:val="20"/>
          <w:lang w:val="en-US"/>
        </w:rPr>
        <w:t xml:space="preserve">by </w:t>
      </w:r>
      <w:r w:rsidRPr="00610904">
        <w:rPr>
          <w:noProof w:val="0"/>
          <w:szCs w:val="20"/>
          <w:lang w:val="en-US"/>
        </w:rPr>
        <w:t>the identification and comparison of the viral genotype and the sequential analysis of HIV nucleotides by hybrid</w:t>
      </w:r>
      <w:r w:rsidR="0051351F">
        <w:rPr>
          <w:noProof w:val="0"/>
          <w:szCs w:val="20"/>
          <w:lang w:val="en-US"/>
        </w:rPr>
        <w:t>iz</w:t>
      </w:r>
      <w:r w:rsidRPr="00610904">
        <w:rPr>
          <w:noProof w:val="0"/>
          <w:szCs w:val="20"/>
          <w:lang w:val="en-US"/>
        </w:rPr>
        <w:t>ation techniques, in the blood of Mr. [HSA] and of the child [Talía]. This highly sophisticated technique (which corresponds to molecular biology) has not yet been fully implemented in the country, but the European Molecular Biology Bank (Heidelberg, Germany) could be contacted, if necessary, in order to send blood samples.</w:t>
      </w:r>
      <w:r w:rsidR="00022F5E" w:rsidRPr="00610904">
        <w:rPr>
          <w:noProof w:val="0"/>
          <w:szCs w:val="20"/>
          <w:lang w:val="en-US"/>
        </w:rPr>
        <w:t>”</w:t>
      </w:r>
      <w:r w:rsidR="00022F5E" w:rsidRPr="00610904">
        <w:rPr>
          <w:rStyle w:val="FootnoteReference"/>
          <w:rFonts w:eastAsia="Calibri"/>
          <w:noProof w:val="0"/>
          <w:lang w:val="en-US"/>
        </w:rPr>
        <w:footnoteReference w:id="93"/>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September 8,</w:t>
      </w:r>
      <w:r w:rsidR="00022F5E" w:rsidRPr="00610904">
        <w:rPr>
          <w:noProof w:val="0"/>
          <w:szCs w:val="20"/>
          <w:lang w:val="en-US"/>
        </w:rPr>
        <w:t xml:space="preserve"> 1999</w:t>
      </w:r>
      <w:r w:rsidRPr="00610904">
        <w:rPr>
          <w:noProof w:val="0"/>
          <w:szCs w:val="20"/>
          <w:lang w:val="en-US"/>
        </w:rPr>
        <w:t>,</w:t>
      </w:r>
      <w:r w:rsidR="00022F5E" w:rsidRPr="00610904">
        <w:rPr>
          <w:noProof w:val="0"/>
          <w:szCs w:val="20"/>
          <w:lang w:val="en-US"/>
        </w:rPr>
        <w:t xml:space="preserve"> </w:t>
      </w:r>
      <w:r w:rsidRPr="00610904">
        <w:rPr>
          <w:noProof w:val="0"/>
          <w:szCs w:val="20"/>
          <w:lang w:val="en-US"/>
        </w:rPr>
        <w:t>the Fourth Criminal Judge</w:t>
      </w:r>
      <w:r w:rsidR="00BA0AD2" w:rsidRPr="00610904">
        <w:rPr>
          <w:noProof w:val="0"/>
          <w:szCs w:val="20"/>
          <w:lang w:val="en-US"/>
        </w:rPr>
        <w:t xml:space="preserve"> declared that the preliminary investigation had been concluded and asked the Fourth Prosecutor to issue his report.</w:t>
      </w:r>
      <w:r w:rsidR="00022F5E" w:rsidRPr="00610904">
        <w:rPr>
          <w:rStyle w:val="FootnoteReference"/>
          <w:rFonts w:eastAsia="Calibri"/>
          <w:noProof w:val="0"/>
          <w:lang w:val="en-US"/>
        </w:rPr>
        <w:footnoteReference w:id="94"/>
      </w:r>
      <w:r w:rsidR="00BA0AD2" w:rsidRPr="00610904">
        <w:rPr>
          <w:noProof w:val="0"/>
          <w:szCs w:val="20"/>
          <w:lang w:val="en-US"/>
        </w:rPr>
        <w:t xml:space="preserve"> On September 14, </w:t>
      </w:r>
      <w:r w:rsidR="00022F5E" w:rsidRPr="00610904">
        <w:rPr>
          <w:noProof w:val="0"/>
          <w:szCs w:val="20"/>
          <w:lang w:val="en-US"/>
        </w:rPr>
        <w:t>1999</w:t>
      </w:r>
      <w:r w:rsidR="00BA0AD2" w:rsidRPr="00610904">
        <w:rPr>
          <w:noProof w:val="0"/>
          <w:szCs w:val="20"/>
          <w:lang w:val="en-US"/>
        </w:rPr>
        <w:t>,</w:t>
      </w:r>
      <w:r w:rsidR="00022F5E" w:rsidRPr="00610904">
        <w:rPr>
          <w:noProof w:val="0"/>
          <w:szCs w:val="20"/>
          <w:lang w:val="en-US"/>
        </w:rPr>
        <w:t xml:space="preserve"> Teresa Lluy </w:t>
      </w:r>
      <w:r w:rsidR="00BA0AD2" w:rsidRPr="00610904">
        <w:rPr>
          <w:noProof w:val="0"/>
          <w:szCs w:val="20"/>
          <w:lang w:val="en-US"/>
        </w:rPr>
        <w:t>asked the Fourth</w:t>
      </w:r>
      <w:r w:rsidR="00022F5E" w:rsidRPr="00610904">
        <w:rPr>
          <w:noProof w:val="0"/>
          <w:szCs w:val="20"/>
          <w:lang w:val="en-US"/>
        </w:rPr>
        <w:t xml:space="preserve"> </w:t>
      </w:r>
      <w:r w:rsidR="009F3D78" w:rsidRPr="00610904">
        <w:rPr>
          <w:noProof w:val="0"/>
          <w:szCs w:val="20"/>
          <w:lang w:val="en-US"/>
        </w:rPr>
        <w:t>Judge</w:t>
      </w:r>
      <w:r w:rsidR="00022F5E" w:rsidRPr="00610904">
        <w:rPr>
          <w:noProof w:val="0"/>
          <w:szCs w:val="20"/>
          <w:lang w:val="en-US"/>
        </w:rPr>
        <w:t xml:space="preserve"> </w:t>
      </w:r>
      <w:r w:rsidR="00BA0AD2" w:rsidRPr="00610904">
        <w:rPr>
          <w:noProof w:val="0"/>
          <w:szCs w:val="20"/>
          <w:lang w:val="en-US"/>
        </w:rPr>
        <w:t>to re-open the preliminary investigation, indicating that fundamental evidence remaine</w:t>
      </w:r>
      <w:r w:rsidR="00EE43B5" w:rsidRPr="00610904">
        <w:rPr>
          <w:noProof w:val="0"/>
          <w:szCs w:val="20"/>
          <w:lang w:val="en-US"/>
        </w:rPr>
        <w:t xml:space="preserve">d to be obtained, including the </w:t>
      </w:r>
      <w:r w:rsidR="00EE43B5" w:rsidRPr="00610904">
        <w:rPr>
          <w:noProof w:val="0"/>
          <w:szCs w:val="20"/>
          <w:lang w:val="en-US"/>
        </w:rPr>
        <w:lastRenderedPageBreak/>
        <w:t>evidence</w:t>
      </w:r>
      <w:r w:rsidR="00BA0AD2" w:rsidRPr="00610904">
        <w:rPr>
          <w:noProof w:val="0"/>
          <w:szCs w:val="20"/>
          <w:lang w:val="en-US"/>
        </w:rPr>
        <w:t xml:space="preserve"> suggested by </w:t>
      </w:r>
      <w:r w:rsidR="00A8072E" w:rsidRPr="00610904">
        <w:rPr>
          <w:noProof w:val="0"/>
          <w:szCs w:val="20"/>
          <w:lang w:val="en-US"/>
        </w:rPr>
        <w:t>the expert witnesses</w:t>
      </w:r>
      <w:r w:rsidR="00EE43B5" w:rsidRPr="00610904">
        <w:rPr>
          <w:noProof w:val="0"/>
          <w:szCs w:val="20"/>
          <w:lang w:val="en-US"/>
        </w:rPr>
        <w:t xml:space="preserve"> in relation</w:t>
      </w:r>
      <w:r w:rsidR="00BA0AD2" w:rsidRPr="00610904">
        <w:rPr>
          <w:noProof w:val="0"/>
          <w:szCs w:val="20"/>
          <w:lang w:val="en-US"/>
        </w:rPr>
        <w:t xml:space="preserve"> to sending blood samples to the </w:t>
      </w:r>
      <w:r w:rsidR="00022F5E" w:rsidRPr="00610904">
        <w:rPr>
          <w:noProof w:val="0"/>
          <w:szCs w:val="20"/>
          <w:lang w:val="en-US"/>
        </w:rPr>
        <w:t>European Molecular Biology Bank</w:t>
      </w:r>
      <w:r w:rsidR="00BA0AD2" w:rsidRPr="00610904">
        <w:rPr>
          <w:noProof w:val="0"/>
          <w:szCs w:val="20"/>
          <w:lang w:val="en-US"/>
        </w:rPr>
        <w:t>.</w:t>
      </w:r>
      <w:r w:rsidR="00022F5E" w:rsidRPr="00610904">
        <w:rPr>
          <w:rStyle w:val="FootnoteReference"/>
          <w:rFonts w:eastAsia="Calibri"/>
          <w:noProof w:val="0"/>
          <w:lang w:val="en-US"/>
        </w:rPr>
        <w:footnoteReference w:id="95"/>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October 19,</w:t>
      </w:r>
      <w:r w:rsidR="00022F5E" w:rsidRPr="00610904">
        <w:rPr>
          <w:noProof w:val="0"/>
          <w:szCs w:val="20"/>
          <w:lang w:val="en-US"/>
        </w:rPr>
        <w:t xml:space="preserve"> 1999</w:t>
      </w:r>
      <w:r w:rsidRPr="00610904">
        <w:rPr>
          <w:noProof w:val="0"/>
          <w:szCs w:val="20"/>
          <w:lang w:val="en-US"/>
        </w:rPr>
        <w:t>,</w:t>
      </w:r>
      <w:r w:rsidR="00022F5E" w:rsidRPr="00610904">
        <w:rPr>
          <w:noProof w:val="0"/>
          <w:szCs w:val="20"/>
          <w:lang w:val="en-US"/>
        </w:rPr>
        <w:t xml:space="preserve"> </w:t>
      </w:r>
      <w:r w:rsidR="00BA0AD2" w:rsidRPr="00610904">
        <w:rPr>
          <w:noProof w:val="0"/>
          <w:szCs w:val="20"/>
          <w:lang w:val="en-US"/>
        </w:rPr>
        <w:t>the Fourth Prosecutor</w:t>
      </w:r>
      <w:r w:rsidR="00022F5E" w:rsidRPr="00610904">
        <w:rPr>
          <w:noProof w:val="0"/>
          <w:szCs w:val="20"/>
          <w:lang w:val="en-US"/>
        </w:rPr>
        <w:t xml:space="preserve"> </w:t>
      </w:r>
      <w:r w:rsidR="00BA0AD2" w:rsidRPr="00610904">
        <w:rPr>
          <w:noProof w:val="0"/>
          <w:szCs w:val="20"/>
          <w:lang w:val="en-US"/>
        </w:rPr>
        <w:t>asked the</w:t>
      </w:r>
      <w:r w:rsidR="00022F5E" w:rsidRPr="00610904">
        <w:rPr>
          <w:noProof w:val="0"/>
          <w:szCs w:val="20"/>
          <w:lang w:val="en-US"/>
        </w:rPr>
        <w:t xml:space="preserve"> </w:t>
      </w:r>
      <w:r w:rsidRPr="00610904">
        <w:rPr>
          <w:noProof w:val="0"/>
          <w:szCs w:val="20"/>
          <w:lang w:val="en-US"/>
        </w:rPr>
        <w:t>Fourth Criminal Court</w:t>
      </w:r>
      <w:r w:rsidR="00022F5E" w:rsidRPr="00610904">
        <w:rPr>
          <w:noProof w:val="0"/>
          <w:szCs w:val="20"/>
          <w:lang w:val="en-US"/>
        </w:rPr>
        <w:t xml:space="preserve"> </w:t>
      </w:r>
      <w:r w:rsidR="00BA0AD2" w:rsidRPr="00610904">
        <w:rPr>
          <w:noProof w:val="0"/>
          <w:szCs w:val="20"/>
          <w:lang w:val="en-US"/>
        </w:rPr>
        <w:t xml:space="preserve">to re-open the preliminary investigation in order to undertake the necessary procedures “to be able to identify the person responsible” for infecting </w:t>
      </w:r>
      <w:r w:rsidR="00022F5E" w:rsidRPr="00610904">
        <w:rPr>
          <w:noProof w:val="0"/>
          <w:szCs w:val="20"/>
          <w:lang w:val="en-US"/>
        </w:rPr>
        <w:t xml:space="preserve">Talía. </w:t>
      </w:r>
      <w:r w:rsidR="00436E84" w:rsidRPr="00610904">
        <w:rPr>
          <w:noProof w:val="0"/>
          <w:szCs w:val="20"/>
          <w:lang w:val="en-US"/>
        </w:rPr>
        <w:t>On November</w:t>
      </w:r>
      <w:r w:rsidR="008E668D" w:rsidRPr="00610904">
        <w:rPr>
          <w:noProof w:val="0"/>
          <w:szCs w:val="20"/>
          <w:lang w:val="en-US"/>
        </w:rPr>
        <w:t xml:space="preserve"> 4,</w:t>
      </w:r>
      <w:r w:rsidR="00022F5E" w:rsidRPr="00610904">
        <w:rPr>
          <w:noProof w:val="0"/>
          <w:szCs w:val="20"/>
          <w:lang w:val="en-US"/>
        </w:rPr>
        <w:t xml:space="preserve"> 1999</w:t>
      </w:r>
      <w:r w:rsidR="00BA0AD2" w:rsidRPr="00610904">
        <w:rPr>
          <w:noProof w:val="0"/>
          <w:szCs w:val="20"/>
          <w:lang w:val="en-US"/>
        </w:rPr>
        <w:t xml:space="preserve">, it was decided to re-open the preliminary investigation “for the </w:t>
      </w:r>
      <w:r w:rsidR="00EE43B5" w:rsidRPr="00610904">
        <w:rPr>
          <w:noProof w:val="0"/>
          <w:szCs w:val="20"/>
          <w:lang w:val="en-US"/>
        </w:rPr>
        <w:t>maximum time established by law” A</w:t>
      </w:r>
      <w:r w:rsidR="00BA0AD2" w:rsidRPr="00610904">
        <w:rPr>
          <w:noProof w:val="0"/>
          <w:szCs w:val="20"/>
          <w:lang w:val="en-US"/>
        </w:rPr>
        <w:t>dditional procedure</w:t>
      </w:r>
      <w:r w:rsidR="00EE43B5" w:rsidRPr="00610904">
        <w:rPr>
          <w:noProof w:val="0"/>
          <w:szCs w:val="20"/>
          <w:lang w:val="en-US"/>
        </w:rPr>
        <w:t>s</w:t>
      </w:r>
      <w:r w:rsidR="00BA0AD2" w:rsidRPr="00610904">
        <w:rPr>
          <w:noProof w:val="0"/>
          <w:szCs w:val="20"/>
          <w:lang w:val="en-US"/>
        </w:rPr>
        <w:t xml:space="preserve"> were ordered, including those requested by the Fourth Prosecutor, </w:t>
      </w:r>
      <w:r w:rsidR="009F3D78" w:rsidRPr="00610904">
        <w:rPr>
          <w:noProof w:val="0"/>
          <w:szCs w:val="20"/>
          <w:lang w:val="en-US"/>
        </w:rPr>
        <w:t xml:space="preserve">and </w:t>
      </w:r>
      <w:r w:rsidR="00BA0AD2" w:rsidRPr="00610904">
        <w:rPr>
          <w:noProof w:val="0"/>
          <w:szCs w:val="20"/>
          <w:lang w:val="en-US"/>
        </w:rPr>
        <w:t>the expert</w:t>
      </w:r>
      <w:r w:rsidR="00A8072E" w:rsidRPr="00610904">
        <w:rPr>
          <w:noProof w:val="0"/>
          <w:szCs w:val="20"/>
          <w:lang w:val="en-US"/>
        </w:rPr>
        <w:t>s</w:t>
      </w:r>
      <w:r w:rsidR="00BA0AD2" w:rsidRPr="00610904">
        <w:rPr>
          <w:noProof w:val="0"/>
          <w:szCs w:val="20"/>
          <w:lang w:val="en-US"/>
        </w:rPr>
        <w:t>,</w:t>
      </w:r>
      <w:r w:rsidR="00022F5E" w:rsidRPr="00610904">
        <w:rPr>
          <w:noProof w:val="0"/>
          <w:szCs w:val="20"/>
          <w:lang w:val="en-US"/>
        </w:rPr>
        <w:t xml:space="preserve"> JPR</w:t>
      </w:r>
      <w:r w:rsidR="009F3D78" w:rsidRPr="00610904">
        <w:rPr>
          <w:noProof w:val="0"/>
          <w:szCs w:val="20"/>
          <w:lang w:val="en-US"/>
        </w:rPr>
        <w:t xml:space="preserve"> and </w:t>
      </w:r>
      <w:r w:rsidR="00022F5E" w:rsidRPr="00610904">
        <w:rPr>
          <w:noProof w:val="0"/>
          <w:szCs w:val="20"/>
          <w:lang w:val="en-US"/>
        </w:rPr>
        <w:t>NVI</w:t>
      </w:r>
      <w:r w:rsidR="00BA0AD2" w:rsidRPr="00610904">
        <w:rPr>
          <w:noProof w:val="0"/>
          <w:szCs w:val="20"/>
          <w:lang w:val="en-US"/>
        </w:rPr>
        <w:t>,</w:t>
      </w:r>
      <w:r w:rsidR="00022F5E" w:rsidRPr="00610904">
        <w:rPr>
          <w:noProof w:val="0"/>
          <w:szCs w:val="20"/>
          <w:lang w:val="en-US"/>
        </w:rPr>
        <w:t xml:space="preserve"> </w:t>
      </w:r>
      <w:r w:rsidR="00BA0AD2" w:rsidRPr="00610904">
        <w:rPr>
          <w:noProof w:val="0"/>
          <w:szCs w:val="20"/>
          <w:lang w:val="en-US"/>
        </w:rPr>
        <w:t xml:space="preserve">were required to submit their </w:t>
      </w:r>
      <w:r w:rsidR="006E502B" w:rsidRPr="00610904">
        <w:rPr>
          <w:noProof w:val="0"/>
          <w:szCs w:val="20"/>
          <w:lang w:val="en-US"/>
        </w:rPr>
        <w:t>conclusions</w:t>
      </w:r>
      <w:r w:rsidR="00BA0AD2" w:rsidRPr="00610904">
        <w:rPr>
          <w:noProof w:val="0"/>
          <w:szCs w:val="20"/>
          <w:lang w:val="en-US"/>
        </w:rPr>
        <w:t>.</w:t>
      </w:r>
      <w:r w:rsidR="00022F5E" w:rsidRPr="00610904">
        <w:rPr>
          <w:rStyle w:val="FootnoteReference"/>
          <w:rFonts w:eastAsia="Calibri"/>
          <w:noProof w:val="0"/>
          <w:lang w:val="en-US"/>
        </w:rPr>
        <w:footnoteReference w:id="96"/>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November 26,</w:t>
      </w:r>
      <w:r w:rsidR="00022F5E" w:rsidRPr="00610904">
        <w:rPr>
          <w:noProof w:val="0"/>
          <w:szCs w:val="20"/>
          <w:lang w:val="en-US"/>
        </w:rPr>
        <w:t xml:space="preserve"> 1999</w:t>
      </w:r>
      <w:r w:rsidRPr="00610904">
        <w:rPr>
          <w:noProof w:val="0"/>
          <w:szCs w:val="20"/>
          <w:lang w:val="en-US"/>
        </w:rPr>
        <w:t>,</w:t>
      </w:r>
      <w:r w:rsidR="00022F5E" w:rsidRPr="00610904">
        <w:rPr>
          <w:noProof w:val="0"/>
          <w:szCs w:val="20"/>
          <w:lang w:val="en-US"/>
        </w:rPr>
        <w:t xml:space="preserve"> </w:t>
      </w:r>
      <w:r w:rsidR="00BA0AD2" w:rsidRPr="00610904">
        <w:rPr>
          <w:noProof w:val="0"/>
          <w:szCs w:val="20"/>
          <w:lang w:val="en-US"/>
        </w:rPr>
        <w:t>the expert</w:t>
      </w:r>
      <w:r w:rsidR="00A8072E" w:rsidRPr="00610904">
        <w:rPr>
          <w:noProof w:val="0"/>
          <w:szCs w:val="20"/>
          <w:lang w:val="en-US"/>
        </w:rPr>
        <w:t>s</w:t>
      </w:r>
      <w:r w:rsidR="00BA0AD2" w:rsidRPr="00610904">
        <w:rPr>
          <w:noProof w:val="0"/>
          <w:szCs w:val="20"/>
          <w:lang w:val="en-US"/>
        </w:rPr>
        <w:t>,</w:t>
      </w:r>
      <w:r w:rsidR="00022F5E" w:rsidRPr="00610904">
        <w:rPr>
          <w:noProof w:val="0"/>
          <w:szCs w:val="20"/>
          <w:lang w:val="en-US"/>
        </w:rPr>
        <w:t xml:space="preserve"> JPR</w:t>
      </w:r>
      <w:r w:rsidR="009F3D78" w:rsidRPr="00610904">
        <w:rPr>
          <w:noProof w:val="0"/>
          <w:szCs w:val="20"/>
          <w:lang w:val="en-US"/>
        </w:rPr>
        <w:t xml:space="preserve"> and </w:t>
      </w:r>
      <w:r w:rsidR="00022F5E" w:rsidRPr="00610904">
        <w:rPr>
          <w:noProof w:val="0"/>
          <w:szCs w:val="20"/>
          <w:lang w:val="en-US"/>
        </w:rPr>
        <w:t>NVI</w:t>
      </w:r>
      <w:r w:rsidR="00BA0AD2" w:rsidRPr="00610904">
        <w:rPr>
          <w:noProof w:val="0"/>
          <w:szCs w:val="20"/>
          <w:lang w:val="en-US"/>
        </w:rPr>
        <w:t xml:space="preserve">, once again addressed the </w:t>
      </w:r>
      <w:r w:rsidRPr="00610904">
        <w:rPr>
          <w:noProof w:val="0"/>
          <w:szCs w:val="20"/>
          <w:lang w:val="en-US"/>
        </w:rPr>
        <w:t>Fourth Court</w:t>
      </w:r>
      <w:r w:rsidR="00022F5E" w:rsidRPr="00610904">
        <w:rPr>
          <w:noProof w:val="0"/>
          <w:szCs w:val="20"/>
          <w:lang w:val="en-US"/>
        </w:rPr>
        <w:t xml:space="preserve"> indica</w:t>
      </w:r>
      <w:r w:rsidR="00BA0AD2" w:rsidRPr="00610904">
        <w:rPr>
          <w:noProof w:val="0"/>
          <w:szCs w:val="20"/>
          <w:lang w:val="en-US"/>
        </w:rPr>
        <w:t xml:space="preserve">ting that the evidence that existed in the proceedings, “from a scientific perspective, did not determine unequivocally the cause of the propagation of HIV.” </w:t>
      </w:r>
      <w:r w:rsidR="00A8072E" w:rsidRPr="00610904">
        <w:rPr>
          <w:noProof w:val="0"/>
          <w:szCs w:val="20"/>
          <w:lang w:val="en-US"/>
        </w:rPr>
        <w:t>The expert</w:t>
      </w:r>
      <w:r w:rsidR="00BA0AD2" w:rsidRPr="00610904">
        <w:rPr>
          <w:noProof w:val="0"/>
          <w:szCs w:val="20"/>
          <w:lang w:val="en-US"/>
        </w:rPr>
        <w:t>s</w:t>
      </w:r>
      <w:r w:rsidR="00A8072E" w:rsidRPr="00610904">
        <w:rPr>
          <w:noProof w:val="0"/>
          <w:szCs w:val="20"/>
          <w:lang w:val="en-US"/>
        </w:rPr>
        <w:t xml:space="preserve"> </w:t>
      </w:r>
      <w:r w:rsidR="00BA0AD2" w:rsidRPr="00610904">
        <w:rPr>
          <w:noProof w:val="0"/>
          <w:szCs w:val="20"/>
          <w:lang w:val="en-US"/>
        </w:rPr>
        <w:t>repeated the suggestion that a specialized</w:t>
      </w:r>
      <w:r w:rsidR="00EE43B5" w:rsidRPr="00610904">
        <w:rPr>
          <w:noProof w:val="0"/>
          <w:szCs w:val="20"/>
          <w:lang w:val="en-US"/>
        </w:rPr>
        <w:t xml:space="preserve"> test</w:t>
      </w:r>
      <w:r w:rsidR="00BA0AD2" w:rsidRPr="00610904">
        <w:rPr>
          <w:noProof w:val="0"/>
          <w:szCs w:val="20"/>
          <w:lang w:val="en-US"/>
        </w:rPr>
        <w:t xml:space="preserve"> be performed, as follows</w:t>
      </w:r>
      <w:r w:rsidR="00022F5E" w:rsidRPr="00610904">
        <w:rPr>
          <w:noProof w:val="0"/>
          <w:szCs w:val="20"/>
          <w:lang w:val="en-US"/>
        </w:rPr>
        <w:t>: “a</w:t>
      </w:r>
      <w:r w:rsidR="00BA0AD2" w:rsidRPr="00610904">
        <w:rPr>
          <w:noProof w:val="0"/>
          <w:szCs w:val="20"/>
          <w:lang w:val="en-US"/>
        </w:rPr>
        <w:t xml:space="preserve">t the end of [their] report, </w:t>
      </w:r>
      <w:r w:rsidR="00022F5E" w:rsidRPr="00610904">
        <w:rPr>
          <w:noProof w:val="0"/>
          <w:szCs w:val="20"/>
          <w:lang w:val="en-US"/>
        </w:rPr>
        <w:t>[…</w:t>
      </w:r>
      <w:r w:rsidR="00BA0AD2" w:rsidRPr="00610904">
        <w:rPr>
          <w:noProof w:val="0"/>
          <w:szCs w:val="20"/>
          <w:lang w:val="en-US"/>
        </w:rPr>
        <w:t>they had</w:t>
      </w:r>
      <w:r w:rsidR="00022F5E" w:rsidRPr="00610904">
        <w:rPr>
          <w:noProof w:val="0"/>
          <w:szCs w:val="20"/>
          <w:lang w:val="en-US"/>
        </w:rPr>
        <w:t>]</w:t>
      </w:r>
      <w:r w:rsidR="00BA0AD2" w:rsidRPr="00610904">
        <w:rPr>
          <w:noProof w:val="0"/>
          <w:szCs w:val="20"/>
          <w:lang w:val="en-US"/>
        </w:rPr>
        <w:t xml:space="preserve"> </w:t>
      </w:r>
      <w:r w:rsidR="00022F5E" w:rsidRPr="00610904">
        <w:rPr>
          <w:noProof w:val="0"/>
          <w:szCs w:val="20"/>
          <w:lang w:val="en-US"/>
        </w:rPr>
        <w:t>su</w:t>
      </w:r>
      <w:r w:rsidR="00BA0AD2" w:rsidRPr="00610904">
        <w:rPr>
          <w:noProof w:val="0"/>
          <w:szCs w:val="20"/>
          <w:lang w:val="en-US"/>
        </w:rPr>
        <w:t>ggested the test that, scientifically, could be decisive: genetic sequencing to be performed in Europe. Based on the results of this test, [they] would be able to decide one way or the other.</w:t>
      </w:r>
      <w:r w:rsidR="00022F5E" w:rsidRPr="00610904">
        <w:rPr>
          <w:noProof w:val="0"/>
          <w:szCs w:val="20"/>
          <w:lang w:val="en-US"/>
        </w:rPr>
        <w:t>”</w:t>
      </w:r>
      <w:r w:rsidR="00022F5E" w:rsidRPr="00610904">
        <w:rPr>
          <w:rStyle w:val="FootnoteReference"/>
          <w:rFonts w:eastAsia="Calibri"/>
          <w:noProof w:val="0"/>
          <w:lang w:val="en-US"/>
        </w:rPr>
        <w:footnoteReference w:id="97"/>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December 22,</w:t>
      </w:r>
      <w:r w:rsidR="00022F5E" w:rsidRPr="00610904">
        <w:rPr>
          <w:noProof w:val="0"/>
          <w:szCs w:val="20"/>
          <w:lang w:val="en-US"/>
        </w:rPr>
        <w:t xml:space="preserve"> 1999</w:t>
      </w:r>
      <w:r w:rsidRPr="00610904">
        <w:rPr>
          <w:noProof w:val="0"/>
          <w:szCs w:val="20"/>
          <w:lang w:val="en-US"/>
        </w:rPr>
        <w:t>,</w:t>
      </w:r>
      <w:r w:rsidR="00022F5E" w:rsidRPr="00610904">
        <w:rPr>
          <w:noProof w:val="0"/>
          <w:szCs w:val="20"/>
          <w:lang w:val="en-US"/>
        </w:rPr>
        <w:t xml:space="preserve"> Teresa Lluy</w:t>
      </w:r>
      <w:r w:rsidR="002D7480" w:rsidRPr="00610904">
        <w:rPr>
          <w:noProof w:val="0"/>
          <w:szCs w:val="20"/>
          <w:lang w:val="en-US"/>
        </w:rPr>
        <w:t xml:space="preserve"> filed </w:t>
      </w:r>
      <w:r w:rsidR="00DC1BDA" w:rsidRPr="00610904">
        <w:rPr>
          <w:noProof w:val="0"/>
          <w:szCs w:val="20"/>
          <w:lang w:val="en-US"/>
        </w:rPr>
        <w:t>“private charges” [</w:t>
      </w:r>
      <w:r w:rsidR="00022F5E" w:rsidRPr="00610904">
        <w:rPr>
          <w:i/>
          <w:noProof w:val="0"/>
          <w:szCs w:val="20"/>
          <w:lang w:val="en-US"/>
        </w:rPr>
        <w:t>acusación particular</w:t>
      </w:r>
      <w:r w:rsidR="00DC1BDA" w:rsidRPr="00610904">
        <w:rPr>
          <w:noProof w:val="0"/>
          <w:szCs w:val="20"/>
          <w:lang w:val="en-US"/>
        </w:rPr>
        <w:t>]</w:t>
      </w:r>
      <w:r w:rsidR="00022F5E" w:rsidRPr="00610904">
        <w:rPr>
          <w:rStyle w:val="FootnoteReference"/>
          <w:noProof w:val="0"/>
          <w:lang w:val="en-US"/>
        </w:rPr>
        <w:footnoteReference w:id="98"/>
      </w:r>
      <w:r w:rsidR="00DC1BDA" w:rsidRPr="00610904">
        <w:rPr>
          <w:noProof w:val="0"/>
          <w:szCs w:val="20"/>
          <w:lang w:val="en-US"/>
        </w:rPr>
        <w:t xml:space="preserve"> against </w:t>
      </w:r>
      <w:r w:rsidR="00022F5E" w:rsidRPr="00610904">
        <w:rPr>
          <w:noProof w:val="0"/>
          <w:szCs w:val="20"/>
          <w:lang w:val="en-US"/>
        </w:rPr>
        <w:t>PMT, EOQ</w:t>
      </w:r>
      <w:r w:rsidR="009F3D78" w:rsidRPr="00610904">
        <w:rPr>
          <w:noProof w:val="0"/>
          <w:szCs w:val="20"/>
          <w:lang w:val="en-US"/>
        </w:rPr>
        <w:t xml:space="preserve"> and </w:t>
      </w:r>
      <w:r w:rsidR="00022F5E" w:rsidRPr="00610904">
        <w:rPr>
          <w:noProof w:val="0"/>
          <w:szCs w:val="20"/>
          <w:lang w:val="en-US"/>
        </w:rPr>
        <w:t xml:space="preserve">MRR, </w:t>
      </w:r>
      <w:r w:rsidR="00DC1BDA" w:rsidRPr="00610904">
        <w:rPr>
          <w:noProof w:val="0"/>
          <w:szCs w:val="20"/>
          <w:lang w:val="en-US"/>
        </w:rPr>
        <w:t xml:space="preserve">seeking that they be declared responsible for infecting </w:t>
      </w:r>
      <w:r w:rsidR="00022F5E" w:rsidRPr="00610904">
        <w:rPr>
          <w:noProof w:val="0"/>
          <w:szCs w:val="20"/>
          <w:lang w:val="en-US"/>
        </w:rPr>
        <w:t>Talía</w:t>
      </w:r>
      <w:r w:rsidR="00DC1BDA" w:rsidRPr="00610904">
        <w:rPr>
          <w:noProof w:val="0"/>
          <w:szCs w:val="20"/>
          <w:lang w:val="en-US"/>
        </w:rPr>
        <w:t>.</w:t>
      </w:r>
      <w:r w:rsidR="00022F5E" w:rsidRPr="00610904">
        <w:rPr>
          <w:rStyle w:val="FootnoteReference"/>
          <w:rFonts w:eastAsia="Calibri"/>
          <w:noProof w:val="0"/>
          <w:lang w:val="en-US"/>
        </w:rPr>
        <w:footnoteReference w:id="99"/>
      </w:r>
      <w:r w:rsidR="00022F5E" w:rsidRPr="00610904">
        <w:rPr>
          <w:noProof w:val="0"/>
          <w:szCs w:val="20"/>
          <w:lang w:val="en-US"/>
        </w:rPr>
        <w:t xml:space="preserve"> </w:t>
      </w:r>
      <w:r w:rsidRPr="00610904">
        <w:rPr>
          <w:noProof w:val="0"/>
          <w:szCs w:val="20"/>
          <w:lang w:val="en-US"/>
        </w:rPr>
        <w:t>On January 5,</w:t>
      </w:r>
      <w:r w:rsidR="00022F5E" w:rsidRPr="00610904">
        <w:rPr>
          <w:noProof w:val="0"/>
          <w:szCs w:val="20"/>
          <w:lang w:val="en-US"/>
        </w:rPr>
        <w:t xml:space="preserve"> 2000</w:t>
      </w:r>
      <w:r w:rsidRPr="00610904">
        <w:rPr>
          <w:noProof w:val="0"/>
          <w:szCs w:val="20"/>
          <w:lang w:val="en-US"/>
        </w:rPr>
        <w:t>,</w:t>
      </w:r>
      <w:r w:rsidR="00022F5E" w:rsidRPr="00610904">
        <w:rPr>
          <w:noProof w:val="0"/>
          <w:szCs w:val="20"/>
          <w:lang w:val="en-US"/>
        </w:rPr>
        <w:t xml:space="preserve"> </w:t>
      </w:r>
      <w:r w:rsidR="00091F7C" w:rsidRPr="00610904">
        <w:rPr>
          <w:noProof w:val="0"/>
          <w:szCs w:val="20"/>
          <w:lang w:val="en-US"/>
        </w:rPr>
        <w:t>the Fourth Criminal Court</w:t>
      </w:r>
      <w:r w:rsidR="00022F5E" w:rsidRPr="00610904">
        <w:rPr>
          <w:noProof w:val="0"/>
          <w:szCs w:val="20"/>
          <w:lang w:val="en-US"/>
        </w:rPr>
        <w:t xml:space="preserve"> </w:t>
      </w:r>
      <w:r w:rsidR="00DC1BDA" w:rsidRPr="00610904">
        <w:rPr>
          <w:noProof w:val="0"/>
          <w:szCs w:val="20"/>
          <w:lang w:val="en-US"/>
        </w:rPr>
        <w:t xml:space="preserve">decided not to accept for processing the “private charges” filed by </w:t>
      </w:r>
      <w:r w:rsidR="00022F5E" w:rsidRPr="00610904">
        <w:rPr>
          <w:noProof w:val="0"/>
          <w:szCs w:val="20"/>
          <w:lang w:val="en-US"/>
        </w:rPr>
        <w:t>Teresa Lluy</w:t>
      </w:r>
      <w:r w:rsidR="00DC1BDA" w:rsidRPr="00610904">
        <w:rPr>
          <w:noProof w:val="0"/>
          <w:szCs w:val="20"/>
          <w:lang w:val="en-US"/>
        </w:rPr>
        <w:t>,</w:t>
      </w:r>
      <w:r w:rsidR="00022F5E" w:rsidRPr="00610904">
        <w:rPr>
          <w:noProof w:val="0"/>
          <w:szCs w:val="20"/>
          <w:lang w:val="en-US"/>
        </w:rPr>
        <w:t xml:space="preserve"> “</w:t>
      </w:r>
      <w:r w:rsidR="00DC1BDA" w:rsidRPr="00610904">
        <w:rPr>
          <w:noProof w:val="0"/>
          <w:szCs w:val="20"/>
          <w:lang w:val="en-US"/>
        </w:rPr>
        <w:t>because the re-opening of the preliminary investigation had been ordered in order to carry out the measures that had been ordered, [and] the private charges are not an essential procedural action, and should have been filed opportunely.</w:t>
      </w:r>
      <w:r w:rsidR="00022F5E" w:rsidRPr="00610904">
        <w:rPr>
          <w:noProof w:val="0"/>
          <w:szCs w:val="20"/>
          <w:lang w:val="en-US"/>
        </w:rPr>
        <w:t>”</w:t>
      </w:r>
      <w:r w:rsidR="00022F5E" w:rsidRPr="00610904">
        <w:rPr>
          <w:rStyle w:val="FootnoteReference"/>
          <w:rFonts w:eastAsia="Calibri"/>
          <w:noProof w:val="0"/>
          <w:lang w:val="en-US"/>
        </w:rPr>
        <w:footnoteReference w:id="100"/>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March 22,</w:t>
      </w:r>
      <w:r w:rsidR="00022F5E" w:rsidRPr="00610904">
        <w:rPr>
          <w:noProof w:val="0"/>
          <w:szCs w:val="20"/>
          <w:lang w:val="en-US"/>
        </w:rPr>
        <w:t xml:space="preserve"> 2000</w:t>
      </w:r>
      <w:r w:rsidR="00DC1BDA" w:rsidRPr="00610904">
        <w:rPr>
          <w:noProof w:val="0"/>
          <w:szCs w:val="20"/>
          <w:lang w:val="en-US"/>
        </w:rPr>
        <w:t>,</w:t>
      </w:r>
      <w:r w:rsidR="00022F5E" w:rsidRPr="00610904">
        <w:rPr>
          <w:noProof w:val="0"/>
          <w:szCs w:val="20"/>
          <w:lang w:val="en-US"/>
        </w:rPr>
        <w:t xml:space="preserve"> </w:t>
      </w:r>
      <w:r w:rsidRPr="00610904">
        <w:rPr>
          <w:noProof w:val="0"/>
          <w:szCs w:val="20"/>
          <w:lang w:val="en-US"/>
        </w:rPr>
        <w:t>the Fourth Court</w:t>
      </w:r>
      <w:r w:rsidR="00DC1BDA" w:rsidRPr="00610904">
        <w:rPr>
          <w:noProof w:val="0"/>
          <w:szCs w:val="20"/>
          <w:lang w:val="en-US"/>
        </w:rPr>
        <w:t xml:space="preserve"> declared the preliminary investigation concluded, for th</w:t>
      </w:r>
      <w:r w:rsidR="005E10C6" w:rsidRPr="00610904">
        <w:rPr>
          <w:noProof w:val="0"/>
          <w:szCs w:val="20"/>
          <w:lang w:val="en-US"/>
        </w:rPr>
        <w:t>e second time, and ordered the p</w:t>
      </w:r>
      <w:r w:rsidR="00DC1BDA" w:rsidRPr="00610904">
        <w:rPr>
          <w:noProof w:val="0"/>
          <w:szCs w:val="20"/>
          <w:lang w:val="en-US"/>
        </w:rPr>
        <w:t>rosecutor to issue his report within the legal time frame.</w:t>
      </w:r>
      <w:r w:rsidR="00022F5E" w:rsidRPr="00610904">
        <w:rPr>
          <w:rStyle w:val="FootnoteReference"/>
          <w:rFonts w:eastAsia="Calibri"/>
          <w:noProof w:val="0"/>
          <w:lang w:val="en-US"/>
        </w:rPr>
        <w:footnoteReference w:id="101"/>
      </w:r>
      <w:r w:rsidR="00022F5E" w:rsidRPr="00610904">
        <w:rPr>
          <w:noProof w:val="0"/>
          <w:szCs w:val="20"/>
          <w:lang w:val="en-US"/>
        </w:rPr>
        <w:t xml:space="preserve"> </w:t>
      </w:r>
      <w:r w:rsidR="00DC1BDA" w:rsidRPr="00610904">
        <w:rPr>
          <w:noProof w:val="0"/>
          <w:szCs w:val="20"/>
          <w:lang w:val="en-US"/>
        </w:rPr>
        <w:t xml:space="preserve">On May 5, 2000, </w:t>
      </w:r>
      <w:r w:rsidR="00022F5E" w:rsidRPr="00610904">
        <w:rPr>
          <w:noProof w:val="0"/>
          <w:szCs w:val="20"/>
          <w:lang w:val="en-US"/>
        </w:rPr>
        <w:t xml:space="preserve">Teresa Lluy </w:t>
      </w:r>
      <w:r w:rsidR="00DC1BDA" w:rsidRPr="00610904">
        <w:rPr>
          <w:noProof w:val="0"/>
          <w:szCs w:val="20"/>
          <w:lang w:val="en-US"/>
        </w:rPr>
        <w:t>ag</w:t>
      </w:r>
      <w:r w:rsidR="005E10C6" w:rsidRPr="00610904">
        <w:rPr>
          <w:noProof w:val="0"/>
          <w:szCs w:val="20"/>
          <w:lang w:val="en-US"/>
        </w:rPr>
        <w:t>a</w:t>
      </w:r>
      <w:r w:rsidR="00DC1BDA" w:rsidRPr="00610904">
        <w:rPr>
          <w:noProof w:val="0"/>
          <w:szCs w:val="20"/>
          <w:lang w:val="en-US"/>
        </w:rPr>
        <w:t>in asked that the specialized test suggested by the experts be performed.</w:t>
      </w:r>
      <w:r w:rsidR="00022F5E" w:rsidRPr="00610904">
        <w:rPr>
          <w:rStyle w:val="FootnoteReference"/>
          <w:rFonts w:eastAsia="Calibri"/>
          <w:noProof w:val="0"/>
          <w:lang w:val="en-US"/>
        </w:rPr>
        <w:footnoteReference w:id="102"/>
      </w:r>
      <w:r w:rsidR="00022F5E" w:rsidRPr="00610904">
        <w:rPr>
          <w:noProof w:val="0"/>
          <w:szCs w:val="20"/>
          <w:lang w:val="en-US"/>
        </w:rPr>
        <w:t xml:space="preserve"> </w:t>
      </w:r>
      <w:r w:rsidRPr="00610904">
        <w:rPr>
          <w:noProof w:val="0"/>
          <w:szCs w:val="20"/>
          <w:lang w:val="en-US"/>
        </w:rPr>
        <w:t>On May 15,</w:t>
      </w:r>
      <w:r w:rsidR="00DC1BDA" w:rsidRPr="00610904">
        <w:rPr>
          <w:noProof w:val="0"/>
          <w:szCs w:val="20"/>
          <w:lang w:val="en-US"/>
        </w:rPr>
        <w:t xml:space="preserve"> 2000, at the request of </w:t>
      </w:r>
      <w:r w:rsidR="00BA0AD2" w:rsidRPr="00610904">
        <w:rPr>
          <w:noProof w:val="0"/>
          <w:szCs w:val="20"/>
          <w:lang w:val="en-US"/>
        </w:rPr>
        <w:t>the Fourth Prosecutor</w:t>
      </w:r>
      <w:r w:rsidR="00022F5E" w:rsidRPr="00610904">
        <w:rPr>
          <w:noProof w:val="0"/>
          <w:szCs w:val="20"/>
          <w:lang w:val="en-US"/>
        </w:rPr>
        <w:t xml:space="preserve">, </w:t>
      </w:r>
      <w:r w:rsidRPr="00610904">
        <w:rPr>
          <w:noProof w:val="0"/>
          <w:szCs w:val="20"/>
          <w:lang w:val="en-US"/>
        </w:rPr>
        <w:t>the Fourth Court</w:t>
      </w:r>
      <w:r w:rsidR="00022F5E" w:rsidRPr="00610904">
        <w:rPr>
          <w:noProof w:val="0"/>
          <w:szCs w:val="20"/>
          <w:lang w:val="en-US"/>
        </w:rPr>
        <w:t xml:space="preserve"> </w:t>
      </w:r>
      <w:r w:rsidR="00DC1BDA" w:rsidRPr="00610904">
        <w:rPr>
          <w:noProof w:val="0"/>
          <w:szCs w:val="20"/>
          <w:lang w:val="en-US"/>
        </w:rPr>
        <w:t xml:space="preserve">decided to re-open the preliminary investigation and ordered </w:t>
      </w:r>
      <w:r w:rsidR="005E10C6" w:rsidRPr="00610904">
        <w:rPr>
          <w:noProof w:val="0"/>
          <w:szCs w:val="20"/>
          <w:lang w:val="en-US"/>
        </w:rPr>
        <w:t>that several measures</w:t>
      </w:r>
      <w:r w:rsidR="00DC1BDA" w:rsidRPr="00610904">
        <w:rPr>
          <w:noProof w:val="0"/>
          <w:szCs w:val="20"/>
          <w:lang w:val="en-US"/>
        </w:rPr>
        <w:t xml:space="preserve"> be taken.</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July 18,</w:t>
      </w:r>
      <w:r w:rsidR="00022F5E" w:rsidRPr="00610904">
        <w:rPr>
          <w:noProof w:val="0"/>
          <w:szCs w:val="20"/>
          <w:lang w:val="en-US"/>
        </w:rPr>
        <w:t xml:space="preserve"> 2000</w:t>
      </w:r>
      <w:r w:rsidRPr="00610904">
        <w:rPr>
          <w:noProof w:val="0"/>
          <w:szCs w:val="20"/>
          <w:lang w:val="en-US"/>
        </w:rPr>
        <w:t>,</w:t>
      </w:r>
      <w:r w:rsidR="00022F5E" w:rsidRPr="00610904">
        <w:rPr>
          <w:noProof w:val="0"/>
          <w:szCs w:val="20"/>
          <w:lang w:val="en-US"/>
        </w:rPr>
        <w:t xml:space="preserve"> </w:t>
      </w:r>
      <w:r w:rsidRPr="00610904">
        <w:rPr>
          <w:noProof w:val="0"/>
          <w:szCs w:val="20"/>
          <w:lang w:val="en-US"/>
        </w:rPr>
        <w:t>the Fourth Judge</w:t>
      </w:r>
      <w:r w:rsidR="00022F5E" w:rsidRPr="00610904">
        <w:rPr>
          <w:noProof w:val="0"/>
          <w:szCs w:val="20"/>
          <w:lang w:val="en-US"/>
        </w:rPr>
        <w:t xml:space="preserve"> </w:t>
      </w:r>
      <w:r w:rsidR="00DC1BDA" w:rsidRPr="00610904">
        <w:rPr>
          <w:noProof w:val="0"/>
          <w:szCs w:val="20"/>
          <w:lang w:val="en-US"/>
        </w:rPr>
        <w:t xml:space="preserve">established that the experts, </w:t>
      </w:r>
      <w:r w:rsidR="00022F5E" w:rsidRPr="00610904">
        <w:rPr>
          <w:noProof w:val="0"/>
          <w:szCs w:val="20"/>
          <w:lang w:val="en-US"/>
        </w:rPr>
        <w:t>JPR</w:t>
      </w:r>
      <w:r w:rsidR="009F3D78" w:rsidRPr="00610904">
        <w:rPr>
          <w:noProof w:val="0"/>
          <w:szCs w:val="20"/>
          <w:lang w:val="en-US"/>
        </w:rPr>
        <w:t xml:space="preserve"> and </w:t>
      </w:r>
      <w:r w:rsidR="00022F5E" w:rsidRPr="00610904">
        <w:rPr>
          <w:noProof w:val="0"/>
          <w:szCs w:val="20"/>
          <w:lang w:val="en-US"/>
        </w:rPr>
        <w:t>NVI</w:t>
      </w:r>
      <w:r w:rsidR="00DC1BDA" w:rsidRPr="00610904">
        <w:rPr>
          <w:noProof w:val="0"/>
          <w:szCs w:val="20"/>
          <w:lang w:val="en-US"/>
        </w:rPr>
        <w:t xml:space="preserve">, should obtain blood samples from </w:t>
      </w:r>
      <w:r w:rsidR="00022F5E" w:rsidRPr="00610904">
        <w:rPr>
          <w:noProof w:val="0"/>
          <w:szCs w:val="20"/>
          <w:lang w:val="en-US"/>
        </w:rPr>
        <w:t>Talía</w:t>
      </w:r>
      <w:r w:rsidR="00DC1BDA" w:rsidRPr="00610904">
        <w:rPr>
          <w:noProof w:val="0"/>
          <w:szCs w:val="20"/>
          <w:lang w:val="en-US"/>
        </w:rPr>
        <w:t xml:space="preserve"> and</w:t>
      </w:r>
      <w:r w:rsidR="00D630C7" w:rsidRPr="00610904">
        <w:rPr>
          <w:noProof w:val="0"/>
          <w:szCs w:val="20"/>
          <w:lang w:val="en-US"/>
        </w:rPr>
        <w:t xml:space="preserve"> HSA </w:t>
      </w:r>
      <w:r w:rsidR="00DC1BDA" w:rsidRPr="00610904">
        <w:rPr>
          <w:noProof w:val="0"/>
          <w:szCs w:val="20"/>
          <w:lang w:val="en-US"/>
        </w:rPr>
        <w:t xml:space="preserve">to be sent to the hospital of the </w:t>
      </w:r>
      <w:r w:rsidR="00DC1BDA" w:rsidRPr="00610904">
        <w:rPr>
          <w:rStyle w:val="st"/>
          <w:i/>
          <w:noProof w:val="0"/>
          <w:lang w:val="en-US"/>
        </w:rPr>
        <w:t xml:space="preserve">Université </w:t>
      </w:r>
      <w:r w:rsidR="00DC1BDA" w:rsidRPr="00610904">
        <w:rPr>
          <w:rStyle w:val="st"/>
          <w:i/>
          <w:noProof w:val="0"/>
          <w:lang w:val="en-US"/>
        </w:rPr>
        <w:lastRenderedPageBreak/>
        <w:t xml:space="preserve">catholique de Louvain, </w:t>
      </w:r>
      <w:r w:rsidR="00DC1BDA" w:rsidRPr="00610904">
        <w:rPr>
          <w:rStyle w:val="st"/>
          <w:noProof w:val="0"/>
          <w:lang w:val="en-US"/>
        </w:rPr>
        <w:t>in Belgium, in order to perform the specialized test suggested by the experts.</w:t>
      </w:r>
      <w:r w:rsidR="00022F5E" w:rsidRPr="00610904">
        <w:rPr>
          <w:rStyle w:val="FootnoteReference"/>
          <w:rFonts w:eastAsia="Calibri"/>
          <w:noProof w:val="0"/>
          <w:lang w:val="en-US"/>
        </w:rPr>
        <w:footnoteReference w:id="103"/>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August 31,</w:t>
      </w:r>
      <w:r w:rsidR="00022F5E" w:rsidRPr="00610904">
        <w:rPr>
          <w:noProof w:val="0"/>
          <w:szCs w:val="20"/>
          <w:lang w:val="en-US"/>
        </w:rPr>
        <w:t xml:space="preserve"> 2000</w:t>
      </w:r>
      <w:r w:rsidRPr="00610904">
        <w:rPr>
          <w:noProof w:val="0"/>
          <w:szCs w:val="20"/>
          <w:lang w:val="en-US"/>
        </w:rPr>
        <w:t>,</w:t>
      </w:r>
      <w:r w:rsidR="00022F5E" w:rsidRPr="00610904">
        <w:rPr>
          <w:noProof w:val="0"/>
          <w:szCs w:val="20"/>
          <w:lang w:val="en-US"/>
        </w:rPr>
        <w:t xml:space="preserve"> </w:t>
      </w:r>
      <w:r w:rsidR="00DC1BDA" w:rsidRPr="00610904">
        <w:rPr>
          <w:noProof w:val="0"/>
          <w:szCs w:val="20"/>
          <w:lang w:val="en-US"/>
        </w:rPr>
        <w:t>for the third time, the court declared that the preliminary investigation had concluded and ordered the prosecutor to issue the corresponding report. At that time, the specialized test suggested by the experts had not yet been performed.</w:t>
      </w:r>
      <w:r w:rsidR="00022F5E" w:rsidRPr="00610904">
        <w:rPr>
          <w:rStyle w:val="FootnoteReference"/>
          <w:rFonts w:eastAsia="Calibri"/>
          <w:noProof w:val="0"/>
          <w:lang w:val="en-US"/>
        </w:rPr>
        <w:footnoteReference w:id="104"/>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October 11,</w:t>
      </w:r>
      <w:r w:rsidR="00022F5E" w:rsidRPr="00610904">
        <w:rPr>
          <w:noProof w:val="0"/>
          <w:szCs w:val="20"/>
          <w:lang w:val="en-US"/>
        </w:rPr>
        <w:t xml:space="preserve"> 2000</w:t>
      </w:r>
      <w:r w:rsidRPr="00610904">
        <w:rPr>
          <w:noProof w:val="0"/>
          <w:szCs w:val="20"/>
          <w:lang w:val="en-US"/>
        </w:rPr>
        <w:t>,</w:t>
      </w:r>
      <w:r w:rsidR="00022F5E" w:rsidRPr="00610904">
        <w:rPr>
          <w:noProof w:val="0"/>
          <w:szCs w:val="20"/>
          <w:lang w:val="en-US"/>
        </w:rPr>
        <w:t xml:space="preserve"> </w:t>
      </w:r>
      <w:r w:rsidR="00BA0AD2" w:rsidRPr="00610904">
        <w:rPr>
          <w:noProof w:val="0"/>
          <w:szCs w:val="20"/>
          <w:lang w:val="en-US"/>
        </w:rPr>
        <w:t>the Fourth Prosecutor</w:t>
      </w:r>
      <w:r w:rsidR="00022F5E" w:rsidRPr="00610904">
        <w:rPr>
          <w:noProof w:val="0"/>
          <w:szCs w:val="20"/>
          <w:lang w:val="en-US"/>
        </w:rPr>
        <w:t xml:space="preserve"> </w:t>
      </w:r>
      <w:r w:rsidR="00DC1BDA" w:rsidRPr="00610904">
        <w:rPr>
          <w:noProof w:val="0"/>
          <w:szCs w:val="20"/>
          <w:lang w:val="en-US"/>
        </w:rPr>
        <w:t xml:space="preserve">issued a report in which he assessed the </w:t>
      </w:r>
      <w:r w:rsidR="00856968" w:rsidRPr="00610904">
        <w:rPr>
          <w:noProof w:val="0"/>
          <w:szCs w:val="20"/>
          <w:lang w:val="en-US"/>
        </w:rPr>
        <w:t>different</w:t>
      </w:r>
      <w:r w:rsidR="00DC1BDA" w:rsidRPr="00610904">
        <w:rPr>
          <w:noProof w:val="0"/>
          <w:szCs w:val="20"/>
          <w:lang w:val="en-US"/>
        </w:rPr>
        <w:t xml:space="preserve"> testimonies and took into account the expert opinion, and the</w:t>
      </w:r>
      <w:r w:rsidR="005E10C6" w:rsidRPr="00610904">
        <w:rPr>
          <w:noProof w:val="0"/>
          <w:szCs w:val="20"/>
          <w:lang w:val="en-US"/>
        </w:rPr>
        <w:t xml:space="preserve"> document inspection procedure</w:t>
      </w:r>
      <w:r w:rsidR="00DC1BDA" w:rsidRPr="00610904">
        <w:rPr>
          <w:noProof w:val="0"/>
          <w:szCs w:val="20"/>
          <w:lang w:val="en-US"/>
        </w:rPr>
        <w:t>,</w:t>
      </w:r>
      <w:r w:rsidR="009F3D78" w:rsidRPr="00610904">
        <w:rPr>
          <w:noProof w:val="0"/>
          <w:szCs w:val="20"/>
          <w:lang w:val="en-US"/>
        </w:rPr>
        <w:t xml:space="preserve"> and </w:t>
      </w:r>
      <w:r w:rsidR="00022F5E" w:rsidRPr="00610904">
        <w:rPr>
          <w:noProof w:val="0"/>
          <w:szCs w:val="20"/>
          <w:lang w:val="en-US"/>
        </w:rPr>
        <w:t>ot</w:t>
      </w:r>
      <w:r w:rsidR="00DC1BDA" w:rsidRPr="00610904">
        <w:rPr>
          <w:noProof w:val="0"/>
          <w:szCs w:val="20"/>
          <w:lang w:val="en-US"/>
        </w:rPr>
        <w:t>her document</w:t>
      </w:r>
      <w:r w:rsidR="005E10C6" w:rsidRPr="00610904">
        <w:rPr>
          <w:noProof w:val="0"/>
          <w:szCs w:val="20"/>
          <w:lang w:val="en-US"/>
        </w:rPr>
        <w:t>s in the body of evidence. The p</w:t>
      </w:r>
      <w:r w:rsidR="00DC1BDA" w:rsidRPr="00610904">
        <w:rPr>
          <w:noProof w:val="0"/>
          <w:szCs w:val="20"/>
          <w:lang w:val="en-US"/>
        </w:rPr>
        <w:t xml:space="preserve">rosecutor concluded that “the </w:t>
      </w:r>
      <w:r w:rsidR="005E10C6" w:rsidRPr="00610904">
        <w:rPr>
          <w:noProof w:val="0"/>
          <w:szCs w:val="20"/>
          <w:lang w:val="en-US"/>
        </w:rPr>
        <w:t>existence</w:t>
      </w:r>
      <w:r w:rsidR="00DC1BDA" w:rsidRPr="00610904">
        <w:rPr>
          <w:noProof w:val="0"/>
          <w:szCs w:val="20"/>
          <w:lang w:val="en-US"/>
        </w:rPr>
        <w:t xml:space="preserve"> o</w:t>
      </w:r>
      <w:r w:rsidR="005E10C6" w:rsidRPr="00610904">
        <w:rPr>
          <w:noProof w:val="0"/>
          <w:szCs w:val="20"/>
          <w:lang w:val="en-US"/>
        </w:rPr>
        <w:t>f the offense ha[d] been proved; it consisted</w:t>
      </w:r>
      <w:r w:rsidR="00DC1BDA" w:rsidRPr="00610904">
        <w:rPr>
          <w:noProof w:val="0"/>
          <w:szCs w:val="20"/>
          <w:lang w:val="en-US"/>
        </w:rPr>
        <w:t xml:space="preserve"> in the negligent transmission of a mortal illness, such as AIDS, to the child [Talía], disregarding compulsory standards contained in the Manual for Blood Banks and Storage Places, and Transfusion Services.”</w:t>
      </w:r>
      <w:r w:rsidR="00022F5E" w:rsidRPr="00610904">
        <w:rPr>
          <w:rStyle w:val="FootnoteReference"/>
          <w:noProof w:val="0"/>
          <w:lang w:val="en-US"/>
        </w:rPr>
        <w:footnoteReference w:id="105"/>
      </w:r>
      <w:r w:rsidR="00DC1BDA" w:rsidRPr="00610904">
        <w:rPr>
          <w:noProof w:val="0"/>
          <w:szCs w:val="20"/>
          <w:lang w:val="en-US"/>
        </w:rPr>
        <w:t xml:space="preserve"> Regarding th</w:t>
      </w:r>
      <w:r w:rsidR="005E10C6" w:rsidRPr="00610904">
        <w:rPr>
          <w:noProof w:val="0"/>
          <w:szCs w:val="20"/>
          <w:lang w:val="en-US"/>
        </w:rPr>
        <w:t>e criminal responsibility, the p</w:t>
      </w:r>
      <w:r w:rsidR="00DC1BDA" w:rsidRPr="00610904">
        <w:rPr>
          <w:noProof w:val="0"/>
          <w:szCs w:val="20"/>
          <w:lang w:val="en-US"/>
        </w:rPr>
        <w:t>rosecutor stated that “even though,</w:t>
      </w:r>
      <w:r w:rsidR="00B45E43" w:rsidRPr="00610904">
        <w:rPr>
          <w:noProof w:val="0"/>
          <w:szCs w:val="20"/>
          <w:lang w:val="en-US"/>
        </w:rPr>
        <w:t xml:space="preserve"> follow</w:t>
      </w:r>
      <w:r w:rsidR="005E10C6" w:rsidRPr="00610904">
        <w:rPr>
          <w:noProof w:val="0"/>
          <w:szCs w:val="20"/>
          <w:lang w:val="en-US"/>
        </w:rPr>
        <w:t xml:space="preserve">ing an appraisal by the prosecution, </w:t>
      </w:r>
      <w:r w:rsidR="00B45E43" w:rsidRPr="00610904">
        <w:rPr>
          <w:noProof w:val="0"/>
          <w:szCs w:val="20"/>
          <w:lang w:val="en-US"/>
        </w:rPr>
        <w:t xml:space="preserve">a request </w:t>
      </w:r>
      <w:r w:rsidR="005E10C6" w:rsidRPr="00610904">
        <w:rPr>
          <w:noProof w:val="0"/>
          <w:szCs w:val="20"/>
          <w:lang w:val="en-US"/>
        </w:rPr>
        <w:t>to continue the proceeding had been made with regard to</w:t>
      </w:r>
      <w:r w:rsidR="00B45E43" w:rsidRPr="00610904">
        <w:rPr>
          <w:noProof w:val="0"/>
          <w:szCs w:val="20"/>
          <w:lang w:val="en-US"/>
        </w:rPr>
        <w:t xml:space="preserve"> this </w:t>
      </w:r>
      <w:r w:rsidR="005E10C6" w:rsidRPr="00610904">
        <w:rPr>
          <w:noProof w:val="0"/>
          <w:szCs w:val="20"/>
          <w:lang w:val="en-US"/>
        </w:rPr>
        <w:t>hypothesis</w:t>
      </w:r>
      <w:r w:rsidR="00B45E43" w:rsidRPr="00610904">
        <w:rPr>
          <w:noProof w:val="0"/>
          <w:szCs w:val="20"/>
          <w:lang w:val="en-US"/>
        </w:rPr>
        <w:t xml:space="preserve"> considering that its existence could be presumed, </w:t>
      </w:r>
      <w:r w:rsidR="005E10C6" w:rsidRPr="00610904">
        <w:rPr>
          <w:noProof w:val="0"/>
          <w:szCs w:val="20"/>
          <w:lang w:val="en-US"/>
        </w:rPr>
        <w:t xml:space="preserve">from a procedural point of view it [was] not possible to bring charges, because </w:t>
      </w:r>
      <w:r w:rsidR="00B45E43" w:rsidRPr="00610904">
        <w:rPr>
          <w:noProof w:val="0"/>
          <w:szCs w:val="20"/>
          <w:lang w:val="en-US"/>
        </w:rPr>
        <w:t>no specif</w:t>
      </w:r>
      <w:r w:rsidR="005E10C6" w:rsidRPr="00610904">
        <w:rPr>
          <w:noProof w:val="0"/>
          <w:szCs w:val="20"/>
          <w:lang w:val="en-US"/>
        </w:rPr>
        <w:t>ic individual has been accused</w:t>
      </w:r>
      <w:r w:rsidR="00B45E43" w:rsidRPr="00610904">
        <w:rPr>
          <w:noProof w:val="0"/>
          <w:szCs w:val="20"/>
          <w:lang w:val="en-US"/>
        </w:rPr>
        <w:t>.</w:t>
      </w:r>
      <w:r w:rsidR="00022F5E" w:rsidRPr="00610904">
        <w:rPr>
          <w:noProof w:val="0"/>
          <w:szCs w:val="20"/>
          <w:lang w:val="en-US"/>
        </w:rPr>
        <w:t>”</w:t>
      </w:r>
      <w:r w:rsidR="00022F5E" w:rsidRPr="00610904">
        <w:rPr>
          <w:rStyle w:val="FootnoteReference"/>
          <w:rFonts w:eastAsia="Calibri"/>
          <w:noProof w:val="0"/>
          <w:lang w:val="en-US"/>
        </w:rPr>
        <w:footnoteReference w:id="106"/>
      </w:r>
    </w:p>
    <w:p w:rsidR="00022F5E" w:rsidRPr="00610904" w:rsidRDefault="00022F5E" w:rsidP="00610904">
      <w:pPr>
        <w:rPr>
          <w:noProof w:val="0"/>
          <w:szCs w:val="20"/>
          <w:lang w:val="en-US"/>
        </w:rPr>
      </w:pPr>
    </w:p>
    <w:p w:rsidR="00022F5E" w:rsidRPr="00610904" w:rsidRDefault="00B45E43" w:rsidP="00610904">
      <w:pPr>
        <w:numPr>
          <w:ilvl w:val="0"/>
          <w:numId w:val="1"/>
        </w:numPr>
        <w:rPr>
          <w:noProof w:val="0"/>
          <w:lang w:val="en-US"/>
        </w:rPr>
      </w:pPr>
      <w:r w:rsidRPr="00610904">
        <w:rPr>
          <w:noProof w:val="0"/>
          <w:szCs w:val="20"/>
          <w:lang w:val="en-US"/>
        </w:rPr>
        <w:t xml:space="preserve">The report of the hospital of the </w:t>
      </w:r>
      <w:r w:rsidRPr="00610904">
        <w:rPr>
          <w:rStyle w:val="st"/>
          <w:i/>
          <w:noProof w:val="0"/>
          <w:lang w:val="en-US"/>
        </w:rPr>
        <w:t>Université catholique de Louvain</w:t>
      </w:r>
      <w:r w:rsidRPr="00610904">
        <w:rPr>
          <w:noProof w:val="0"/>
          <w:szCs w:val="20"/>
          <w:lang w:val="en-US"/>
        </w:rPr>
        <w:t xml:space="preserve"> was prepared</w:t>
      </w:r>
      <w:r w:rsidRPr="00610904">
        <w:rPr>
          <w:noProof w:val="0"/>
          <w:lang w:val="en-US"/>
        </w:rPr>
        <w:t xml:space="preserve"> </w:t>
      </w:r>
      <w:r w:rsidR="00653A30" w:rsidRPr="00610904">
        <w:rPr>
          <w:noProof w:val="0"/>
          <w:szCs w:val="20"/>
          <w:lang w:val="en-US"/>
        </w:rPr>
        <w:t xml:space="preserve">on January 8, </w:t>
      </w:r>
      <w:r w:rsidR="00022F5E" w:rsidRPr="00610904">
        <w:rPr>
          <w:noProof w:val="0"/>
          <w:szCs w:val="20"/>
          <w:lang w:val="en-US"/>
        </w:rPr>
        <w:t xml:space="preserve">2001. </w:t>
      </w:r>
      <w:r w:rsidRPr="00610904">
        <w:rPr>
          <w:noProof w:val="0"/>
          <w:szCs w:val="20"/>
          <w:lang w:val="en-US"/>
        </w:rPr>
        <w:t>It indicated that the test was performed with four blood samples:</w:t>
      </w:r>
      <w:r w:rsidRPr="00610904">
        <w:rPr>
          <w:noProof w:val="0"/>
          <w:lang w:val="en-US"/>
        </w:rPr>
        <w:t xml:space="preserve"> </w:t>
      </w:r>
      <w:r w:rsidRPr="00610904">
        <w:rPr>
          <w:noProof w:val="0"/>
          <w:szCs w:val="20"/>
          <w:lang w:val="en-US"/>
        </w:rPr>
        <w:t>sample 1, corresponded to</w:t>
      </w:r>
      <w:r w:rsidR="00022F5E" w:rsidRPr="00610904">
        <w:rPr>
          <w:noProof w:val="0"/>
          <w:szCs w:val="20"/>
          <w:lang w:val="en-US"/>
        </w:rPr>
        <w:t xml:space="preserve"> Talía; </w:t>
      </w:r>
      <w:r w:rsidRPr="00610904">
        <w:rPr>
          <w:noProof w:val="0"/>
          <w:szCs w:val="20"/>
          <w:lang w:val="en-US"/>
        </w:rPr>
        <w:t>sample 2, corresponding to</w:t>
      </w:r>
      <w:r w:rsidR="00022F5E" w:rsidRPr="00610904">
        <w:rPr>
          <w:noProof w:val="0"/>
          <w:szCs w:val="20"/>
          <w:lang w:val="en-US"/>
        </w:rPr>
        <w:t xml:space="preserve"> HSA;</w:t>
      </w:r>
      <w:r w:rsidR="009F3D78" w:rsidRPr="00610904">
        <w:rPr>
          <w:noProof w:val="0"/>
          <w:szCs w:val="20"/>
          <w:lang w:val="en-US"/>
        </w:rPr>
        <w:t xml:space="preserve"> and </w:t>
      </w:r>
      <w:r w:rsidRPr="00610904">
        <w:rPr>
          <w:noProof w:val="0"/>
          <w:szCs w:val="20"/>
          <w:lang w:val="en-US"/>
        </w:rPr>
        <w:t>samples</w:t>
      </w:r>
      <w:r w:rsidR="00022F5E" w:rsidRPr="00610904">
        <w:rPr>
          <w:noProof w:val="0"/>
          <w:szCs w:val="20"/>
          <w:lang w:val="en-US"/>
        </w:rPr>
        <w:t xml:space="preserve"> 3</w:t>
      </w:r>
      <w:r w:rsidR="009F3D78" w:rsidRPr="00610904">
        <w:rPr>
          <w:noProof w:val="0"/>
          <w:szCs w:val="20"/>
          <w:lang w:val="en-US"/>
        </w:rPr>
        <w:t xml:space="preserve"> and </w:t>
      </w:r>
      <w:r w:rsidR="00022F5E" w:rsidRPr="00610904">
        <w:rPr>
          <w:noProof w:val="0"/>
          <w:szCs w:val="20"/>
          <w:lang w:val="en-US"/>
        </w:rPr>
        <w:t>4 correspondi</w:t>
      </w:r>
      <w:r w:rsidRPr="00610904">
        <w:rPr>
          <w:noProof w:val="0"/>
          <w:szCs w:val="20"/>
          <w:lang w:val="en-US"/>
        </w:rPr>
        <w:t>ng to two HIV-positive volunteers</w:t>
      </w:r>
      <w:r w:rsidR="00022F5E" w:rsidRPr="00610904">
        <w:rPr>
          <w:noProof w:val="0"/>
          <w:szCs w:val="20"/>
          <w:lang w:val="en-US"/>
        </w:rPr>
        <w:t xml:space="preserve">. </w:t>
      </w:r>
      <w:r w:rsidRPr="00610904">
        <w:rPr>
          <w:noProof w:val="0"/>
          <w:szCs w:val="20"/>
          <w:lang w:val="en-US"/>
        </w:rPr>
        <w:t xml:space="preserve">The report indicated that the four samples were “clearly positive”; that sample 4 could not be expanded, that only samples </w:t>
      </w:r>
      <w:r w:rsidR="00022F5E" w:rsidRPr="00610904">
        <w:rPr>
          <w:noProof w:val="0"/>
          <w:szCs w:val="20"/>
          <w:lang w:val="en-US"/>
        </w:rPr>
        <w:t>1, 2</w:t>
      </w:r>
      <w:r w:rsidR="009F3D78" w:rsidRPr="00610904">
        <w:rPr>
          <w:noProof w:val="0"/>
          <w:szCs w:val="20"/>
          <w:lang w:val="en-US"/>
        </w:rPr>
        <w:t xml:space="preserve"> and </w:t>
      </w:r>
      <w:r w:rsidR="00022F5E" w:rsidRPr="00610904">
        <w:rPr>
          <w:noProof w:val="0"/>
          <w:szCs w:val="20"/>
          <w:lang w:val="en-US"/>
        </w:rPr>
        <w:t xml:space="preserve">3 </w:t>
      </w:r>
      <w:r w:rsidRPr="00610904">
        <w:rPr>
          <w:noProof w:val="0"/>
          <w:szCs w:val="20"/>
          <w:lang w:val="en-US"/>
        </w:rPr>
        <w:t>had sufficient “viral RNA” to perform a “</w:t>
      </w:r>
      <w:r w:rsidRPr="00610904">
        <w:rPr>
          <w:noProof w:val="0"/>
          <w:lang w:val="en-US"/>
        </w:rPr>
        <w:t>nucle</w:t>
      </w:r>
      <w:r w:rsidRPr="00610904">
        <w:rPr>
          <w:bCs/>
          <w:noProof w:val="0"/>
          <w:lang w:val="en-US"/>
        </w:rPr>
        <w:t xml:space="preserve">otide sequence,” and that “samples 1 and 2 were identical,” while </w:t>
      </w:r>
      <w:r w:rsidR="00022F5E" w:rsidRPr="00610904">
        <w:rPr>
          <w:noProof w:val="0"/>
          <w:szCs w:val="20"/>
          <w:lang w:val="en-US"/>
        </w:rPr>
        <w:t>“</w:t>
      </w:r>
      <w:r w:rsidRPr="00610904">
        <w:rPr>
          <w:noProof w:val="0"/>
          <w:szCs w:val="20"/>
          <w:lang w:val="en-US"/>
        </w:rPr>
        <w:t>sample</w:t>
      </w:r>
      <w:r w:rsidR="00022F5E" w:rsidRPr="00610904">
        <w:rPr>
          <w:noProof w:val="0"/>
          <w:szCs w:val="20"/>
          <w:lang w:val="en-US"/>
        </w:rPr>
        <w:t xml:space="preserve"> 3 </w:t>
      </w:r>
      <w:r w:rsidRPr="00610904">
        <w:rPr>
          <w:noProof w:val="0"/>
          <w:szCs w:val="20"/>
          <w:lang w:val="en-US"/>
        </w:rPr>
        <w:t>was genetically different from the first two.</w:t>
      </w:r>
      <w:r w:rsidR="00022F5E" w:rsidRPr="00610904">
        <w:rPr>
          <w:noProof w:val="0"/>
          <w:szCs w:val="20"/>
          <w:lang w:val="en-US"/>
        </w:rPr>
        <w:t>”</w:t>
      </w:r>
      <w:r w:rsidR="00022F5E" w:rsidRPr="00610904">
        <w:rPr>
          <w:rStyle w:val="FootnoteReference"/>
          <w:rFonts w:eastAsia="Calibri"/>
          <w:noProof w:val="0"/>
          <w:lang w:val="en-US"/>
        </w:rPr>
        <w:footnoteReference w:id="107"/>
      </w:r>
      <w:r w:rsidR="00022F5E" w:rsidRPr="00610904">
        <w:rPr>
          <w:noProof w:val="0"/>
          <w:szCs w:val="20"/>
          <w:lang w:val="en-US"/>
        </w:rPr>
        <w:t xml:space="preserve"> </w:t>
      </w:r>
      <w:r w:rsidR="00653A30" w:rsidRPr="00610904">
        <w:rPr>
          <w:rFonts w:cs="Arial"/>
          <w:noProof w:val="0"/>
          <w:lang w:val="en-US"/>
        </w:rPr>
        <w:t>On January 15,</w:t>
      </w:r>
      <w:r w:rsidR="00606958" w:rsidRPr="00610904">
        <w:rPr>
          <w:rFonts w:cs="Arial"/>
          <w:noProof w:val="0"/>
          <w:lang w:val="en-US"/>
        </w:rPr>
        <w:t xml:space="preserve"> 2001</w:t>
      </w:r>
      <w:r w:rsidR="00653A30" w:rsidRPr="00610904">
        <w:rPr>
          <w:rFonts w:cs="Arial"/>
          <w:noProof w:val="0"/>
          <w:lang w:val="en-US"/>
        </w:rPr>
        <w:t>,</w:t>
      </w:r>
      <w:r w:rsidR="00606958" w:rsidRPr="00610904">
        <w:rPr>
          <w:rFonts w:cs="Arial"/>
          <w:noProof w:val="0"/>
          <w:lang w:val="en-US"/>
        </w:rPr>
        <w:t xml:space="preserve"> </w:t>
      </w:r>
      <w:r w:rsidR="00653A30" w:rsidRPr="00610904">
        <w:rPr>
          <w:rFonts w:cs="Arial"/>
          <w:noProof w:val="0"/>
          <w:lang w:val="en-US"/>
        </w:rPr>
        <w:t>the Fourth Judge</w:t>
      </w:r>
      <w:r w:rsidR="00606958" w:rsidRPr="00610904">
        <w:rPr>
          <w:rFonts w:cs="Arial"/>
          <w:noProof w:val="0"/>
          <w:lang w:val="en-US"/>
        </w:rPr>
        <w:t xml:space="preserve"> </w:t>
      </w:r>
      <w:r w:rsidRPr="00610904">
        <w:rPr>
          <w:rFonts w:cs="Arial"/>
          <w:noProof w:val="0"/>
          <w:lang w:val="en-US"/>
        </w:rPr>
        <w:t xml:space="preserve">decided to re-open the preliminary </w:t>
      </w:r>
      <w:r w:rsidR="00856968" w:rsidRPr="00610904">
        <w:rPr>
          <w:rFonts w:cs="Arial"/>
          <w:noProof w:val="0"/>
          <w:lang w:val="en-US"/>
        </w:rPr>
        <w:t>investigation</w:t>
      </w:r>
      <w:r w:rsidRPr="00610904">
        <w:rPr>
          <w:rFonts w:cs="Arial"/>
          <w:noProof w:val="0"/>
          <w:lang w:val="en-US"/>
        </w:rPr>
        <w:t xml:space="preserve"> in order to incorporate the specialized evidence.</w:t>
      </w:r>
      <w:r w:rsidR="00211C84" w:rsidRPr="00610904">
        <w:rPr>
          <w:rStyle w:val="FootnoteReference"/>
          <w:noProof w:val="0"/>
          <w:lang w:val="en-US"/>
        </w:rPr>
        <w:footnoteReference w:id="108"/>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 xml:space="preserve">On February 19, </w:t>
      </w:r>
      <w:r w:rsidR="00022F5E" w:rsidRPr="00610904">
        <w:rPr>
          <w:noProof w:val="0"/>
          <w:szCs w:val="20"/>
          <w:lang w:val="en-US"/>
        </w:rPr>
        <w:t>2001</w:t>
      </w:r>
      <w:r w:rsidRPr="00610904">
        <w:rPr>
          <w:noProof w:val="0"/>
          <w:szCs w:val="20"/>
          <w:lang w:val="en-US"/>
        </w:rPr>
        <w:t>,</w:t>
      </w:r>
      <w:r w:rsidR="00022F5E" w:rsidRPr="00610904">
        <w:rPr>
          <w:noProof w:val="0"/>
          <w:szCs w:val="20"/>
          <w:lang w:val="en-US"/>
        </w:rPr>
        <w:t xml:space="preserve"> </w:t>
      </w:r>
      <w:r w:rsidR="00B45E43" w:rsidRPr="00610904">
        <w:rPr>
          <w:noProof w:val="0"/>
          <w:szCs w:val="20"/>
          <w:lang w:val="en-US"/>
        </w:rPr>
        <w:t xml:space="preserve">the translation of the report was forwarded to the experts, </w:t>
      </w:r>
      <w:r w:rsidR="00022F5E" w:rsidRPr="00610904">
        <w:rPr>
          <w:noProof w:val="0"/>
          <w:szCs w:val="20"/>
          <w:lang w:val="en-US"/>
        </w:rPr>
        <w:t>JPR</w:t>
      </w:r>
      <w:r w:rsidR="009F3D78" w:rsidRPr="00610904">
        <w:rPr>
          <w:noProof w:val="0"/>
          <w:szCs w:val="20"/>
          <w:lang w:val="en-US"/>
        </w:rPr>
        <w:t xml:space="preserve"> and </w:t>
      </w:r>
      <w:r w:rsidR="00022F5E" w:rsidRPr="00610904">
        <w:rPr>
          <w:noProof w:val="0"/>
          <w:szCs w:val="20"/>
          <w:lang w:val="en-US"/>
        </w:rPr>
        <w:t>NVI</w:t>
      </w:r>
      <w:r w:rsidR="00022F5E" w:rsidRPr="00610904">
        <w:rPr>
          <w:rStyle w:val="FootnoteReference"/>
          <w:rFonts w:eastAsia="Calibri"/>
          <w:noProof w:val="0"/>
          <w:lang w:val="en-US"/>
        </w:rPr>
        <w:footnoteReference w:id="109"/>
      </w:r>
      <w:r w:rsidR="00B45E43" w:rsidRPr="00610904">
        <w:rPr>
          <w:rFonts w:eastAsia="Calibri"/>
          <w:noProof w:val="0"/>
          <w:szCs w:val="20"/>
          <w:lang w:val="en-US"/>
        </w:rPr>
        <w:t xml:space="preserve"> and, on </w:t>
      </w:r>
      <w:r w:rsidRPr="00610904">
        <w:rPr>
          <w:noProof w:val="0"/>
          <w:szCs w:val="20"/>
          <w:lang w:val="en-US"/>
        </w:rPr>
        <w:t xml:space="preserve">March 9, </w:t>
      </w:r>
      <w:r w:rsidR="00022F5E" w:rsidRPr="00610904">
        <w:rPr>
          <w:noProof w:val="0"/>
          <w:szCs w:val="20"/>
          <w:lang w:val="en-US"/>
        </w:rPr>
        <w:t>2001</w:t>
      </w:r>
      <w:r w:rsidRPr="00610904">
        <w:rPr>
          <w:noProof w:val="0"/>
          <w:szCs w:val="20"/>
          <w:lang w:val="en-US"/>
        </w:rPr>
        <w:t>,</w:t>
      </w:r>
      <w:r w:rsidR="00B45E43" w:rsidRPr="00610904">
        <w:rPr>
          <w:noProof w:val="0"/>
          <w:szCs w:val="20"/>
          <w:lang w:val="en-US"/>
        </w:rPr>
        <w:t xml:space="preserve"> they indicated that “the same virus had infected the blood samples of the two persons,” referring to Talía and the person to whom blood sample No. 2 corresponded, which was HSA's blood. They added that “</w:t>
      </w:r>
      <w:r w:rsidR="00856968" w:rsidRPr="00610904">
        <w:rPr>
          <w:noProof w:val="0"/>
          <w:szCs w:val="20"/>
          <w:lang w:val="en-US"/>
        </w:rPr>
        <w:t>HIV can</w:t>
      </w:r>
      <w:r w:rsidR="00B45E43" w:rsidRPr="00610904">
        <w:rPr>
          <w:noProof w:val="0"/>
          <w:szCs w:val="20"/>
          <w:lang w:val="en-US"/>
        </w:rPr>
        <w:t xml:space="preserve"> only have been transmitted to the child </w:t>
      </w:r>
      <w:r w:rsidR="00022F5E" w:rsidRPr="00610904">
        <w:rPr>
          <w:noProof w:val="0"/>
          <w:szCs w:val="20"/>
          <w:lang w:val="en-US"/>
        </w:rPr>
        <w:t>[Talía</w:t>
      </w:r>
      <w:r w:rsidR="00B45E43" w:rsidRPr="00610904">
        <w:rPr>
          <w:noProof w:val="0"/>
          <w:szCs w:val="20"/>
          <w:lang w:val="en-US"/>
        </w:rPr>
        <w:t xml:space="preserve">] from the person indicated as </w:t>
      </w:r>
      <w:r w:rsidR="00022F5E" w:rsidRPr="00610904">
        <w:rPr>
          <w:noProof w:val="0"/>
          <w:szCs w:val="20"/>
          <w:lang w:val="en-US"/>
        </w:rPr>
        <w:t xml:space="preserve">170686285-9 [HSA] </w:t>
      </w:r>
      <w:r w:rsidR="00B45E43" w:rsidRPr="00610904">
        <w:rPr>
          <w:noProof w:val="0"/>
          <w:szCs w:val="20"/>
          <w:lang w:val="en-US"/>
        </w:rPr>
        <w:t xml:space="preserve">in two ways: by sexual transmission or by </w:t>
      </w:r>
      <w:r w:rsidR="005E10C6" w:rsidRPr="00610904">
        <w:rPr>
          <w:noProof w:val="0"/>
          <w:szCs w:val="20"/>
          <w:lang w:val="en-US"/>
        </w:rPr>
        <w:t xml:space="preserve">the </w:t>
      </w:r>
      <w:r w:rsidR="00B45E43" w:rsidRPr="00610904">
        <w:rPr>
          <w:noProof w:val="0"/>
          <w:szCs w:val="20"/>
          <w:lang w:val="en-US"/>
        </w:rPr>
        <w:t>transfusion of contaminated blood products from that person.” The experts ended their report indicating that “if the investigations in the trial have excluded sexual transmission, necessarily it must be concluded from the point of view of medic</w:t>
      </w:r>
      <w:r w:rsidR="005E10C6" w:rsidRPr="00610904">
        <w:rPr>
          <w:noProof w:val="0"/>
          <w:szCs w:val="20"/>
          <w:lang w:val="en-US"/>
        </w:rPr>
        <w:t>al logic, that the only way</w:t>
      </w:r>
      <w:r w:rsidR="00B45E43" w:rsidRPr="00610904">
        <w:rPr>
          <w:noProof w:val="0"/>
          <w:szCs w:val="20"/>
          <w:lang w:val="en-US"/>
        </w:rPr>
        <w:t xml:space="preserve"> HIV was transmitted to the child </w:t>
      </w:r>
      <w:r w:rsidR="00022F5E" w:rsidRPr="00610904">
        <w:rPr>
          <w:noProof w:val="0"/>
          <w:szCs w:val="20"/>
          <w:lang w:val="en-US"/>
        </w:rPr>
        <w:t xml:space="preserve">[Talía] </w:t>
      </w:r>
      <w:r w:rsidR="00B45E43" w:rsidRPr="00610904">
        <w:rPr>
          <w:noProof w:val="0"/>
          <w:szCs w:val="20"/>
          <w:lang w:val="en-US"/>
        </w:rPr>
        <w:t>was through the blood transfusion.</w:t>
      </w:r>
      <w:r w:rsidR="00022F5E" w:rsidRPr="00610904">
        <w:rPr>
          <w:noProof w:val="0"/>
          <w:szCs w:val="20"/>
          <w:lang w:val="en-US"/>
        </w:rPr>
        <w:t>”</w:t>
      </w:r>
      <w:r w:rsidR="00022F5E" w:rsidRPr="00610904">
        <w:rPr>
          <w:rStyle w:val="FootnoteReference"/>
          <w:rFonts w:eastAsia="Calibri"/>
          <w:noProof w:val="0"/>
          <w:lang w:val="en-US"/>
        </w:rPr>
        <w:footnoteReference w:id="110"/>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lastRenderedPageBreak/>
        <w:t>On March 26,</w:t>
      </w:r>
      <w:r w:rsidR="00022F5E" w:rsidRPr="00610904">
        <w:rPr>
          <w:noProof w:val="0"/>
          <w:szCs w:val="20"/>
          <w:lang w:val="en-US"/>
        </w:rPr>
        <w:t xml:space="preserve"> 2001</w:t>
      </w:r>
      <w:r w:rsidRPr="00610904">
        <w:rPr>
          <w:noProof w:val="0"/>
          <w:szCs w:val="20"/>
          <w:lang w:val="en-US"/>
        </w:rPr>
        <w:t>,</w:t>
      </w:r>
      <w:r w:rsidR="00022F5E" w:rsidRPr="00610904">
        <w:rPr>
          <w:noProof w:val="0"/>
          <w:szCs w:val="20"/>
          <w:lang w:val="en-US"/>
        </w:rPr>
        <w:t xml:space="preserve"> </w:t>
      </w:r>
      <w:r w:rsidR="00B45E43" w:rsidRPr="00610904">
        <w:rPr>
          <w:noProof w:val="0"/>
          <w:szCs w:val="20"/>
          <w:lang w:val="en-US"/>
        </w:rPr>
        <w:t xml:space="preserve">for the fourth time, it was declared that the preliminary investigation </w:t>
      </w:r>
      <w:r w:rsidR="005E10C6" w:rsidRPr="00610904">
        <w:rPr>
          <w:noProof w:val="0"/>
          <w:szCs w:val="20"/>
          <w:lang w:val="en-US"/>
        </w:rPr>
        <w:t>had</w:t>
      </w:r>
      <w:r w:rsidR="00B45E43" w:rsidRPr="00610904">
        <w:rPr>
          <w:noProof w:val="0"/>
          <w:szCs w:val="20"/>
          <w:lang w:val="en-US"/>
        </w:rPr>
        <w:t xml:space="preserve"> concluded.</w:t>
      </w:r>
      <w:r w:rsidR="00022F5E" w:rsidRPr="00610904">
        <w:rPr>
          <w:rStyle w:val="FootnoteReference"/>
          <w:rFonts w:eastAsia="Calibri"/>
          <w:noProof w:val="0"/>
          <w:lang w:val="en-US"/>
        </w:rPr>
        <w:footnoteReference w:id="111"/>
      </w:r>
      <w:r w:rsidR="00022F5E" w:rsidRPr="00610904">
        <w:rPr>
          <w:noProof w:val="0"/>
          <w:szCs w:val="20"/>
          <w:lang w:val="en-US"/>
        </w:rPr>
        <w:t xml:space="preserve"> </w:t>
      </w:r>
      <w:r w:rsidRPr="00610904">
        <w:rPr>
          <w:noProof w:val="0"/>
          <w:szCs w:val="20"/>
          <w:lang w:val="en-US"/>
        </w:rPr>
        <w:t>On April 9,</w:t>
      </w:r>
      <w:r w:rsidR="00022F5E" w:rsidRPr="00610904">
        <w:rPr>
          <w:noProof w:val="0"/>
          <w:szCs w:val="20"/>
          <w:lang w:val="en-US"/>
        </w:rPr>
        <w:t xml:space="preserve"> 2001</w:t>
      </w:r>
      <w:r w:rsidRPr="00610904">
        <w:rPr>
          <w:noProof w:val="0"/>
          <w:szCs w:val="20"/>
          <w:lang w:val="en-US"/>
        </w:rPr>
        <w:t>,</w:t>
      </w:r>
      <w:r w:rsidR="00022F5E" w:rsidRPr="00610904">
        <w:rPr>
          <w:noProof w:val="0"/>
          <w:szCs w:val="20"/>
          <w:lang w:val="en-US"/>
        </w:rPr>
        <w:t xml:space="preserve"> </w:t>
      </w:r>
      <w:r w:rsidR="00BA0AD2" w:rsidRPr="00610904">
        <w:rPr>
          <w:noProof w:val="0"/>
          <w:szCs w:val="20"/>
          <w:lang w:val="en-US"/>
        </w:rPr>
        <w:t>the Fourth Prosecutor</w:t>
      </w:r>
      <w:r w:rsidR="00022F5E" w:rsidRPr="00610904">
        <w:rPr>
          <w:noProof w:val="0"/>
          <w:szCs w:val="20"/>
          <w:lang w:val="en-US"/>
        </w:rPr>
        <w:t xml:space="preserve"> </w:t>
      </w:r>
      <w:r w:rsidR="00B45E43" w:rsidRPr="00610904">
        <w:rPr>
          <w:noProof w:val="0"/>
          <w:szCs w:val="20"/>
          <w:lang w:val="en-US"/>
        </w:rPr>
        <w:t>asked the Fourth</w:t>
      </w:r>
      <w:r w:rsidR="00022F5E" w:rsidRPr="00610904">
        <w:rPr>
          <w:noProof w:val="0"/>
          <w:szCs w:val="20"/>
          <w:lang w:val="en-US"/>
        </w:rPr>
        <w:t xml:space="preserve"> </w:t>
      </w:r>
      <w:r w:rsidR="009F3D78" w:rsidRPr="00610904">
        <w:rPr>
          <w:noProof w:val="0"/>
          <w:szCs w:val="20"/>
          <w:lang w:val="en-US"/>
        </w:rPr>
        <w:t>Judge</w:t>
      </w:r>
      <w:r w:rsidR="00022F5E" w:rsidRPr="00610904">
        <w:rPr>
          <w:noProof w:val="0"/>
          <w:szCs w:val="20"/>
          <w:lang w:val="en-US"/>
        </w:rPr>
        <w:t xml:space="preserve"> </w:t>
      </w:r>
      <w:r w:rsidR="00B45E43" w:rsidRPr="00610904">
        <w:rPr>
          <w:noProof w:val="0"/>
          <w:szCs w:val="20"/>
          <w:lang w:val="en-US"/>
        </w:rPr>
        <w:t xml:space="preserve">to re-open the preliminary investigation and extend it to </w:t>
      </w:r>
      <w:r w:rsidR="00022F5E" w:rsidRPr="00610904">
        <w:rPr>
          <w:noProof w:val="0"/>
          <w:szCs w:val="20"/>
          <w:lang w:val="en-US"/>
        </w:rPr>
        <w:t>MRR, BRR</w:t>
      </w:r>
      <w:r w:rsidR="009F3D78" w:rsidRPr="00610904">
        <w:rPr>
          <w:noProof w:val="0"/>
          <w:szCs w:val="20"/>
          <w:lang w:val="en-US"/>
        </w:rPr>
        <w:t xml:space="preserve"> and </w:t>
      </w:r>
      <w:r w:rsidR="00022F5E" w:rsidRPr="00610904">
        <w:rPr>
          <w:noProof w:val="0"/>
          <w:szCs w:val="20"/>
          <w:lang w:val="en-US"/>
        </w:rPr>
        <w:t>PMT</w:t>
      </w:r>
      <w:r w:rsidRPr="00610904">
        <w:rPr>
          <w:noProof w:val="0"/>
          <w:szCs w:val="20"/>
          <w:lang w:val="en-US"/>
        </w:rPr>
        <w:t>.</w:t>
      </w:r>
      <w:r w:rsidR="00022F5E" w:rsidRPr="00610904">
        <w:rPr>
          <w:rStyle w:val="FootnoteReference"/>
          <w:rFonts w:eastAsia="Calibri"/>
          <w:noProof w:val="0"/>
          <w:lang w:val="en-US"/>
        </w:rPr>
        <w:footnoteReference w:id="112"/>
      </w:r>
      <w:r w:rsidR="00022F5E" w:rsidRPr="00610904">
        <w:rPr>
          <w:noProof w:val="0"/>
          <w:szCs w:val="20"/>
          <w:lang w:val="en-US"/>
        </w:rPr>
        <w:t xml:space="preserve"> </w:t>
      </w:r>
      <w:r w:rsidRPr="00610904">
        <w:rPr>
          <w:noProof w:val="0"/>
          <w:szCs w:val="20"/>
          <w:lang w:val="en-US"/>
        </w:rPr>
        <w:t xml:space="preserve">On April 10, </w:t>
      </w:r>
      <w:r w:rsidR="00022F5E" w:rsidRPr="00610904">
        <w:rPr>
          <w:noProof w:val="0"/>
          <w:szCs w:val="20"/>
          <w:lang w:val="en-US"/>
        </w:rPr>
        <w:t>2001</w:t>
      </w:r>
      <w:r w:rsidRPr="00610904">
        <w:rPr>
          <w:noProof w:val="0"/>
          <w:szCs w:val="20"/>
          <w:lang w:val="en-US"/>
        </w:rPr>
        <w:t>,</w:t>
      </w:r>
      <w:r w:rsidR="00022F5E" w:rsidRPr="00610904">
        <w:rPr>
          <w:noProof w:val="0"/>
          <w:szCs w:val="20"/>
          <w:lang w:val="en-US"/>
        </w:rPr>
        <w:t xml:space="preserve"> </w:t>
      </w:r>
      <w:r w:rsidRPr="00610904">
        <w:rPr>
          <w:noProof w:val="0"/>
          <w:szCs w:val="20"/>
          <w:lang w:val="en-US"/>
        </w:rPr>
        <w:t>the Fourth Judge</w:t>
      </w:r>
      <w:r w:rsidR="00022F5E" w:rsidRPr="00610904">
        <w:rPr>
          <w:noProof w:val="0"/>
          <w:szCs w:val="20"/>
          <w:lang w:val="en-US"/>
        </w:rPr>
        <w:t xml:space="preserve"> </w:t>
      </w:r>
      <w:r w:rsidR="00B45E43" w:rsidRPr="00610904">
        <w:rPr>
          <w:noProof w:val="0"/>
          <w:szCs w:val="20"/>
          <w:lang w:val="en-US"/>
        </w:rPr>
        <w:t xml:space="preserve">extended the preliminary investigation to </w:t>
      </w:r>
      <w:r w:rsidR="00022F5E" w:rsidRPr="00610904">
        <w:rPr>
          <w:noProof w:val="0"/>
          <w:szCs w:val="20"/>
          <w:lang w:val="en-US"/>
        </w:rPr>
        <w:t>MRR, BRR</w:t>
      </w:r>
      <w:r w:rsidR="009F3D78" w:rsidRPr="00610904">
        <w:rPr>
          <w:noProof w:val="0"/>
          <w:szCs w:val="20"/>
          <w:lang w:val="en-US"/>
        </w:rPr>
        <w:t xml:space="preserve"> and </w:t>
      </w:r>
      <w:r w:rsidR="00022F5E" w:rsidRPr="00610904">
        <w:rPr>
          <w:noProof w:val="0"/>
          <w:szCs w:val="20"/>
          <w:lang w:val="en-US"/>
        </w:rPr>
        <w:t>PMT</w:t>
      </w:r>
      <w:r w:rsidRPr="00610904">
        <w:rPr>
          <w:noProof w:val="0"/>
          <w:szCs w:val="20"/>
          <w:lang w:val="en-US"/>
        </w:rPr>
        <w:t>.</w:t>
      </w:r>
      <w:r w:rsidR="00022F5E" w:rsidRPr="00610904">
        <w:rPr>
          <w:rStyle w:val="FootnoteReference"/>
          <w:rFonts w:eastAsia="Calibri"/>
          <w:noProof w:val="0"/>
          <w:lang w:val="en-US"/>
        </w:rPr>
        <w:footnoteReference w:id="113"/>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May 16,</w:t>
      </w:r>
      <w:r w:rsidR="00022F5E" w:rsidRPr="00610904">
        <w:rPr>
          <w:noProof w:val="0"/>
          <w:szCs w:val="20"/>
          <w:lang w:val="en-US"/>
        </w:rPr>
        <w:t xml:space="preserve"> 2001</w:t>
      </w:r>
      <w:r w:rsidRPr="00610904">
        <w:rPr>
          <w:noProof w:val="0"/>
          <w:szCs w:val="20"/>
          <w:lang w:val="en-US"/>
        </w:rPr>
        <w:t>,</w:t>
      </w:r>
      <w:r w:rsidR="00022F5E" w:rsidRPr="00610904">
        <w:rPr>
          <w:noProof w:val="0"/>
          <w:szCs w:val="20"/>
          <w:lang w:val="en-US"/>
        </w:rPr>
        <w:t xml:space="preserve"> Teresa Lluy </w:t>
      </w:r>
      <w:r w:rsidR="00B45E43" w:rsidRPr="00610904">
        <w:rPr>
          <w:noProof w:val="0"/>
          <w:szCs w:val="20"/>
          <w:lang w:val="en-US"/>
        </w:rPr>
        <w:t>filed “privat</w:t>
      </w:r>
      <w:r w:rsidR="005E10C6" w:rsidRPr="00610904">
        <w:rPr>
          <w:noProof w:val="0"/>
          <w:szCs w:val="20"/>
          <w:lang w:val="en-US"/>
        </w:rPr>
        <w:t>e</w:t>
      </w:r>
      <w:r w:rsidR="00B45E43" w:rsidRPr="00610904">
        <w:rPr>
          <w:noProof w:val="0"/>
          <w:szCs w:val="20"/>
          <w:lang w:val="en-US"/>
        </w:rPr>
        <w:t xml:space="preserve"> charges</w:t>
      </w:r>
      <w:r w:rsidR="005E10C6" w:rsidRPr="00610904">
        <w:rPr>
          <w:noProof w:val="0"/>
          <w:szCs w:val="20"/>
          <w:lang w:val="en-US"/>
        </w:rPr>
        <w:t>,</w:t>
      </w:r>
      <w:r w:rsidR="00B45E43" w:rsidRPr="00610904">
        <w:rPr>
          <w:noProof w:val="0"/>
          <w:szCs w:val="20"/>
          <w:lang w:val="en-US"/>
        </w:rPr>
        <w:t>” for the offense of “transmission of a contagious disease</w:t>
      </w:r>
      <w:r w:rsidR="005E10C6" w:rsidRPr="00610904">
        <w:rPr>
          <w:noProof w:val="0"/>
          <w:szCs w:val="20"/>
          <w:lang w:val="en-US"/>
        </w:rPr>
        <w:t>,</w:t>
      </w:r>
      <w:r w:rsidR="00B45E43" w:rsidRPr="00610904">
        <w:rPr>
          <w:noProof w:val="0"/>
          <w:szCs w:val="20"/>
          <w:lang w:val="en-US"/>
        </w:rPr>
        <w:t xml:space="preserve">” against </w:t>
      </w:r>
      <w:r w:rsidR="00022F5E" w:rsidRPr="00610904">
        <w:rPr>
          <w:noProof w:val="0"/>
          <w:szCs w:val="20"/>
          <w:lang w:val="en-US"/>
        </w:rPr>
        <w:t>PMT, EOQ, MRR, BRR</w:t>
      </w:r>
      <w:r w:rsidR="009F3D78" w:rsidRPr="00610904">
        <w:rPr>
          <w:noProof w:val="0"/>
          <w:szCs w:val="20"/>
          <w:lang w:val="en-US"/>
        </w:rPr>
        <w:t xml:space="preserve"> and </w:t>
      </w:r>
      <w:r w:rsidRPr="00610904">
        <w:rPr>
          <w:noProof w:val="0"/>
          <w:szCs w:val="20"/>
          <w:lang w:val="en-US"/>
        </w:rPr>
        <w:t>Mr.</w:t>
      </w:r>
      <w:r w:rsidR="00022F5E" w:rsidRPr="00610904">
        <w:rPr>
          <w:noProof w:val="0"/>
          <w:szCs w:val="20"/>
          <w:lang w:val="en-US"/>
        </w:rPr>
        <w:t xml:space="preserve"> CAA, </w:t>
      </w:r>
      <w:r w:rsidR="00B45E43" w:rsidRPr="00610904">
        <w:rPr>
          <w:noProof w:val="0"/>
          <w:szCs w:val="20"/>
          <w:lang w:val="en-US"/>
        </w:rPr>
        <w:t>in his capacity as</w:t>
      </w:r>
      <w:r w:rsidR="00022F5E" w:rsidRPr="00610904">
        <w:rPr>
          <w:noProof w:val="0"/>
          <w:szCs w:val="20"/>
          <w:lang w:val="en-US"/>
        </w:rPr>
        <w:t xml:space="preserve"> </w:t>
      </w:r>
      <w:r w:rsidR="009F3D78" w:rsidRPr="00610904">
        <w:rPr>
          <w:noProof w:val="0"/>
          <w:szCs w:val="20"/>
          <w:lang w:val="en-US"/>
        </w:rPr>
        <w:t>President</w:t>
      </w:r>
      <w:r w:rsidR="00022F5E" w:rsidRPr="00610904">
        <w:rPr>
          <w:noProof w:val="0"/>
          <w:szCs w:val="20"/>
          <w:lang w:val="en-US"/>
        </w:rPr>
        <w:t xml:space="preserve"> </w:t>
      </w:r>
      <w:r w:rsidR="00856968" w:rsidRPr="00610904">
        <w:rPr>
          <w:noProof w:val="0"/>
          <w:szCs w:val="20"/>
          <w:lang w:val="en-US"/>
        </w:rPr>
        <w:t>of the A</w:t>
      </w:r>
      <w:r w:rsidR="00B45E43" w:rsidRPr="00610904">
        <w:rPr>
          <w:noProof w:val="0"/>
          <w:szCs w:val="20"/>
          <w:lang w:val="en-US"/>
        </w:rPr>
        <w:t xml:space="preserve">zuay Provincial Committee </w:t>
      </w:r>
      <w:r w:rsidR="00A8072E" w:rsidRPr="00610904">
        <w:rPr>
          <w:noProof w:val="0"/>
          <w:szCs w:val="20"/>
          <w:lang w:val="en-US"/>
        </w:rPr>
        <w:t>of the Red Cross</w:t>
      </w:r>
      <w:r w:rsidRPr="00610904">
        <w:rPr>
          <w:noProof w:val="0"/>
          <w:szCs w:val="20"/>
          <w:lang w:val="en-US"/>
        </w:rPr>
        <w:t>.</w:t>
      </w:r>
      <w:r w:rsidR="00022F5E" w:rsidRPr="00610904">
        <w:rPr>
          <w:rStyle w:val="FootnoteReference"/>
          <w:rFonts w:eastAsia="Calibri"/>
          <w:noProof w:val="0"/>
          <w:lang w:val="en-US"/>
        </w:rPr>
        <w:footnoteReference w:id="114"/>
      </w:r>
      <w:r w:rsidR="00022F5E" w:rsidRPr="00610904">
        <w:rPr>
          <w:noProof w:val="0"/>
          <w:szCs w:val="20"/>
          <w:lang w:val="en-US"/>
        </w:rPr>
        <w:t xml:space="preserve"> </w:t>
      </w:r>
      <w:r w:rsidR="00B45E43" w:rsidRPr="00610904">
        <w:rPr>
          <w:noProof w:val="0"/>
          <w:szCs w:val="20"/>
          <w:lang w:val="en-US"/>
        </w:rPr>
        <w:t>On the same date, the court a</w:t>
      </w:r>
      <w:r w:rsidR="005E10C6" w:rsidRPr="00610904">
        <w:rPr>
          <w:noProof w:val="0"/>
          <w:szCs w:val="20"/>
          <w:lang w:val="en-US"/>
        </w:rPr>
        <w:t>greed</w:t>
      </w:r>
      <w:r w:rsidR="00B45E43" w:rsidRPr="00610904">
        <w:rPr>
          <w:noProof w:val="0"/>
          <w:szCs w:val="20"/>
          <w:lang w:val="en-US"/>
        </w:rPr>
        <w:t xml:space="preserve"> to process the “private charges” and the preliminary investigation was extended to include </w:t>
      </w:r>
      <w:r w:rsidR="00022F5E" w:rsidRPr="00610904">
        <w:rPr>
          <w:noProof w:val="0"/>
          <w:szCs w:val="20"/>
          <w:lang w:val="en-US"/>
        </w:rPr>
        <w:t>CAA</w:t>
      </w:r>
      <w:r w:rsidR="009F3D78" w:rsidRPr="00610904">
        <w:rPr>
          <w:noProof w:val="0"/>
          <w:szCs w:val="20"/>
          <w:lang w:val="en-US"/>
        </w:rPr>
        <w:t xml:space="preserve"> and </w:t>
      </w:r>
      <w:r w:rsidR="00022F5E" w:rsidRPr="00610904">
        <w:rPr>
          <w:noProof w:val="0"/>
          <w:szCs w:val="20"/>
          <w:lang w:val="en-US"/>
        </w:rPr>
        <w:t>EOQ</w:t>
      </w:r>
      <w:r w:rsidR="00B45E43" w:rsidRPr="00610904">
        <w:rPr>
          <w:noProof w:val="0"/>
          <w:szCs w:val="20"/>
          <w:lang w:val="en-US"/>
        </w:rPr>
        <w:t>.</w:t>
      </w:r>
      <w:r w:rsidR="00022F5E" w:rsidRPr="00610904">
        <w:rPr>
          <w:rStyle w:val="FootnoteReference"/>
          <w:rFonts w:eastAsia="Calibri"/>
          <w:noProof w:val="0"/>
          <w:lang w:val="en-US"/>
        </w:rPr>
        <w:footnoteReference w:id="115"/>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July 25,</w:t>
      </w:r>
      <w:r w:rsidR="00022F5E" w:rsidRPr="00610904">
        <w:rPr>
          <w:noProof w:val="0"/>
          <w:szCs w:val="20"/>
          <w:lang w:val="en-US"/>
        </w:rPr>
        <w:t xml:space="preserve"> 2001, </w:t>
      </w:r>
      <w:r w:rsidR="00855C2E" w:rsidRPr="00610904">
        <w:rPr>
          <w:noProof w:val="0"/>
          <w:szCs w:val="20"/>
          <w:lang w:val="en-US"/>
        </w:rPr>
        <w:t xml:space="preserve">in answer to a request presented by </w:t>
      </w:r>
      <w:r w:rsidR="00022F5E" w:rsidRPr="00610904">
        <w:rPr>
          <w:noProof w:val="0"/>
          <w:szCs w:val="20"/>
          <w:lang w:val="en-US"/>
        </w:rPr>
        <w:t>PMT</w:t>
      </w:r>
      <w:r w:rsidR="009F3D78" w:rsidRPr="00610904">
        <w:rPr>
          <w:noProof w:val="0"/>
          <w:szCs w:val="20"/>
          <w:lang w:val="en-US"/>
        </w:rPr>
        <w:t xml:space="preserve"> and </w:t>
      </w:r>
      <w:r w:rsidR="00022F5E" w:rsidRPr="00610904">
        <w:rPr>
          <w:noProof w:val="0"/>
          <w:szCs w:val="20"/>
          <w:lang w:val="en-US"/>
        </w:rPr>
        <w:t>BRR</w:t>
      </w:r>
      <w:r w:rsidR="00855C2E" w:rsidRPr="00610904">
        <w:rPr>
          <w:noProof w:val="0"/>
          <w:szCs w:val="20"/>
          <w:lang w:val="en-US"/>
        </w:rPr>
        <w:t>,</w:t>
      </w:r>
      <w:r w:rsidR="00022F5E" w:rsidRPr="00610904">
        <w:rPr>
          <w:rStyle w:val="FootnoteReference"/>
          <w:noProof w:val="0"/>
          <w:lang w:val="en-US"/>
        </w:rPr>
        <w:footnoteReference w:id="116"/>
      </w:r>
      <w:r w:rsidR="00022F5E" w:rsidRPr="00610904">
        <w:rPr>
          <w:noProof w:val="0"/>
          <w:szCs w:val="20"/>
          <w:lang w:val="en-US"/>
        </w:rPr>
        <w:t xml:space="preserve"> </w:t>
      </w:r>
      <w:r w:rsidRPr="00610904">
        <w:rPr>
          <w:noProof w:val="0"/>
          <w:szCs w:val="20"/>
          <w:lang w:val="en-US"/>
        </w:rPr>
        <w:t>the Fourth Court</w:t>
      </w:r>
      <w:r w:rsidR="00855C2E" w:rsidRPr="00610904">
        <w:rPr>
          <w:noProof w:val="0"/>
          <w:szCs w:val="20"/>
          <w:lang w:val="en-US"/>
        </w:rPr>
        <w:t xml:space="preserve"> declared that the</w:t>
      </w:r>
      <w:r w:rsidR="00022F5E" w:rsidRPr="00610904">
        <w:rPr>
          <w:noProof w:val="0"/>
          <w:szCs w:val="20"/>
          <w:lang w:val="en-US"/>
        </w:rPr>
        <w:t xml:space="preserve"> “</w:t>
      </w:r>
      <w:r w:rsidR="00855C2E" w:rsidRPr="00610904">
        <w:rPr>
          <w:noProof w:val="0"/>
          <w:szCs w:val="20"/>
          <w:lang w:val="en-US"/>
        </w:rPr>
        <w:t>private charges had been abandoned, because they had ceased for 30 days” and decided to “separate the person bringing the charges from the […] case definitively, and that the case would continue to be heard with the intervention of the Public Prosecution Service.</w:t>
      </w:r>
      <w:r w:rsidR="00022F5E" w:rsidRPr="00610904">
        <w:rPr>
          <w:noProof w:val="0"/>
          <w:szCs w:val="20"/>
          <w:lang w:val="en-US"/>
        </w:rPr>
        <w:t>”</w:t>
      </w:r>
      <w:r w:rsidR="00022F5E" w:rsidRPr="00610904">
        <w:rPr>
          <w:rStyle w:val="FootnoteReference"/>
          <w:rFonts w:eastAsia="Calibri"/>
          <w:noProof w:val="0"/>
          <w:lang w:val="en-US"/>
        </w:rPr>
        <w:footnoteReference w:id="117"/>
      </w:r>
      <w:r w:rsidR="00855C2E" w:rsidRPr="00610904">
        <w:rPr>
          <w:noProof w:val="0"/>
          <w:szCs w:val="20"/>
          <w:lang w:val="en-US"/>
        </w:rPr>
        <w:t xml:space="preserve"> On July 29, </w:t>
      </w:r>
      <w:r w:rsidR="00022F5E" w:rsidRPr="00610904">
        <w:rPr>
          <w:noProof w:val="0"/>
          <w:szCs w:val="20"/>
          <w:lang w:val="en-US"/>
        </w:rPr>
        <w:t>2001</w:t>
      </w:r>
      <w:r w:rsidR="00855C2E" w:rsidRPr="00610904">
        <w:rPr>
          <w:noProof w:val="0"/>
          <w:szCs w:val="20"/>
          <w:lang w:val="en-US"/>
        </w:rPr>
        <w:t>,</w:t>
      </w:r>
      <w:r w:rsidR="00022F5E" w:rsidRPr="00610904">
        <w:rPr>
          <w:noProof w:val="0"/>
          <w:szCs w:val="20"/>
          <w:lang w:val="en-US"/>
        </w:rPr>
        <w:t xml:space="preserve"> Teresa Lluy </w:t>
      </w:r>
      <w:r w:rsidR="00855C2E" w:rsidRPr="00610904">
        <w:rPr>
          <w:noProof w:val="0"/>
          <w:szCs w:val="20"/>
          <w:lang w:val="en-US"/>
        </w:rPr>
        <w:t xml:space="preserve">requested the annulment of this decision and, on July 31, 2001, </w:t>
      </w:r>
      <w:r w:rsidRPr="00610904">
        <w:rPr>
          <w:noProof w:val="0"/>
          <w:szCs w:val="20"/>
          <w:lang w:val="en-US"/>
        </w:rPr>
        <w:t>the Fourth Court</w:t>
      </w:r>
      <w:r w:rsidR="00022F5E" w:rsidRPr="00610904">
        <w:rPr>
          <w:noProof w:val="0"/>
          <w:szCs w:val="20"/>
          <w:lang w:val="en-US"/>
        </w:rPr>
        <w:t xml:space="preserve"> </w:t>
      </w:r>
      <w:r w:rsidR="00855C2E" w:rsidRPr="00610904">
        <w:rPr>
          <w:noProof w:val="0"/>
          <w:szCs w:val="20"/>
          <w:lang w:val="en-US"/>
        </w:rPr>
        <w:t>rejected her applica</w:t>
      </w:r>
      <w:r w:rsidR="005E10C6" w:rsidRPr="00610904">
        <w:rPr>
          <w:noProof w:val="0"/>
          <w:szCs w:val="20"/>
          <w:lang w:val="en-US"/>
        </w:rPr>
        <w:t>tion indicated that it was “in</w:t>
      </w:r>
      <w:r w:rsidR="00855C2E" w:rsidRPr="00610904">
        <w:rPr>
          <w:noProof w:val="0"/>
          <w:szCs w:val="20"/>
          <w:lang w:val="en-US"/>
        </w:rPr>
        <w:t>admissible.”</w:t>
      </w:r>
      <w:r w:rsidR="00022F5E" w:rsidRPr="00610904">
        <w:rPr>
          <w:rStyle w:val="FootnoteReference"/>
          <w:rFonts w:eastAsia="Calibri"/>
          <w:noProof w:val="0"/>
          <w:lang w:val="en-US"/>
        </w:rPr>
        <w:footnoteReference w:id="118"/>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August 9,</w:t>
      </w:r>
      <w:r w:rsidR="00022F5E" w:rsidRPr="00610904">
        <w:rPr>
          <w:noProof w:val="0"/>
          <w:szCs w:val="20"/>
          <w:lang w:val="en-US"/>
        </w:rPr>
        <w:t xml:space="preserve"> 2001</w:t>
      </w:r>
      <w:r w:rsidR="00855C2E" w:rsidRPr="00610904">
        <w:rPr>
          <w:noProof w:val="0"/>
          <w:szCs w:val="20"/>
          <w:lang w:val="en-US"/>
        </w:rPr>
        <w:t xml:space="preserve">, the case file was given to the Azuay District Prosecutor </w:t>
      </w:r>
      <w:r w:rsidR="00022F5E" w:rsidRPr="00610904">
        <w:rPr>
          <w:noProof w:val="0"/>
          <w:szCs w:val="20"/>
          <w:lang w:val="en-US"/>
        </w:rPr>
        <w:t>(</w:t>
      </w:r>
      <w:r w:rsidR="009F3D78" w:rsidRPr="00610904">
        <w:rPr>
          <w:noProof w:val="0"/>
          <w:szCs w:val="20"/>
          <w:lang w:val="en-US"/>
        </w:rPr>
        <w:t>hereinafter</w:t>
      </w:r>
      <w:r w:rsidR="00022F5E" w:rsidRPr="00610904">
        <w:rPr>
          <w:noProof w:val="0"/>
          <w:szCs w:val="20"/>
          <w:lang w:val="en-US"/>
        </w:rPr>
        <w:t xml:space="preserve"> “</w:t>
      </w:r>
      <w:r w:rsidRPr="00610904">
        <w:rPr>
          <w:noProof w:val="0"/>
          <w:szCs w:val="20"/>
          <w:lang w:val="en-US"/>
        </w:rPr>
        <w:t>the District Prosecutor</w:t>
      </w:r>
      <w:r w:rsidR="00022F5E" w:rsidRPr="00610904">
        <w:rPr>
          <w:noProof w:val="0"/>
          <w:szCs w:val="20"/>
          <w:lang w:val="en-US"/>
        </w:rPr>
        <w:t>”)</w:t>
      </w:r>
      <w:r w:rsidR="00855C2E" w:rsidRPr="00610904">
        <w:rPr>
          <w:noProof w:val="0"/>
          <w:szCs w:val="20"/>
          <w:lang w:val="en-US"/>
        </w:rPr>
        <w:t>, who had asked for it in order to examine it. On August 22, 2001,</w:t>
      </w:r>
      <w:r w:rsidR="00022F5E" w:rsidRPr="00610904">
        <w:rPr>
          <w:noProof w:val="0"/>
          <w:szCs w:val="20"/>
          <w:lang w:val="en-US"/>
        </w:rPr>
        <w:t xml:space="preserve"> </w:t>
      </w:r>
      <w:r w:rsidRPr="00610904">
        <w:rPr>
          <w:noProof w:val="0"/>
          <w:szCs w:val="20"/>
          <w:lang w:val="en-US"/>
        </w:rPr>
        <w:t>the District Prosecutor</w:t>
      </w:r>
      <w:r w:rsidR="00022F5E" w:rsidRPr="00610904">
        <w:rPr>
          <w:noProof w:val="0"/>
          <w:szCs w:val="20"/>
          <w:lang w:val="en-US"/>
        </w:rPr>
        <w:t xml:space="preserve"> </w:t>
      </w:r>
      <w:r w:rsidR="00855C2E" w:rsidRPr="00610904">
        <w:rPr>
          <w:noProof w:val="0"/>
          <w:szCs w:val="20"/>
          <w:lang w:val="en-US"/>
        </w:rPr>
        <w:t>asked the</w:t>
      </w:r>
      <w:r w:rsidR="00022F5E" w:rsidRPr="00610904">
        <w:rPr>
          <w:noProof w:val="0"/>
          <w:szCs w:val="20"/>
          <w:lang w:val="en-US"/>
        </w:rPr>
        <w:t xml:space="preserve"> </w:t>
      </w:r>
      <w:r w:rsidRPr="00610904">
        <w:rPr>
          <w:noProof w:val="0"/>
          <w:szCs w:val="20"/>
          <w:lang w:val="en-US"/>
        </w:rPr>
        <w:t>Fourth Court</w:t>
      </w:r>
      <w:r w:rsidR="00022F5E" w:rsidRPr="00610904">
        <w:rPr>
          <w:noProof w:val="0"/>
          <w:szCs w:val="20"/>
          <w:lang w:val="en-US"/>
        </w:rPr>
        <w:t xml:space="preserve"> </w:t>
      </w:r>
      <w:r w:rsidR="00855C2E" w:rsidRPr="00610904">
        <w:rPr>
          <w:noProof w:val="0"/>
          <w:szCs w:val="20"/>
          <w:lang w:val="en-US"/>
        </w:rPr>
        <w:t>to carry out some “procedural act</w:t>
      </w:r>
      <w:r w:rsidR="005E10C6" w:rsidRPr="00610904">
        <w:rPr>
          <w:noProof w:val="0"/>
          <w:szCs w:val="20"/>
          <w:lang w:val="en-US"/>
        </w:rPr>
        <w:t>s</w:t>
      </w:r>
      <w:r w:rsidR="00855C2E" w:rsidRPr="00610904">
        <w:rPr>
          <w:noProof w:val="0"/>
          <w:szCs w:val="20"/>
          <w:lang w:val="en-US"/>
        </w:rPr>
        <w:t>” that he considered “essential.</w:t>
      </w:r>
      <w:r w:rsidR="00022F5E" w:rsidRPr="00610904">
        <w:rPr>
          <w:noProof w:val="0"/>
          <w:szCs w:val="20"/>
          <w:lang w:val="en-US"/>
        </w:rPr>
        <w:t>”</w:t>
      </w:r>
      <w:r w:rsidR="00022F5E" w:rsidRPr="00610904">
        <w:rPr>
          <w:rStyle w:val="FootnoteReference"/>
          <w:rFonts w:eastAsia="Calibri"/>
          <w:noProof w:val="0"/>
          <w:lang w:val="en-US"/>
        </w:rPr>
        <w:footnoteReference w:id="119"/>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noProof w:val="0"/>
          <w:szCs w:val="20"/>
          <w:lang w:val="en-US"/>
        </w:rPr>
        <w:t>On September 23,</w:t>
      </w:r>
      <w:r w:rsidR="00022F5E" w:rsidRPr="00610904">
        <w:rPr>
          <w:noProof w:val="0"/>
          <w:szCs w:val="20"/>
          <w:lang w:val="en-US"/>
        </w:rPr>
        <w:t xml:space="preserve"> 2001</w:t>
      </w:r>
      <w:r w:rsidRPr="00610904">
        <w:rPr>
          <w:noProof w:val="0"/>
          <w:szCs w:val="20"/>
          <w:lang w:val="en-US"/>
        </w:rPr>
        <w:t>,</w:t>
      </w:r>
      <w:r w:rsidR="00022F5E" w:rsidRPr="00610904">
        <w:rPr>
          <w:noProof w:val="0"/>
          <w:szCs w:val="20"/>
          <w:lang w:val="en-US"/>
        </w:rPr>
        <w:t xml:space="preserve"> </w:t>
      </w:r>
      <w:r w:rsidRPr="00610904">
        <w:rPr>
          <w:noProof w:val="0"/>
          <w:szCs w:val="20"/>
          <w:lang w:val="en-US"/>
        </w:rPr>
        <w:t>the District Prosecutor</w:t>
      </w:r>
      <w:r w:rsidR="00022F5E" w:rsidRPr="00610904">
        <w:rPr>
          <w:noProof w:val="0"/>
          <w:szCs w:val="20"/>
          <w:lang w:val="en-US"/>
        </w:rPr>
        <w:t xml:space="preserve"> </w:t>
      </w:r>
      <w:r w:rsidR="00855C2E" w:rsidRPr="00610904">
        <w:rPr>
          <w:noProof w:val="0"/>
          <w:szCs w:val="20"/>
          <w:lang w:val="en-US"/>
        </w:rPr>
        <w:t xml:space="preserve">issued the prosecutor’s report in which he analyzed the documentary, expert and testimonial evidence, and brought charges against </w:t>
      </w:r>
      <w:r w:rsidR="00022F5E" w:rsidRPr="00610904">
        <w:rPr>
          <w:noProof w:val="0"/>
          <w:szCs w:val="20"/>
          <w:lang w:val="en-US"/>
        </w:rPr>
        <w:t xml:space="preserve">MRR </w:t>
      </w:r>
      <w:r w:rsidR="00855C2E" w:rsidRPr="00610904">
        <w:rPr>
          <w:noProof w:val="0"/>
          <w:szCs w:val="20"/>
          <w:lang w:val="en-US"/>
        </w:rPr>
        <w:t>as author of the offense defined in a</w:t>
      </w:r>
      <w:r w:rsidR="009F3D78" w:rsidRPr="00610904">
        <w:rPr>
          <w:noProof w:val="0"/>
          <w:szCs w:val="20"/>
          <w:lang w:val="en-US"/>
        </w:rPr>
        <w:t>rticle</w:t>
      </w:r>
      <w:r w:rsidR="00022F5E" w:rsidRPr="00610904">
        <w:rPr>
          <w:noProof w:val="0"/>
          <w:szCs w:val="20"/>
          <w:lang w:val="en-US"/>
        </w:rPr>
        <w:t xml:space="preserve"> 436</w:t>
      </w:r>
      <w:r w:rsidR="00022F5E" w:rsidRPr="00610904">
        <w:rPr>
          <w:rStyle w:val="FootnoteReference"/>
          <w:noProof w:val="0"/>
          <w:lang w:val="en-US"/>
        </w:rPr>
        <w:footnoteReference w:id="120"/>
      </w:r>
      <w:r w:rsidR="00022F5E" w:rsidRPr="00610904">
        <w:rPr>
          <w:noProof w:val="0"/>
          <w:szCs w:val="20"/>
          <w:lang w:val="en-US"/>
        </w:rPr>
        <w:t xml:space="preserve"> </w:t>
      </w:r>
      <w:r w:rsidRPr="00610904">
        <w:rPr>
          <w:noProof w:val="0"/>
          <w:szCs w:val="20"/>
          <w:lang w:val="en-US"/>
        </w:rPr>
        <w:t>of the Criminal Code</w:t>
      </w:r>
      <w:r w:rsidR="00022F5E" w:rsidRPr="00610904">
        <w:rPr>
          <w:noProof w:val="0"/>
          <w:szCs w:val="20"/>
          <w:lang w:val="en-US"/>
        </w:rPr>
        <w:t xml:space="preserve">. </w:t>
      </w:r>
      <w:r w:rsidR="00855C2E" w:rsidRPr="00610904">
        <w:rPr>
          <w:noProof w:val="0"/>
          <w:szCs w:val="20"/>
          <w:lang w:val="en-US"/>
        </w:rPr>
        <w:t xml:space="preserve">He also brought charges against </w:t>
      </w:r>
      <w:r w:rsidR="00022F5E" w:rsidRPr="00610904">
        <w:rPr>
          <w:noProof w:val="0"/>
          <w:szCs w:val="20"/>
          <w:lang w:val="en-US"/>
        </w:rPr>
        <w:t>PMT</w:t>
      </w:r>
      <w:r w:rsidR="009F3D78" w:rsidRPr="00610904">
        <w:rPr>
          <w:noProof w:val="0"/>
          <w:szCs w:val="20"/>
          <w:lang w:val="en-US"/>
        </w:rPr>
        <w:t xml:space="preserve"> and </w:t>
      </w:r>
      <w:r w:rsidR="00022F5E" w:rsidRPr="00610904">
        <w:rPr>
          <w:noProof w:val="0"/>
          <w:szCs w:val="20"/>
          <w:lang w:val="en-US"/>
        </w:rPr>
        <w:t xml:space="preserve">EOQ </w:t>
      </w:r>
      <w:r w:rsidR="00855C2E" w:rsidRPr="00610904">
        <w:rPr>
          <w:noProof w:val="0"/>
          <w:szCs w:val="20"/>
          <w:lang w:val="en-US"/>
        </w:rPr>
        <w:t>for concealment of this offense. Among his conclusions, the Prosecutor indicated:</w:t>
      </w:r>
    </w:p>
    <w:p w:rsidR="00022F5E" w:rsidRPr="00610904" w:rsidRDefault="00022F5E" w:rsidP="00610904">
      <w:pPr>
        <w:ind w:left="720"/>
        <w:rPr>
          <w:noProof w:val="0"/>
          <w:szCs w:val="20"/>
          <w:lang w:val="en-US"/>
        </w:rPr>
      </w:pPr>
    </w:p>
    <w:p w:rsidR="00022F5E" w:rsidRPr="00610904" w:rsidRDefault="00022F5E" w:rsidP="00610904">
      <w:pPr>
        <w:ind w:left="720" w:right="475"/>
        <w:rPr>
          <w:noProof w:val="0"/>
          <w:sz w:val="16"/>
          <w:szCs w:val="20"/>
          <w:lang w:val="en-US"/>
        </w:rPr>
      </w:pPr>
      <w:r w:rsidRPr="00610904">
        <w:rPr>
          <w:noProof w:val="0"/>
          <w:sz w:val="16"/>
          <w:szCs w:val="20"/>
          <w:lang w:val="en-US"/>
        </w:rPr>
        <w:lastRenderedPageBreak/>
        <w:t>“</w:t>
      </w:r>
      <w:r w:rsidR="005E10C6" w:rsidRPr="00610904">
        <w:rPr>
          <w:noProof w:val="0"/>
          <w:sz w:val="16"/>
          <w:szCs w:val="20"/>
          <w:lang w:val="en-US"/>
        </w:rPr>
        <w:t xml:space="preserve">That </w:t>
      </w:r>
      <w:r w:rsidR="00855C2E" w:rsidRPr="00610904">
        <w:rPr>
          <w:noProof w:val="0"/>
          <w:sz w:val="16"/>
          <w:szCs w:val="20"/>
          <w:lang w:val="en-US"/>
        </w:rPr>
        <w:t xml:space="preserve">it has been proved </w:t>
      </w:r>
      <w:r w:rsidR="005E10C6" w:rsidRPr="00610904">
        <w:rPr>
          <w:noProof w:val="0"/>
          <w:sz w:val="16"/>
          <w:szCs w:val="20"/>
          <w:lang w:val="en-US"/>
        </w:rPr>
        <w:t xml:space="preserve">conclusively </w:t>
      </w:r>
      <w:r w:rsidR="00855C2E" w:rsidRPr="00610904">
        <w:rPr>
          <w:noProof w:val="0"/>
          <w:sz w:val="16"/>
          <w:szCs w:val="20"/>
          <w:lang w:val="en-US"/>
        </w:rPr>
        <w:t xml:space="preserve">that the minor </w:t>
      </w:r>
      <w:r w:rsidRPr="00610904">
        <w:rPr>
          <w:noProof w:val="0"/>
          <w:sz w:val="16"/>
          <w:szCs w:val="20"/>
          <w:lang w:val="en-US"/>
        </w:rPr>
        <w:t xml:space="preserve">[Talía] </w:t>
      </w:r>
      <w:r w:rsidR="00855C2E" w:rsidRPr="00610904">
        <w:rPr>
          <w:noProof w:val="0"/>
          <w:sz w:val="16"/>
          <w:szCs w:val="20"/>
          <w:lang w:val="en-US"/>
        </w:rPr>
        <w:t xml:space="preserve">was infected by the </w:t>
      </w:r>
      <w:r w:rsidR="00856968" w:rsidRPr="00610904">
        <w:rPr>
          <w:noProof w:val="0"/>
          <w:sz w:val="16"/>
          <w:szCs w:val="20"/>
          <w:lang w:val="en-US"/>
        </w:rPr>
        <w:t>blood</w:t>
      </w:r>
      <w:r w:rsidR="00855C2E" w:rsidRPr="00610904">
        <w:rPr>
          <w:noProof w:val="0"/>
          <w:sz w:val="16"/>
          <w:szCs w:val="20"/>
          <w:lang w:val="en-US"/>
        </w:rPr>
        <w:t xml:space="preserve"> of the donor </w:t>
      </w:r>
      <w:r w:rsidRPr="00610904">
        <w:rPr>
          <w:noProof w:val="0"/>
          <w:sz w:val="16"/>
          <w:szCs w:val="20"/>
          <w:lang w:val="en-US"/>
        </w:rPr>
        <w:t xml:space="preserve">[HSA] </w:t>
      </w:r>
      <w:r w:rsidR="00855C2E" w:rsidRPr="00610904">
        <w:rPr>
          <w:noProof w:val="0"/>
          <w:sz w:val="16"/>
          <w:szCs w:val="20"/>
          <w:lang w:val="en-US"/>
        </w:rPr>
        <w:t xml:space="preserve">due to the </w:t>
      </w:r>
      <w:r w:rsidR="005E10C6" w:rsidRPr="00610904">
        <w:rPr>
          <w:noProof w:val="0"/>
          <w:sz w:val="16"/>
          <w:szCs w:val="20"/>
          <w:lang w:val="en-US"/>
        </w:rPr>
        <w:t>handing over</w:t>
      </w:r>
      <w:r w:rsidR="00855C2E" w:rsidRPr="00610904">
        <w:rPr>
          <w:noProof w:val="0"/>
          <w:sz w:val="16"/>
          <w:szCs w:val="20"/>
          <w:lang w:val="en-US"/>
        </w:rPr>
        <w:t xml:space="preserve"> of this blood, admitted by the accused </w:t>
      </w:r>
      <w:r w:rsidRPr="00610904">
        <w:rPr>
          <w:noProof w:val="0"/>
          <w:sz w:val="16"/>
          <w:szCs w:val="20"/>
          <w:lang w:val="en-US"/>
        </w:rPr>
        <w:t xml:space="preserve">[MRR]. </w:t>
      </w:r>
      <w:r w:rsidR="00855C2E" w:rsidRPr="00610904">
        <w:rPr>
          <w:noProof w:val="0"/>
          <w:sz w:val="16"/>
          <w:szCs w:val="20"/>
          <w:lang w:val="en-US"/>
        </w:rPr>
        <w:t xml:space="preserve">That, when making the donation, the donor [HSA] was unaware that he had HIV </w:t>
      </w:r>
      <w:r w:rsidRPr="00610904">
        <w:rPr>
          <w:noProof w:val="0"/>
          <w:sz w:val="16"/>
          <w:szCs w:val="20"/>
          <w:lang w:val="en-US"/>
        </w:rPr>
        <w:t>[…]</w:t>
      </w:r>
      <w:r w:rsidR="00855C2E" w:rsidRPr="00610904">
        <w:rPr>
          <w:noProof w:val="0"/>
          <w:sz w:val="16"/>
          <w:szCs w:val="20"/>
          <w:lang w:val="en-US"/>
        </w:rPr>
        <w:t>.</w:t>
      </w:r>
    </w:p>
    <w:p w:rsidR="00022F5E" w:rsidRPr="00610904" w:rsidRDefault="00022F5E" w:rsidP="00610904">
      <w:pPr>
        <w:ind w:left="720" w:right="475"/>
        <w:rPr>
          <w:noProof w:val="0"/>
          <w:sz w:val="16"/>
          <w:szCs w:val="20"/>
          <w:lang w:val="en-US"/>
        </w:rPr>
      </w:pPr>
    </w:p>
    <w:p w:rsidR="00022F5E" w:rsidRPr="00610904" w:rsidRDefault="00855C2E" w:rsidP="00610904">
      <w:pPr>
        <w:ind w:left="720" w:right="475"/>
        <w:rPr>
          <w:noProof w:val="0"/>
          <w:sz w:val="16"/>
          <w:szCs w:val="20"/>
          <w:lang w:val="en-US"/>
        </w:rPr>
      </w:pPr>
      <w:r w:rsidRPr="00610904">
        <w:rPr>
          <w:noProof w:val="0"/>
          <w:sz w:val="16"/>
          <w:szCs w:val="20"/>
          <w:lang w:val="en-US"/>
        </w:rPr>
        <w:t xml:space="preserve">The nursing assistant </w:t>
      </w:r>
      <w:r w:rsidR="00A8072E" w:rsidRPr="00610904">
        <w:rPr>
          <w:noProof w:val="0"/>
          <w:sz w:val="16"/>
          <w:szCs w:val="20"/>
          <w:lang w:val="en-US"/>
        </w:rPr>
        <w:t xml:space="preserve">of the </w:t>
      </w:r>
      <w:r w:rsidR="00C44085" w:rsidRPr="00610904">
        <w:rPr>
          <w:noProof w:val="0"/>
          <w:sz w:val="16"/>
          <w:szCs w:val="20"/>
          <w:lang w:val="en-US"/>
        </w:rPr>
        <w:t>Red Cross Blood Bank</w:t>
      </w:r>
      <w:r w:rsidR="00022F5E" w:rsidRPr="00610904">
        <w:rPr>
          <w:noProof w:val="0"/>
          <w:sz w:val="16"/>
          <w:szCs w:val="20"/>
          <w:lang w:val="en-US"/>
        </w:rPr>
        <w:t xml:space="preserve"> </w:t>
      </w:r>
      <w:r w:rsidRPr="00610904">
        <w:rPr>
          <w:noProof w:val="0"/>
          <w:sz w:val="16"/>
          <w:szCs w:val="20"/>
          <w:lang w:val="en-US"/>
        </w:rPr>
        <w:t>of</w:t>
      </w:r>
      <w:r w:rsidR="00022F5E" w:rsidRPr="00610904">
        <w:rPr>
          <w:noProof w:val="0"/>
          <w:sz w:val="16"/>
          <w:szCs w:val="20"/>
          <w:lang w:val="en-US"/>
        </w:rPr>
        <w:t xml:space="preserve"> Azuay, </w:t>
      </w:r>
      <w:r w:rsidRPr="00610904">
        <w:rPr>
          <w:noProof w:val="0"/>
          <w:sz w:val="16"/>
          <w:szCs w:val="20"/>
          <w:lang w:val="en-US"/>
        </w:rPr>
        <w:t>the accused</w:t>
      </w:r>
      <w:r w:rsidR="00022F5E" w:rsidRPr="00610904">
        <w:rPr>
          <w:noProof w:val="0"/>
          <w:sz w:val="16"/>
          <w:szCs w:val="20"/>
          <w:lang w:val="en-US"/>
        </w:rPr>
        <w:t xml:space="preserve"> [MRR], </w:t>
      </w:r>
      <w:r w:rsidRPr="00610904">
        <w:rPr>
          <w:noProof w:val="0"/>
          <w:sz w:val="16"/>
          <w:szCs w:val="20"/>
          <w:lang w:val="en-US"/>
        </w:rPr>
        <w:t xml:space="preserve">in her sole procedural statement, admit[ted] that it was she who handed over the blood and plasma on </w:t>
      </w:r>
      <w:r w:rsidR="00FD5407" w:rsidRPr="00610904">
        <w:rPr>
          <w:noProof w:val="0"/>
          <w:sz w:val="16"/>
          <w:szCs w:val="20"/>
          <w:lang w:val="en-US"/>
        </w:rPr>
        <w:t>June 22,</w:t>
      </w:r>
      <w:r w:rsidR="00022F5E" w:rsidRPr="00610904">
        <w:rPr>
          <w:noProof w:val="0"/>
          <w:sz w:val="16"/>
          <w:szCs w:val="20"/>
          <w:lang w:val="en-US"/>
        </w:rPr>
        <w:t xml:space="preserve"> 1998. </w:t>
      </w:r>
      <w:r w:rsidRPr="00610904">
        <w:rPr>
          <w:noProof w:val="0"/>
          <w:sz w:val="16"/>
          <w:szCs w:val="20"/>
          <w:lang w:val="en-US"/>
        </w:rPr>
        <w:t xml:space="preserve">However, she lied when indicating that she had conducted the serological tests. The accused, owing to carelessness, negligence, imprudence or failure to respect the basic routine of the laboratory, omitted the HIV test before handing over the blood and plasma from a donor infected with HIV – an infection that was verified 24 hours after the </w:t>
      </w:r>
      <w:r w:rsidR="00856968" w:rsidRPr="00610904">
        <w:rPr>
          <w:noProof w:val="0"/>
          <w:sz w:val="16"/>
          <w:szCs w:val="20"/>
          <w:lang w:val="en-US"/>
        </w:rPr>
        <w:t>transfusion</w:t>
      </w:r>
      <w:r w:rsidRPr="00610904">
        <w:rPr>
          <w:noProof w:val="0"/>
          <w:sz w:val="16"/>
          <w:szCs w:val="20"/>
          <w:lang w:val="en-US"/>
        </w:rPr>
        <w:t xml:space="preserve"> – </w:t>
      </w:r>
      <w:r w:rsidR="005E10C6" w:rsidRPr="00610904">
        <w:rPr>
          <w:noProof w:val="0"/>
          <w:sz w:val="16"/>
          <w:szCs w:val="20"/>
          <w:lang w:val="en-US"/>
        </w:rPr>
        <w:t>that</w:t>
      </w:r>
      <w:r w:rsidRPr="00610904">
        <w:rPr>
          <w:noProof w:val="0"/>
          <w:sz w:val="16"/>
          <w:szCs w:val="20"/>
          <w:lang w:val="en-US"/>
        </w:rPr>
        <w:t xml:space="preserve"> was handed over for the use of the minor [Talía]. The offenses of negligence and imprudence that can be attributed to the accused are established in the definition in the last paragraph of art. </w:t>
      </w:r>
      <w:proofErr w:type="gramStart"/>
      <w:r w:rsidR="00022F5E" w:rsidRPr="00610904">
        <w:rPr>
          <w:noProof w:val="0"/>
          <w:sz w:val="16"/>
          <w:szCs w:val="20"/>
          <w:lang w:val="en-US"/>
        </w:rPr>
        <w:t xml:space="preserve">14 </w:t>
      </w:r>
      <w:r w:rsidR="00653A30" w:rsidRPr="00610904">
        <w:rPr>
          <w:noProof w:val="0"/>
          <w:sz w:val="16"/>
          <w:szCs w:val="20"/>
          <w:lang w:val="en-US"/>
        </w:rPr>
        <w:t>of the Criminal Code</w:t>
      </w:r>
      <w:r w:rsidR="00022F5E" w:rsidRPr="00610904">
        <w:rPr>
          <w:noProof w:val="0"/>
          <w:sz w:val="16"/>
          <w:szCs w:val="20"/>
          <w:lang w:val="en-US"/>
        </w:rPr>
        <w:t>.</w:t>
      </w:r>
      <w:proofErr w:type="gramEnd"/>
      <w:r w:rsidR="00022F5E" w:rsidRPr="00610904">
        <w:rPr>
          <w:noProof w:val="0"/>
          <w:sz w:val="16"/>
          <w:szCs w:val="20"/>
          <w:lang w:val="en-US"/>
        </w:rPr>
        <w:t xml:space="preserve"> </w:t>
      </w:r>
    </w:p>
    <w:p w:rsidR="00022F5E" w:rsidRPr="00610904" w:rsidRDefault="00022F5E" w:rsidP="00610904">
      <w:pPr>
        <w:ind w:left="360" w:right="475"/>
        <w:rPr>
          <w:noProof w:val="0"/>
          <w:sz w:val="16"/>
          <w:szCs w:val="20"/>
          <w:lang w:val="en-US"/>
        </w:rPr>
      </w:pPr>
      <w:r w:rsidRPr="00610904">
        <w:rPr>
          <w:noProof w:val="0"/>
          <w:sz w:val="16"/>
          <w:szCs w:val="20"/>
          <w:lang w:val="en-US"/>
        </w:rPr>
        <w:tab/>
        <w:t>[…]</w:t>
      </w:r>
    </w:p>
    <w:p w:rsidR="00022F5E" w:rsidRPr="00610904" w:rsidRDefault="00022F5E" w:rsidP="00610904">
      <w:pPr>
        <w:ind w:left="360" w:right="475"/>
        <w:rPr>
          <w:noProof w:val="0"/>
          <w:sz w:val="16"/>
          <w:szCs w:val="20"/>
          <w:lang w:val="en-US"/>
        </w:rPr>
      </w:pPr>
    </w:p>
    <w:p w:rsidR="00022F5E" w:rsidRPr="00610904" w:rsidRDefault="00855C2E" w:rsidP="00610904">
      <w:pPr>
        <w:ind w:left="720" w:right="475"/>
        <w:rPr>
          <w:noProof w:val="0"/>
          <w:sz w:val="16"/>
          <w:szCs w:val="20"/>
          <w:lang w:val="en-US"/>
        </w:rPr>
      </w:pPr>
      <w:r w:rsidRPr="00610904">
        <w:rPr>
          <w:noProof w:val="0"/>
          <w:sz w:val="16"/>
          <w:szCs w:val="20"/>
          <w:lang w:val="en-US"/>
        </w:rPr>
        <w:t xml:space="preserve">The conduct of the accused </w:t>
      </w:r>
      <w:r w:rsidR="00022F5E" w:rsidRPr="00610904">
        <w:rPr>
          <w:noProof w:val="0"/>
          <w:sz w:val="16"/>
          <w:szCs w:val="20"/>
          <w:lang w:val="en-US"/>
        </w:rPr>
        <w:t>[PMT]</w:t>
      </w:r>
      <w:r w:rsidR="009F3D78" w:rsidRPr="00610904">
        <w:rPr>
          <w:noProof w:val="0"/>
          <w:sz w:val="16"/>
          <w:szCs w:val="20"/>
          <w:lang w:val="en-US"/>
        </w:rPr>
        <w:t xml:space="preserve"> and </w:t>
      </w:r>
      <w:r w:rsidR="00022F5E" w:rsidRPr="00610904">
        <w:rPr>
          <w:noProof w:val="0"/>
          <w:sz w:val="16"/>
          <w:szCs w:val="20"/>
          <w:lang w:val="en-US"/>
        </w:rPr>
        <w:t>[EOQ]</w:t>
      </w:r>
      <w:r w:rsidRPr="00610904">
        <w:rPr>
          <w:noProof w:val="0"/>
          <w:sz w:val="16"/>
          <w:szCs w:val="20"/>
          <w:lang w:val="en-US"/>
        </w:rPr>
        <w:t xml:space="preserve"> identifies them, in the context of the evidence from the preliminary investigation, as accessories to the offense that has been proved. Their presumed guilt is proved unquestionably by their repeated lies.</w:t>
      </w:r>
    </w:p>
    <w:p w:rsidR="00022F5E" w:rsidRPr="00610904" w:rsidRDefault="00022F5E" w:rsidP="00610904">
      <w:pPr>
        <w:ind w:left="720" w:right="475"/>
        <w:rPr>
          <w:noProof w:val="0"/>
          <w:sz w:val="16"/>
          <w:szCs w:val="20"/>
          <w:lang w:val="en-US"/>
        </w:rPr>
      </w:pPr>
      <w:r w:rsidRPr="00610904">
        <w:rPr>
          <w:noProof w:val="0"/>
          <w:sz w:val="16"/>
          <w:szCs w:val="20"/>
          <w:lang w:val="en-US"/>
        </w:rPr>
        <w:t>[…]</w:t>
      </w:r>
    </w:p>
    <w:p w:rsidR="00022F5E" w:rsidRPr="00610904" w:rsidRDefault="00022F5E" w:rsidP="00610904">
      <w:pPr>
        <w:ind w:left="720" w:right="475"/>
        <w:rPr>
          <w:noProof w:val="0"/>
          <w:sz w:val="16"/>
          <w:szCs w:val="20"/>
          <w:lang w:val="en-US"/>
        </w:rPr>
      </w:pPr>
    </w:p>
    <w:p w:rsidR="00022F5E" w:rsidRPr="00610904" w:rsidRDefault="00855C2E" w:rsidP="00610904">
      <w:pPr>
        <w:ind w:left="720" w:right="475"/>
        <w:rPr>
          <w:noProof w:val="0"/>
          <w:szCs w:val="20"/>
          <w:lang w:val="en-US"/>
        </w:rPr>
      </w:pPr>
      <w:r w:rsidRPr="00610904">
        <w:rPr>
          <w:noProof w:val="0"/>
          <w:sz w:val="16"/>
          <w:szCs w:val="20"/>
          <w:lang w:val="en-US"/>
        </w:rPr>
        <w:t xml:space="preserve">Against the accused </w:t>
      </w:r>
      <w:r w:rsidR="00022F5E" w:rsidRPr="00610904">
        <w:rPr>
          <w:noProof w:val="0"/>
          <w:sz w:val="16"/>
          <w:szCs w:val="20"/>
          <w:lang w:val="en-US"/>
        </w:rPr>
        <w:t>[CAA]</w:t>
      </w:r>
      <w:r w:rsidR="009F3D78" w:rsidRPr="00610904">
        <w:rPr>
          <w:noProof w:val="0"/>
          <w:sz w:val="16"/>
          <w:szCs w:val="20"/>
          <w:lang w:val="en-US"/>
        </w:rPr>
        <w:t xml:space="preserve"> and </w:t>
      </w:r>
      <w:r w:rsidR="00022F5E" w:rsidRPr="00610904">
        <w:rPr>
          <w:noProof w:val="0"/>
          <w:sz w:val="16"/>
          <w:szCs w:val="20"/>
          <w:lang w:val="en-US"/>
        </w:rPr>
        <w:t xml:space="preserve">[BRR] </w:t>
      </w:r>
      <w:r w:rsidRPr="00610904">
        <w:rPr>
          <w:noProof w:val="0"/>
          <w:sz w:val="16"/>
          <w:szCs w:val="20"/>
          <w:lang w:val="en-US"/>
        </w:rPr>
        <w:t>[he did] not find any procedural information related to any act or omission to classify their conduct at any level of criminal participation.</w:t>
      </w:r>
      <w:r w:rsidR="00022F5E" w:rsidRPr="00610904">
        <w:rPr>
          <w:noProof w:val="0"/>
          <w:sz w:val="16"/>
          <w:szCs w:val="20"/>
          <w:lang w:val="en-US"/>
        </w:rPr>
        <w:t>”</w:t>
      </w:r>
      <w:r w:rsidR="00022F5E" w:rsidRPr="00610904">
        <w:rPr>
          <w:rStyle w:val="FootnoteReference"/>
          <w:rFonts w:eastAsia="Calibri"/>
          <w:noProof w:val="0"/>
          <w:sz w:val="16"/>
          <w:lang w:val="en-US"/>
        </w:rPr>
        <w:footnoteReference w:id="121"/>
      </w:r>
      <w:r w:rsidR="00022F5E" w:rsidRPr="00610904">
        <w:rPr>
          <w:noProof w:val="0"/>
          <w:sz w:val="16"/>
          <w:szCs w:val="20"/>
          <w:lang w:val="en-US"/>
        </w:rPr>
        <w:t xml:space="preserve"> </w:t>
      </w:r>
    </w:p>
    <w:p w:rsidR="00022F5E" w:rsidRPr="00610904" w:rsidRDefault="00022F5E" w:rsidP="00610904">
      <w:pPr>
        <w:rPr>
          <w:noProof w:val="0"/>
          <w:szCs w:val="20"/>
          <w:lang w:val="en-US"/>
        </w:rPr>
      </w:pPr>
    </w:p>
    <w:p w:rsidR="00022F5E" w:rsidRPr="00610904" w:rsidRDefault="00653A30" w:rsidP="00610904">
      <w:pPr>
        <w:numPr>
          <w:ilvl w:val="0"/>
          <w:numId w:val="1"/>
        </w:numPr>
        <w:rPr>
          <w:noProof w:val="0"/>
          <w:lang w:val="en-US"/>
        </w:rPr>
      </w:pPr>
      <w:r w:rsidRPr="00610904">
        <w:rPr>
          <w:rFonts w:cs="Arial"/>
          <w:noProof w:val="0"/>
          <w:szCs w:val="20"/>
          <w:lang w:val="en-US"/>
        </w:rPr>
        <w:t xml:space="preserve">On October 29, </w:t>
      </w:r>
      <w:r w:rsidR="00022F5E" w:rsidRPr="00610904">
        <w:rPr>
          <w:rFonts w:cs="Arial"/>
          <w:noProof w:val="0"/>
          <w:szCs w:val="20"/>
          <w:lang w:val="en-US"/>
        </w:rPr>
        <w:t xml:space="preserve">2001, </w:t>
      </w:r>
      <w:r w:rsidRPr="00610904">
        <w:rPr>
          <w:rFonts w:cs="Arial"/>
          <w:noProof w:val="0"/>
          <w:szCs w:val="20"/>
          <w:lang w:val="en-US"/>
        </w:rPr>
        <w:t>the Second Criminal Court of</w:t>
      </w:r>
      <w:r w:rsidR="00022F5E" w:rsidRPr="00610904">
        <w:rPr>
          <w:noProof w:val="0"/>
          <w:szCs w:val="20"/>
          <w:lang w:val="en-US"/>
        </w:rPr>
        <w:t xml:space="preserve"> Azuay</w:t>
      </w:r>
      <w:r w:rsidR="00022F5E" w:rsidRPr="00610904">
        <w:rPr>
          <w:rFonts w:cs="Arial"/>
          <w:noProof w:val="0"/>
          <w:szCs w:val="20"/>
          <w:lang w:val="en-US"/>
        </w:rPr>
        <w:t xml:space="preserve"> </w:t>
      </w:r>
      <w:r w:rsidR="005E205E" w:rsidRPr="00610904">
        <w:rPr>
          <w:rFonts w:cs="Arial"/>
          <w:noProof w:val="0"/>
          <w:szCs w:val="20"/>
          <w:lang w:val="en-US"/>
        </w:rPr>
        <w:t>found that the following had been proved</w:t>
      </w:r>
      <w:r w:rsidR="00022F5E" w:rsidRPr="00610904">
        <w:rPr>
          <w:rFonts w:cs="Arial"/>
          <w:noProof w:val="0"/>
          <w:szCs w:val="20"/>
          <w:lang w:val="en-US"/>
        </w:rPr>
        <w:t xml:space="preserve">: </w:t>
      </w:r>
      <w:r w:rsidR="00A86868" w:rsidRPr="00610904">
        <w:rPr>
          <w:rFonts w:cs="Arial"/>
          <w:noProof w:val="0"/>
          <w:szCs w:val="20"/>
          <w:lang w:val="en-US"/>
        </w:rPr>
        <w:t>(</w:t>
      </w:r>
      <w:r w:rsidR="00022F5E" w:rsidRPr="00610904">
        <w:rPr>
          <w:rFonts w:cs="Arial"/>
          <w:noProof w:val="0"/>
          <w:szCs w:val="20"/>
          <w:lang w:val="en-US"/>
        </w:rPr>
        <w:t xml:space="preserve">i) </w:t>
      </w:r>
      <w:r w:rsidR="005E205E" w:rsidRPr="00610904">
        <w:rPr>
          <w:rFonts w:cs="Arial"/>
          <w:noProof w:val="0"/>
          <w:szCs w:val="20"/>
          <w:lang w:val="en-US"/>
        </w:rPr>
        <w:t>“the existence of the offense constituted by the infection of [Talia] with AIDS; (</w:t>
      </w:r>
      <w:r w:rsidR="00022F5E" w:rsidRPr="00610904">
        <w:rPr>
          <w:rFonts w:cs="Arial"/>
          <w:noProof w:val="0"/>
          <w:szCs w:val="20"/>
          <w:lang w:val="en-US"/>
        </w:rPr>
        <w:t xml:space="preserve">ii) </w:t>
      </w:r>
      <w:r w:rsidR="00A86868" w:rsidRPr="00610904">
        <w:rPr>
          <w:rFonts w:cs="Arial"/>
          <w:noProof w:val="0"/>
          <w:szCs w:val="20"/>
          <w:lang w:val="en-US"/>
        </w:rPr>
        <w:t xml:space="preserve">that </w:t>
      </w:r>
      <w:r w:rsidR="00022F5E" w:rsidRPr="00610904">
        <w:rPr>
          <w:rFonts w:cs="Arial"/>
          <w:noProof w:val="0"/>
          <w:szCs w:val="20"/>
          <w:lang w:val="en-US"/>
        </w:rPr>
        <w:t xml:space="preserve">Talía </w:t>
      </w:r>
      <w:r w:rsidR="005E205E" w:rsidRPr="00610904">
        <w:rPr>
          <w:rFonts w:cs="Arial"/>
          <w:noProof w:val="0"/>
          <w:szCs w:val="20"/>
          <w:lang w:val="en-US"/>
        </w:rPr>
        <w:t xml:space="preserve">had received a transfusion of platelets prepared with the fresh blood of donors, one of whom was </w:t>
      </w:r>
      <w:r w:rsidR="00544C91" w:rsidRPr="00610904">
        <w:rPr>
          <w:rFonts w:cs="Arial"/>
          <w:noProof w:val="0"/>
          <w:szCs w:val="20"/>
          <w:lang w:val="en-US"/>
        </w:rPr>
        <w:t>Mr. HSA</w:t>
      </w:r>
      <w:r w:rsidR="00022F5E" w:rsidRPr="00610904">
        <w:rPr>
          <w:rFonts w:cs="Arial"/>
          <w:noProof w:val="0"/>
          <w:szCs w:val="20"/>
          <w:lang w:val="en-US"/>
        </w:rPr>
        <w:t xml:space="preserve">, </w:t>
      </w:r>
      <w:r w:rsidR="005E205E" w:rsidRPr="00610904">
        <w:rPr>
          <w:rFonts w:cs="Arial"/>
          <w:noProof w:val="0"/>
          <w:szCs w:val="20"/>
          <w:lang w:val="en-US"/>
        </w:rPr>
        <w:t xml:space="preserve">who was infected with </w:t>
      </w:r>
      <w:r w:rsidR="00A8072E" w:rsidRPr="00610904">
        <w:rPr>
          <w:rFonts w:cs="Arial"/>
          <w:noProof w:val="0"/>
          <w:szCs w:val="20"/>
          <w:lang w:val="en-US"/>
        </w:rPr>
        <w:t>HIV</w:t>
      </w:r>
      <w:r w:rsidR="005E205E" w:rsidRPr="00610904">
        <w:rPr>
          <w:rFonts w:cs="Arial"/>
          <w:noProof w:val="0"/>
          <w:szCs w:val="20"/>
          <w:lang w:val="en-US"/>
        </w:rPr>
        <w:t>;</w:t>
      </w:r>
      <w:r w:rsidR="00022F5E" w:rsidRPr="00610904">
        <w:rPr>
          <w:rFonts w:cs="Arial"/>
          <w:noProof w:val="0"/>
          <w:szCs w:val="20"/>
          <w:lang w:val="en-US"/>
        </w:rPr>
        <w:t xml:space="preserve"> </w:t>
      </w:r>
      <w:r w:rsidR="005E205E" w:rsidRPr="00610904">
        <w:rPr>
          <w:rFonts w:cs="Arial"/>
          <w:noProof w:val="0"/>
          <w:szCs w:val="20"/>
          <w:lang w:val="en-US"/>
        </w:rPr>
        <w:t>(</w:t>
      </w:r>
      <w:r w:rsidR="00022F5E" w:rsidRPr="00610904">
        <w:rPr>
          <w:rFonts w:cs="Arial"/>
          <w:noProof w:val="0"/>
          <w:szCs w:val="20"/>
          <w:lang w:val="en-US"/>
        </w:rPr>
        <w:t xml:space="preserve">iii) </w:t>
      </w:r>
      <w:r w:rsidR="005E205E" w:rsidRPr="00610904">
        <w:rPr>
          <w:rFonts w:cs="Arial"/>
          <w:noProof w:val="0"/>
          <w:szCs w:val="20"/>
          <w:lang w:val="en-US"/>
        </w:rPr>
        <w:t>th</w:t>
      </w:r>
      <w:r w:rsidR="00A86868" w:rsidRPr="00610904">
        <w:rPr>
          <w:rFonts w:cs="Arial"/>
          <w:noProof w:val="0"/>
          <w:szCs w:val="20"/>
          <w:lang w:val="en-US"/>
        </w:rPr>
        <w:t>at the</w:t>
      </w:r>
      <w:r w:rsidR="005E205E" w:rsidRPr="00610904">
        <w:rPr>
          <w:rFonts w:cs="Arial"/>
          <w:noProof w:val="0"/>
          <w:szCs w:val="20"/>
          <w:lang w:val="en-US"/>
        </w:rPr>
        <w:t xml:space="preserve"> HIV virus that was present in the blood of HSA was genetically identical to that present in Talía’s blood, and (iv) </w:t>
      </w:r>
      <w:r w:rsidR="00A86868" w:rsidRPr="00610904">
        <w:rPr>
          <w:rFonts w:cs="Arial"/>
          <w:noProof w:val="0"/>
          <w:szCs w:val="20"/>
          <w:lang w:val="en-US"/>
        </w:rPr>
        <w:t xml:space="preserve">that </w:t>
      </w:r>
      <w:r w:rsidR="005E205E" w:rsidRPr="00610904">
        <w:rPr>
          <w:rFonts w:cs="Arial"/>
          <w:noProof w:val="0"/>
          <w:szCs w:val="20"/>
          <w:lang w:val="en-US"/>
        </w:rPr>
        <w:t xml:space="preserve">[MRR] </w:t>
      </w:r>
      <w:r w:rsidR="00A86868" w:rsidRPr="00610904">
        <w:rPr>
          <w:rFonts w:cs="Arial"/>
          <w:noProof w:val="0"/>
          <w:szCs w:val="20"/>
          <w:lang w:val="en-US"/>
        </w:rPr>
        <w:t xml:space="preserve">had </w:t>
      </w:r>
      <w:r w:rsidR="005E205E" w:rsidRPr="00610904">
        <w:rPr>
          <w:rFonts w:cs="Arial"/>
          <w:noProof w:val="0"/>
          <w:szCs w:val="20"/>
          <w:lang w:val="en-US"/>
        </w:rPr>
        <w:t>prepared and supplied the platelets, revealing negligence, carelessness, lack of care, and causing an incurable disease in</w:t>
      </w:r>
      <w:r w:rsidR="00022F5E" w:rsidRPr="00610904">
        <w:rPr>
          <w:rFonts w:cs="Arial"/>
          <w:noProof w:val="0"/>
          <w:szCs w:val="20"/>
          <w:lang w:val="en-US"/>
        </w:rPr>
        <w:t xml:space="preserve"> [Talía]</w:t>
      </w:r>
      <w:r w:rsidR="005E205E" w:rsidRPr="00610904">
        <w:rPr>
          <w:rFonts w:cs="Arial"/>
          <w:noProof w:val="0"/>
          <w:szCs w:val="20"/>
          <w:lang w:val="en-US"/>
        </w:rPr>
        <w:t>.</w:t>
      </w:r>
      <w:r w:rsidR="00022F5E" w:rsidRPr="00610904">
        <w:rPr>
          <w:rFonts w:cs="Arial"/>
          <w:noProof w:val="0"/>
          <w:szCs w:val="20"/>
          <w:lang w:val="en-US"/>
        </w:rPr>
        <w:t>”</w:t>
      </w:r>
      <w:r w:rsidR="00022F5E" w:rsidRPr="00610904">
        <w:rPr>
          <w:rStyle w:val="FootnoteReference"/>
          <w:noProof w:val="0"/>
          <w:lang w:val="en-US"/>
        </w:rPr>
        <w:footnoteReference w:id="122"/>
      </w:r>
      <w:r w:rsidR="005E205E" w:rsidRPr="00610904">
        <w:rPr>
          <w:rFonts w:cs="Arial"/>
          <w:noProof w:val="0"/>
          <w:szCs w:val="20"/>
          <w:lang w:val="en-US"/>
        </w:rPr>
        <w:t xml:space="preserve"> Consequently, that court declared the “plenary stage” open against MRR “as presumed author of the offense defined and sanctioned in </w:t>
      </w:r>
      <w:r w:rsidR="00022F5E" w:rsidRPr="00610904">
        <w:rPr>
          <w:rFonts w:cs="Arial"/>
          <w:noProof w:val="0"/>
          <w:szCs w:val="20"/>
          <w:lang w:val="en-US"/>
        </w:rPr>
        <w:t>[</w:t>
      </w:r>
      <w:r w:rsidR="005E205E" w:rsidRPr="00610904">
        <w:rPr>
          <w:rFonts w:cs="Arial"/>
          <w:noProof w:val="0"/>
          <w:szCs w:val="20"/>
          <w:lang w:val="en-US"/>
        </w:rPr>
        <w:t>a</w:t>
      </w:r>
      <w:r w:rsidR="00A8072E" w:rsidRPr="00610904">
        <w:rPr>
          <w:rFonts w:cs="Arial"/>
          <w:noProof w:val="0"/>
          <w:szCs w:val="20"/>
          <w:lang w:val="en-US"/>
        </w:rPr>
        <w:t>rticle</w:t>
      </w:r>
      <w:r w:rsidR="00022F5E" w:rsidRPr="00610904">
        <w:rPr>
          <w:rFonts w:cs="Arial"/>
          <w:noProof w:val="0"/>
          <w:szCs w:val="20"/>
          <w:lang w:val="en-US"/>
        </w:rPr>
        <w:t xml:space="preserve">] 436 </w:t>
      </w:r>
      <w:r w:rsidRPr="00610904">
        <w:rPr>
          <w:rFonts w:cs="Arial"/>
          <w:noProof w:val="0"/>
          <w:szCs w:val="20"/>
          <w:lang w:val="en-US"/>
        </w:rPr>
        <w:t>of the Criminal Code</w:t>
      </w:r>
      <w:r w:rsidR="005E205E" w:rsidRPr="00610904">
        <w:rPr>
          <w:rFonts w:cs="Arial"/>
          <w:noProof w:val="0"/>
          <w:szCs w:val="20"/>
          <w:lang w:val="en-US"/>
        </w:rPr>
        <w:t xml:space="preserve">.” That court also found that </w:t>
      </w:r>
      <w:r w:rsidR="00022F5E" w:rsidRPr="00610904">
        <w:rPr>
          <w:rFonts w:cs="Arial"/>
          <w:noProof w:val="0"/>
          <w:szCs w:val="20"/>
          <w:lang w:val="en-US"/>
        </w:rPr>
        <w:t>PMT</w:t>
      </w:r>
      <w:r w:rsidR="009F3D78" w:rsidRPr="00610904">
        <w:rPr>
          <w:rFonts w:cs="Arial"/>
          <w:noProof w:val="0"/>
          <w:szCs w:val="20"/>
          <w:lang w:val="en-US"/>
        </w:rPr>
        <w:t xml:space="preserve"> and </w:t>
      </w:r>
      <w:r w:rsidR="00022F5E" w:rsidRPr="00610904">
        <w:rPr>
          <w:rFonts w:cs="Arial"/>
          <w:noProof w:val="0"/>
          <w:szCs w:val="20"/>
          <w:lang w:val="en-US"/>
        </w:rPr>
        <w:t xml:space="preserve">EOQ </w:t>
      </w:r>
      <w:r w:rsidR="005E205E" w:rsidRPr="00610904">
        <w:rPr>
          <w:rFonts w:cs="Arial"/>
          <w:noProof w:val="0"/>
          <w:szCs w:val="20"/>
          <w:lang w:val="en-US"/>
        </w:rPr>
        <w:t xml:space="preserve">had </w:t>
      </w:r>
      <w:r w:rsidR="00022F5E" w:rsidRPr="00610904">
        <w:rPr>
          <w:rFonts w:cs="Arial"/>
          <w:noProof w:val="0"/>
          <w:szCs w:val="20"/>
          <w:lang w:val="en-US"/>
        </w:rPr>
        <w:t>“</w:t>
      </w:r>
      <w:r w:rsidR="005E205E" w:rsidRPr="00610904">
        <w:rPr>
          <w:rFonts w:cs="Arial"/>
          <w:noProof w:val="0"/>
          <w:szCs w:val="20"/>
          <w:lang w:val="en-US"/>
        </w:rPr>
        <w:t xml:space="preserve">not </w:t>
      </w:r>
      <w:r w:rsidR="00A86868" w:rsidRPr="00610904">
        <w:rPr>
          <w:rFonts w:cs="Arial"/>
          <w:noProof w:val="0"/>
          <w:szCs w:val="20"/>
          <w:lang w:val="en-US"/>
        </w:rPr>
        <w:t>perpetrated</w:t>
      </w:r>
      <w:r w:rsidR="005E205E" w:rsidRPr="00610904">
        <w:rPr>
          <w:rFonts w:cs="Arial"/>
          <w:noProof w:val="0"/>
          <w:szCs w:val="20"/>
          <w:lang w:val="en-US"/>
        </w:rPr>
        <w:t xml:space="preserve"> the acts expressly </w:t>
      </w:r>
      <w:r w:rsidR="0056398E" w:rsidRPr="00610904">
        <w:rPr>
          <w:rFonts w:cs="Arial"/>
          <w:noProof w:val="0"/>
          <w:szCs w:val="20"/>
          <w:lang w:val="en-US"/>
        </w:rPr>
        <w:t>described</w:t>
      </w:r>
      <w:r w:rsidR="005E205E" w:rsidRPr="00610904">
        <w:rPr>
          <w:rFonts w:cs="Arial"/>
          <w:noProof w:val="0"/>
          <w:szCs w:val="20"/>
          <w:lang w:val="en-US"/>
        </w:rPr>
        <w:t xml:space="preserve"> in </w:t>
      </w:r>
      <w:r w:rsidR="00022F5E" w:rsidRPr="00610904">
        <w:rPr>
          <w:rFonts w:cs="Arial"/>
          <w:noProof w:val="0"/>
          <w:szCs w:val="20"/>
          <w:lang w:val="en-US"/>
        </w:rPr>
        <w:t>[</w:t>
      </w:r>
      <w:r w:rsidRPr="00610904">
        <w:rPr>
          <w:rFonts w:cs="Arial"/>
          <w:noProof w:val="0"/>
          <w:szCs w:val="20"/>
          <w:lang w:val="en-US"/>
        </w:rPr>
        <w:t>the Criminal Code</w:t>
      </w:r>
      <w:r w:rsidR="00022F5E" w:rsidRPr="00610904">
        <w:rPr>
          <w:rFonts w:cs="Arial"/>
          <w:noProof w:val="0"/>
          <w:szCs w:val="20"/>
          <w:lang w:val="en-US"/>
        </w:rPr>
        <w:t xml:space="preserve">] </w:t>
      </w:r>
      <w:r w:rsidR="005E205E" w:rsidRPr="00610904">
        <w:rPr>
          <w:rFonts w:cs="Arial"/>
          <w:noProof w:val="0"/>
          <w:szCs w:val="20"/>
          <w:lang w:val="en-US"/>
        </w:rPr>
        <w:t xml:space="preserve">as regards concealment, so that [it] issued a temporary </w:t>
      </w:r>
      <w:r w:rsidR="006805C3" w:rsidRPr="00610904">
        <w:rPr>
          <w:rFonts w:cs="Arial"/>
          <w:noProof w:val="0"/>
          <w:szCs w:val="20"/>
          <w:lang w:val="en-US"/>
        </w:rPr>
        <w:t xml:space="preserve">stay of proceedings </w:t>
      </w:r>
      <w:r w:rsidR="005E205E" w:rsidRPr="00610904">
        <w:rPr>
          <w:rFonts w:cs="Arial"/>
          <w:noProof w:val="0"/>
          <w:szCs w:val="20"/>
          <w:lang w:val="en-US"/>
        </w:rPr>
        <w:t xml:space="preserve">and </w:t>
      </w:r>
      <w:r w:rsidR="006805C3" w:rsidRPr="00610904">
        <w:rPr>
          <w:rFonts w:cs="Arial"/>
          <w:noProof w:val="0"/>
          <w:szCs w:val="20"/>
          <w:lang w:val="en-US"/>
        </w:rPr>
        <w:t>dismissal</w:t>
      </w:r>
      <w:r w:rsidR="005E205E" w:rsidRPr="00610904">
        <w:rPr>
          <w:rFonts w:cs="Arial"/>
          <w:noProof w:val="0"/>
          <w:szCs w:val="20"/>
          <w:lang w:val="en-US"/>
        </w:rPr>
        <w:t xml:space="preserve"> of proceedings in favor [of these two persons</w:t>
      </w:r>
      <w:r w:rsidR="00022F5E" w:rsidRPr="00610904">
        <w:rPr>
          <w:rFonts w:cs="Arial"/>
          <w:noProof w:val="0"/>
          <w:szCs w:val="20"/>
          <w:lang w:val="en-US"/>
        </w:rPr>
        <w:t>]</w:t>
      </w:r>
      <w:r w:rsidR="005E205E" w:rsidRPr="00610904">
        <w:rPr>
          <w:rFonts w:cs="Arial"/>
          <w:noProof w:val="0"/>
          <w:szCs w:val="20"/>
          <w:lang w:val="en-US"/>
        </w:rPr>
        <w:t>.</w:t>
      </w:r>
      <w:r w:rsidR="00022F5E" w:rsidRPr="00610904">
        <w:rPr>
          <w:rFonts w:cs="Arial"/>
          <w:noProof w:val="0"/>
          <w:szCs w:val="20"/>
          <w:lang w:val="en-US"/>
        </w:rPr>
        <w:t>”</w:t>
      </w:r>
      <w:r w:rsidR="00022F5E" w:rsidRPr="00610904">
        <w:rPr>
          <w:rStyle w:val="FootnoteReference"/>
          <w:rFonts w:eastAsia="Calibri"/>
          <w:noProof w:val="0"/>
          <w:lang w:val="en-US"/>
        </w:rPr>
        <w:footnoteReference w:id="123"/>
      </w:r>
    </w:p>
    <w:p w:rsidR="00022F5E" w:rsidRPr="00610904" w:rsidRDefault="00022F5E" w:rsidP="00610904">
      <w:pPr>
        <w:rPr>
          <w:noProof w:val="0"/>
          <w:lang w:val="en-US"/>
        </w:rPr>
      </w:pPr>
    </w:p>
    <w:p w:rsidR="00022F5E" w:rsidRPr="00610904" w:rsidRDefault="00653A30" w:rsidP="00610904">
      <w:pPr>
        <w:numPr>
          <w:ilvl w:val="0"/>
          <w:numId w:val="1"/>
        </w:numPr>
        <w:rPr>
          <w:noProof w:val="0"/>
          <w:lang w:val="en-US"/>
        </w:rPr>
      </w:pPr>
      <w:r w:rsidRPr="00610904">
        <w:rPr>
          <w:noProof w:val="0"/>
          <w:szCs w:val="20"/>
          <w:lang w:val="en-US"/>
        </w:rPr>
        <w:t xml:space="preserve">On October 31, </w:t>
      </w:r>
      <w:r w:rsidR="00022F5E" w:rsidRPr="00610904">
        <w:rPr>
          <w:noProof w:val="0"/>
          <w:szCs w:val="20"/>
          <w:lang w:val="en-US"/>
        </w:rPr>
        <w:t xml:space="preserve">2001, </w:t>
      </w:r>
      <w:r w:rsidR="006805C3" w:rsidRPr="00610904">
        <w:rPr>
          <w:noProof w:val="0"/>
          <w:szCs w:val="20"/>
          <w:lang w:val="en-US"/>
        </w:rPr>
        <w:t>the prosecutor filed an appeal against the dismissal</w:t>
      </w:r>
      <w:r w:rsidR="00A86868" w:rsidRPr="00610904">
        <w:rPr>
          <w:noProof w:val="0"/>
          <w:szCs w:val="20"/>
          <w:lang w:val="en-US"/>
        </w:rPr>
        <w:t xml:space="preserve"> of proceedings</w:t>
      </w:r>
      <w:r w:rsidR="006805C3" w:rsidRPr="00610904">
        <w:rPr>
          <w:noProof w:val="0"/>
          <w:szCs w:val="20"/>
          <w:lang w:val="en-US"/>
        </w:rPr>
        <w:t xml:space="preserve">, considering that </w:t>
      </w:r>
      <w:r w:rsidR="00022F5E" w:rsidRPr="00610904">
        <w:rPr>
          <w:noProof w:val="0"/>
          <w:szCs w:val="20"/>
          <w:lang w:val="en-US"/>
        </w:rPr>
        <w:t>PMT</w:t>
      </w:r>
      <w:r w:rsidR="009F3D78" w:rsidRPr="00610904">
        <w:rPr>
          <w:noProof w:val="0"/>
          <w:szCs w:val="20"/>
          <w:lang w:val="en-US"/>
        </w:rPr>
        <w:t xml:space="preserve"> and </w:t>
      </w:r>
      <w:r w:rsidR="00022F5E" w:rsidRPr="00610904">
        <w:rPr>
          <w:noProof w:val="0"/>
          <w:szCs w:val="20"/>
          <w:lang w:val="en-US"/>
        </w:rPr>
        <w:t xml:space="preserve">EOQ </w:t>
      </w:r>
      <w:r w:rsidR="006805C3" w:rsidRPr="00610904">
        <w:rPr>
          <w:noProof w:val="0"/>
          <w:szCs w:val="20"/>
          <w:lang w:val="en-US"/>
        </w:rPr>
        <w:t>should be prosecuted as accessories. On December 18,</w:t>
      </w:r>
      <w:r w:rsidR="00022F5E" w:rsidRPr="00610904">
        <w:rPr>
          <w:noProof w:val="0"/>
          <w:szCs w:val="20"/>
          <w:lang w:val="en-US"/>
        </w:rPr>
        <w:t xml:space="preserve"> 2001</w:t>
      </w:r>
      <w:r w:rsidR="006805C3" w:rsidRPr="00610904">
        <w:rPr>
          <w:noProof w:val="0"/>
          <w:szCs w:val="20"/>
          <w:lang w:val="en-US"/>
        </w:rPr>
        <w:t>,</w:t>
      </w:r>
      <w:r w:rsidR="00022F5E" w:rsidRPr="00610904">
        <w:rPr>
          <w:noProof w:val="0"/>
          <w:szCs w:val="20"/>
          <w:lang w:val="en-US"/>
        </w:rPr>
        <w:t xml:space="preserve"> </w:t>
      </w:r>
      <w:r w:rsidR="008E668D" w:rsidRPr="00610904">
        <w:rPr>
          <w:noProof w:val="0"/>
          <w:szCs w:val="20"/>
          <w:lang w:val="en-US"/>
        </w:rPr>
        <w:t>the First Chamber</w:t>
      </w:r>
      <w:r w:rsidR="009F3D78" w:rsidRPr="00610904">
        <w:rPr>
          <w:noProof w:val="0"/>
          <w:szCs w:val="20"/>
          <w:lang w:val="en-US"/>
        </w:rPr>
        <w:t xml:space="preserve"> of the </w:t>
      </w:r>
      <w:r w:rsidR="006805C3" w:rsidRPr="00610904">
        <w:rPr>
          <w:noProof w:val="0"/>
          <w:szCs w:val="20"/>
          <w:lang w:val="en-US"/>
        </w:rPr>
        <w:t>Superior Court</w:t>
      </w:r>
      <w:r w:rsidR="00022F5E" w:rsidRPr="00610904">
        <w:rPr>
          <w:noProof w:val="0"/>
          <w:szCs w:val="20"/>
          <w:lang w:val="en-US"/>
        </w:rPr>
        <w:t xml:space="preserve"> </w:t>
      </w:r>
      <w:r w:rsidR="006805C3" w:rsidRPr="00610904">
        <w:rPr>
          <w:noProof w:val="0"/>
          <w:szCs w:val="20"/>
          <w:lang w:val="en-US"/>
        </w:rPr>
        <w:t xml:space="preserve">decided the request forwarded by </w:t>
      </w:r>
      <w:r w:rsidRPr="00610904">
        <w:rPr>
          <w:noProof w:val="0"/>
          <w:szCs w:val="20"/>
          <w:lang w:val="en-US"/>
        </w:rPr>
        <w:t>the Fourth Court</w:t>
      </w:r>
      <w:r w:rsidR="00022F5E" w:rsidRPr="00610904">
        <w:rPr>
          <w:noProof w:val="0"/>
          <w:szCs w:val="20"/>
          <w:lang w:val="en-US"/>
        </w:rPr>
        <w:t xml:space="preserve"> </w:t>
      </w:r>
      <w:r w:rsidR="006805C3" w:rsidRPr="00610904">
        <w:rPr>
          <w:noProof w:val="0"/>
          <w:szCs w:val="20"/>
          <w:lang w:val="en-US"/>
        </w:rPr>
        <w:t>with regard to the dismissals and the appeal filed by the prosecutor. The Chamber’s decision was to confirm the dismissal</w:t>
      </w:r>
      <w:r w:rsidR="00A86868" w:rsidRPr="00610904">
        <w:rPr>
          <w:noProof w:val="0"/>
          <w:szCs w:val="20"/>
          <w:lang w:val="en-US"/>
        </w:rPr>
        <w:t xml:space="preserve"> of the proceedings</w:t>
      </w:r>
      <w:r w:rsidR="006805C3" w:rsidRPr="00610904">
        <w:rPr>
          <w:noProof w:val="0"/>
          <w:szCs w:val="20"/>
          <w:lang w:val="en-US"/>
        </w:rPr>
        <w:t xml:space="preserve"> in favor of </w:t>
      </w:r>
      <w:r w:rsidR="00022F5E" w:rsidRPr="00610904">
        <w:rPr>
          <w:noProof w:val="0"/>
          <w:szCs w:val="20"/>
          <w:lang w:val="en-US"/>
        </w:rPr>
        <w:t>CAA</w:t>
      </w:r>
      <w:r w:rsidR="009F3D78" w:rsidRPr="00610904">
        <w:rPr>
          <w:noProof w:val="0"/>
          <w:szCs w:val="20"/>
          <w:lang w:val="en-US"/>
        </w:rPr>
        <w:t xml:space="preserve"> and </w:t>
      </w:r>
      <w:r w:rsidR="006805C3" w:rsidRPr="00610904">
        <w:rPr>
          <w:noProof w:val="0"/>
          <w:szCs w:val="20"/>
          <w:lang w:val="en-US"/>
        </w:rPr>
        <w:t>BRR,</w:t>
      </w:r>
      <w:r w:rsidR="009F3D78" w:rsidRPr="00610904">
        <w:rPr>
          <w:noProof w:val="0"/>
          <w:szCs w:val="20"/>
          <w:lang w:val="en-US"/>
        </w:rPr>
        <w:t xml:space="preserve"> and </w:t>
      </w:r>
      <w:r w:rsidR="006805C3" w:rsidRPr="00610904">
        <w:rPr>
          <w:noProof w:val="0"/>
          <w:szCs w:val="20"/>
          <w:lang w:val="en-US"/>
        </w:rPr>
        <w:t>to amend t</w:t>
      </w:r>
      <w:r w:rsidR="00A86868" w:rsidRPr="00610904">
        <w:rPr>
          <w:noProof w:val="0"/>
          <w:szCs w:val="20"/>
          <w:lang w:val="en-US"/>
        </w:rPr>
        <w:t>he “dismissal of proceedings” against</w:t>
      </w:r>
      <w:r w:rsidR="006805C3" w:rsidRPr="00610904">
        <w:rPr>
          <w:noProof w:val="0"/>
          <w:szCs w:val="20"/>
          <w:lang w:val="en-US"/>
        </w:rPr>
        <w:t xml:space="preserve"> </w:t>
      </w:r>
      <w:r w:rsidR="00022F5E" w:rsidRPr="00610904">
        <w:rPr>
          <w:noProof w:val="0"/>
          <w:szCs w:val="20"/>
          <w:lang w:val="en-US"/>
        </w:rPr>
        <w:t>PMT</w:t>
      </w:r>
      <w:r w:rsidR="009F3D78" w:rsidRPr="00610904">
        <w:rPr>
          <w:noProof w:val="0"/>
          <w:szCs w:val="20"/>
          <w:lang w:val="en-US"/>
        </w:rPr>
        <w:t xml:space="preserve"> and </w:t>
      </w:r>
      <w:r w:rsidR="00022F5E" w:rsidRPr="00610904">
        <w:rPr>
          <w:noProof w:val="0"/>
          <w:szCs w:val="20"/>
          <w:lang w:val="en-US"/>
        </w:rPr>
        <w:t xml:space="preserve">EOQ </w:t>
      </w:r>
      <w:r w:rsidR="006805C3" w:rsidRPr="00610904">
        <w:rPr>
          <w:noProof w:val="0"/>
          <w:szCs w:val="20"/>
          <w:lang w:val="en-US"/>
        </w:rPr>
        <w:t>to a “temporary stay of proceedings.</w:t>
      </w:r>
      <w:r w:rsidR="00022F5E" w:rsidRPr="00610904">
        <w:rPr>
          <w:noProof w:val="0"/>
          <w:szCs w:val="20"/>
          <w:lang w:val="en-US"/>
        </w:rPr>
        <w:t>”</w:t>
      </w:r>
      <w:r w:rsidR="00022F5E" w:rsidRPr="00610904">
        <w:rPr>
          <w:rStyle w:val="FootnoteReference"/>
          <w:rFonts w:eastAsia="Calibri"/>
          <w:noProof w:val="0"/>
          <w:lang w:val="en-US"/>
        </w:rPr>
        <w:footnoteReference w:id="124"/>
      </w:r>
    </w:p>
    <w:p w:rsidR="00022F5E" w:rsidRPr="00610904" w:rsidRDefault="00022F5E" w:rsidP="00610904">
      <w:pPr>
        <w:rPr>
          <w:noProof w:val="0"/>
          <w:szCs w:val="20"/>
          <w:lang w:val="en-US"/>
        </w:rPr>
      </w:pPr>
    </w:p>
    <w:p w:rsidR="00022F5E" w:rsidRPr="00610904" w:rsidRDefault="00A86868" w:rsidP="00610904">
      <w:pPr>
        <w:numPr>
          <w:ilvl w:val="0"/>
          <w:numId w:val="1"/>
        </w:numPr>
        <w:rPr>
          <w:noProof w:val="0"/>
          <w:lang w:val="en-US"/>
        </w:rPr>
      </w:pPr>
      <w:r w:rsidRPr="00610904">
        <w:rPr>
          <w:noProof w:val="0"/>
          <w:szCs w:val="20"/>
          <w:lang w:val="en-US"/>
        </w:rPr>
        <w:t>On December 13, 2001, t</w:t>
      </w:r>
      <w:r w:rsidR="00653A30" w:rsidRPr="00610904">
        <w:rPr>
          <w:noProof w:val="0"/>
          <w:szCs w:val="20"/>
          <w:lang w:val="en-US"/>
        </w:rPr>
        <w:t>he Second Criminal Court of</w:t>
      </w:r>
      <w:r w:rsidR="00022F5E" w:rsidRPr="00610904">
        <w:rPr>
          <w:noProof w:val="0"/>
          <w:szCs w:val="20"/>
          <w:lang w:val="en-US"/>
        </w:rPr>
        <w:t xml:space="preserve"> </w:t>
      </w:r>
      <w:proofErr w:type="gramStart"/>
      <w:r w:rsidR="00022F5E" w:rsidRPr="00610904">
        <w:rPr>
          <w:noProof w:val="0"/>
          <w:szCs w:val="20"/>
          <w:lang w:val="en-US"/>
        </w:rPr>
        <w:t>Azuay,</w:t>
      </w:r>
      <w:proofErr w:type="gramEnd"/>
      <w:r w:rsidR="00022F5E" w:rsidRPr="00610904">
        <w:rPr>
          <w:noProof w:val="0"/>
          <w:szCs w:val="20"/>
          <w:lang w:val="en-US"/>
        </w:rPr>
        <w:t xml:space="preserve"> orde</w:t>
      </w:r>
      <w:r w:rsidR="006805C3" w:rsidRPr="00610904">
        <w:rPr>
          <w:noProof w:val="0"/>
          <w:szCs w:val="20"/>
          <w:lang w:val="en-US"/>
        </w:rPr>
        <w:t xml:space="preserve">red that the police authorities be notified to arrest </w:t>
      </w:r>
      <w:r w:rsidR="00022F5E" w:rsidRPr="00610904">
        <w:rPr>
          <w:noProof w:val="0"/>
          <w:szCs w:val="20"/>
          <w:lang w:val="en-US"/>
        </w:rPr>
        <w:t>MRR</w:t>
      </w:r>
      <w:r w:rsidR="006805C3" w:rsidRPr="00610904">
        <w:rPr>
          <w:noProof w:val="0"/>
          <w:szCs w:val="20"/>
          <w:lang w:val="en-US"/>
        </w:rPr>
        <w:t>.</w:t>
      </w:r>
      <w:r w:rsidR="00022F5E" w:rsidRPr="00610904">
        <w:rPr>
          <w:rStyle w:val="FootnoteReference"/>
          <w:noProof w:val="0"/>
          <w:lang w:val="en-US"/>
        </w:rPr>
        <w:footnoteReference w:id="125"/>
      </w:r>
      <w:r w:rsidR="00022F5E" w:rsidRPr="00610904">
        <w:rPr>
          <w:noProof w:val="0"/>
          <w:szCs w:val="20"/>
          <w:lang w:val="en-US"/>
        </w:rPr>
        <w:t xml:space="preserve"> </w:t>
      </w:r>
      <w:r w:rsidR="006805C3" w:rsidRPr="00610904">
        <w:rPr>
          <w:rFonts w:cs="Arial"/>
          <w:noProof w:val="0"/>
          <w:szCs w:val="20"/>
          <w:lang w:val="en-US"/>
        </w:rPr>
        <w:t>On October</w:t>
      </w:r>
      <w:r w:rsidR="00022F5E" w:rsidRPr="00610904">
        <w:rPr>
          <w:rFonts w:cs="Arial"/>
          <w:noProof w:val="0"/>
          <w:szCs w:val="20"/>
          <w:lang w:val="en-US"/>
        </w:rPr>
        <w:t xml:space="preserve"> </w:t>
      </w:r>
      <w:r w:rsidR="006805C3" w:rsidRPr="00610904">
        <w:rPr>
          <w:noProof w:val="0"/>
          <w:szCs w:val="20"/>
          <w:lang w:val="en-US"/>
        </w:rPr>
        <w:t xml:space="preserve">23, </w:t>
      </w:r>
      <w:r w:rsidR="00022F5E" w:rsidRPr="00610904">
        <w:rPr>
          <w:noProof w:val="0"/>
          <w:szCs w:val="20"/>
          <w:lang w:val="en-US"/>
        </w:rPr>
        <w:t xml:space="preserve">2002, </w:t>
      </w:r>
      <w:r w:rsidR="006805C3" w:rsidRPr="00610904">
        <w:rPr>
          <w:noProof w:val="0"/>
          <w:szCs w:val="20"/>
          <w:lang w:val="en-US"/>
        </w:rPr>
        <w:t xml:space="preserve">June 26, </w:t>
      </w:r>
      <w:r w:rsidR="00022F5E" w:rsidRPr="00610904">
        <w:rPr>
          <w:noProof w:val="0"/>
          <w:szCs w:val="20"/>
          <w:lang w:val="en-US"/>
        </w:rPr>
        <w:t>2003</w:t>
      </w:r>
      <w:r w:rsidR="006805C3" w:rsidRPr="00610904">
        <w:rPr>
          <w:noProof w:val="0"/>
          <w:szCs w:val="20"/>
          <w:lang w:val="en-US"/>
        </w:rPr>
        <w:t>,</w:t>
      </w:r>
      <w:r w:rsidR="009F3D78" w:rsidRPr="00610904">
        <w:rPr>
          <w:noProof w:val="0"/>
          <w:szCs w:val="20"/>
          <w:lang w:val="en-US"/>
        </w:rPr>
        <w:t xml:space="preserve"> and</w:t>
      </w:r>
      <w:r w:rsidR="006805C3" w:rsidRPr="00610904">
        <w:rPr>
          <w:noProof w:val="0"/>
          <w:szCs w:val="20"/>
          <w:lang w:val="en-US"/>
        </w:rPr>
        <w:t xml:space="preserve"> February</w:t>
      </w:r>
      <w:r w:rsidR="009F3D78" w:rsidRPr="00610904">
        <w:rPr>
          <w:noProof w:val="0"/>
          <w:szCs w:val="20"/>
          <w:lang w:val="en-US"/>
        </w:rPr>
        <w:t xml:space="preserve"> </w:t>
      </w:r>
      <w:r w:rsidR="006805C3" w:rsidRPr="00610904">
        <w:rPr>
          <w:noProof w:val="0"/>
          <w:szCs w:val="20"/>
          <w:lang w:val="en-US"/>
        </w:rPr>
        <w:t xml:space="preserve">12, </w:t>
      </w:r>
      <w:r w:rsidR="00022F5E" w:rsidRPr="00610904">
        <w:rPr>
          <w:noProof w:val="0"/>
          <w:szCs w:val="20"/>
          <w:lang w:val="en-US"/>
        </w:rPr>
        <w:t>2004</w:t>
      </w:r>
      <w:r w:rsidR="006805C3" w:rsidRPr="00610904">
        <w:rPr>
          <w:noProof w:val="0"/>
          <w:szCs w:val="20"/>
          <w:lang w:val="en-US"/>
        </w:rPr>
        <w:t>, warrants were issued for the arrest of MRR, but it was not possible to arrest her.</w:t>
      </w:r>
      <w:r w:rsidR="00022F5E" w:rsidRPr="00610904">
        <w:rPr>
          <w:rStyle w:val="FootnoteReference"/>
          <w:noProof w:val="0"/>
          <w:lang w:val="en-US"/>
        </w:rPr>
        <w:footnoteReference w:id="126"/>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6805C3" w:rsidP="00610904">
      <w:pPr>
        <w:numPr>
          <w:ilvl w:val="0"/>
          <w:numId w:val="1"/>
        </w:numPr>
        <w:rPr>
          <w:noProof w:val="0"/>
          <w:lang w:val="en-US"/>
        </w:rPr>
      </w:pPr>
      <w:r w:rsidRPr="00610904">
        <w:rPr>
          <w:noProof w:val="0"/>
          <w:szCs w:val="20"/>
          <w:lang w:val="en-US"/>
        </w:rPr>
        <w:t xml:space="preserve">By a decision </w:t>
      </w:r>
      <w:r w:rsidR="00653A30" w:rsidRPr="00610904">
        <w:rPr>
          <w:noProof w:val="0"/>
          <w:szCs w:val="20"/>
          <w:lang w:val="en-US"/>
        </w:rPr>
        <w:t>of February 22,</w:t>
      </w:r>
      <w:r w:rsidR="00022F5E" w:rsidRPr="00610904">
        <w:rPr>
          <w:noProof w:val="0"/>
          <w:szCs w:val="20"/>
          <w:lang w:val="en-US"/>
        </w:rPr>
        <w:t xml:space="preserve"> 2005, </w:t>
      </w:r>
      <w:r w:rsidR="009F3D78" w:rsidRPr="00610904">
        <w:rPr>
          <w:noProof w:val="0"/>
          <w:szCs w:val="20"/>
          <w:lang w:val="en-US"/>
        </w:rPr>
        <w:t>the</w:t>
      </w:r>
      <w:r w:rsidRPr="00610904">
        <w:rPr>
          <w:noProof w:val="0"/>
          <w:szCs w:val="20"/>
          <w:lang w:val="en-US"/>
        </w:rPr>
        <w:t xml:space="preserve"> Second</w:t>
      </w:r>
      <w:r w:rsidR="009F3D78" w:rsidRPr="00610904">
        <w:rPr>
          <w:noProof w:val="0"/>
          <w:szCs w:val="20"/>
          <w:lang w:val="en-US"/>
        </w:rPr>
        <w:t xml:space="preserve"> </w:t>
      </w:r>
      <w:r w:rsidR="00A86868" w:rsidRPr="00610904">
        <w:rPr>
          <w:noProof w:val="0"/>
          <w:szCs w:val="20"/>
          <w:lang w:val="en-US"/>
        </w:rPr>
        <w:t xml:space="preserve">Criminal </w:t>
      </w:r>
      <w:r w:rsidR="009F3D78" w:rsidRPr="00610904">
        <w:rPr>
          <w:noProof w:val="0"/>
          <w:szCs w:val="20"/>
          <w:lang w:val="en-US"/>
        </w:rPr>
        <w:t>Court</w:t>
      </w:r>
      <w:r w:rsidR="00022F5E" w:rsidRPr="00610904">
        <w:rPr>
          <w:noProof w:val="0"/>
          <w:szCs w:val="20"/>
          <w:lang w:val="en-US"/>
        </w:rPr>
        <w:t xml:space="preserve"> </w:t>
      </w:r>
      <w:r w:rsidRPr="00610904">
        <w:rPr>
          <w:noProof w:val="0"/>
          <w:szCs w:val="20"/>
          <w:lang w:val="en-US"/>
        </w:rPr>
        <w:t xml:space="preserve">of </w:t>
      </w:r>
      <w:r w:rsidR="00022F5E" w:rsidRPr="00610904">
        <w:rPr>
          <w:noProof w:val="0"/>
          <w:szCs w:val="20"/>
          <w:lang w:val="en-US"/>
        </w:rPr>
        <w:t xml:space="preserve">Azuay, </w:t>
      </w:r>
      <w:r w:rsidRPr="00610904">
        <w:rPr>
          <w:noProof w:val="0"/>
          <w:szCs w:val="20"/>
          <w:lang w:val="en-US"/>
        </w:rPr>
        <w:t xml:space="preserve">among other procedural actions, decided to </w:t>
      </w:r>
      <w:r w:rsidR="00A86868" w:rsidRPr="00610904">
        <w:rPr>
          <w:noProof w:val="0"/>
          <w:szCs w:val="20"/>
          <w:lang w:val="en-US"/>
        </w:rPr>
        <w:t>determine</w:t>
      </w:r>
      <w:r w:rsidRPr="00610904">
        <w:rPr>
          <w:noProof w:val="0"/>
          <w:szCs w:val="20"/>
          <w:lang w:val="en-US"/>
        </w:rPr>
        <w:t xml:space="preserve"> the time that had elapsed since the </w:t>
      </w:r>
      <w:r w:rsidR="00AC2638" w:rsidRPr="00610904">
        <w:rPr>
          <w:noProof w:val="0"/>
          <w:szCs w:val="20"/>
          <w:lang w:val="en-US"/>
        </w:rPr>
        <w:t xml:space="preserve">order to </w:t>
      </w:r>
      <w:r w:rsidR="00AC2638" w:rsidRPr="00610904">
        <w:rPr>
          <w:noProof w:val="0"/>
          <w:szCs w:val="20"/>
          <w:lang w:val="en-US"/>
        </w:rPr>
        <w:lastRenderedPageBreak/>
        <w:t>investigate the alleged offense</w:t>
      </w:r>
      <w:r w:rsidR="00022F5E" w:rsidRPr="00610904">
        <w:rPr>
          <w:noProof w:val="0"/>
          <w:szCs w:val="20"/>
          <w:lang w:val="en-US"/>
        </w:rPr>
        <w:t xml:space="preserve">. </w:t>
      </w:r>
      <w:r w:rsidRPr="00610904">
        <w:rPr>
          <w:noProof w:val="0"/>
          <w:szCs w:val="20"/>
          <w:lang w:val="en-US"/>
        </w:rPr>
        <w:t xml:space="preserve">On the same date, the </w:t>
      </w:r>
      <w:r w:rsidR="00A86868" w:rsidRPr="00610904">
        <w:rPr>
          <w:noProof w:val="0"/>
          <w:szCs w:val="20"/>
          <w:lang w:val="en-US"/>
        </w:rPr>
        <w:t xml:space="preserve">court’s secretary rapporteur </w:t>
      </w:r>
      <w:r w:rsidRPr="00610904">
        <w:rPr>
          <w:noProof w:val="0"/>
          <w:szCs w:val="20"/>
          <w:lang w:val="en-US"/>
        </w:rPr>
        <w:t>certified that “6 years, 4 months and 3 days” had elapsed.</w:t>
      </w:r>
      <w:r w:rsidR="00022F5E" w:rsidRPr="00610904">
        <w:rPr>
          <w:rStyle w:val="FootnoteReference"/>
          <w:noProof w:val="0"/>
          <w:lang w:val="en-US"/>
        </w:rPr>
        <w:footnoteReference w:id="127"/>
      </w:r>
    </w:p>
    <w:p w:rsidR="00022F5E" w:rsidRPr="00610904" w:rsidRDefault="00022F5E" w:rsidP="00610904">
      <w:pPr>
        <w:rPr>
          <w:rFonts w:cs="Arial"/>
          <w:noProof w:val="0"/>
          <w:szCs w:val="20"/>
          <w:lang w:val="en-US"/>
        </w:rPr>
      </w:pPr>
    </w:p>
    <w:p w:rsidR="00022F5E" w:rsidRPr="00610904" w:rsidRDefault="00653A30" w:rsidP="00610904">
      <w:pPr>
        <w:numPr>
          <w:ilvl w:val="0"/>
          <w:numId w:val="1"/>
        </w:numPr>
        <w:rPr>
          <w:noProof w:val="0"/>
          <w:lang w:val="en-US"/>
        </w:rPr>
      </w:pPr>
      <w:r w:rsidRPr="00610904">
        <w:rPr>
          <w:rFonts w:cs="Arial"/>
          <w:noProof w:val="0"/>
          <w:szCs w:val="20"/>
          <w:lang w:val="en-US"/>
        </w:rPr>
        <w:t>On February 28</w:t>
      </w:r>
      <w:r w:rsidR="00022F5E" w:rsidRPr="00610904">
        <w:rPr>
          <w:rFonts w:cs="Arial"/>
          <w:noProof w:val="0"/>
          <w:szCs w:val="20"/>
          <w:lang w:val="en-US"/>
        </w:rPr>
        <w:t xml:space="preserve"> 2005</w:t>
      </w:r>
      <w:r w:rsidR="006805C3" w:rsidRPr="00610904">
        <w:rPr>
          <w:rFonts w:cs="Arial"/>
          <w:noProof w:val="0"/>
          <w:szCs w:val="20"/>
          <w:lang w:val="en-US"/>
        </w:rPr>
        <w:t>, the</w:t>
      </w:r>
      <w:r w:rsidR="00022F5E" w:rsidRPr="00610904">
        <w:rPr>
          <w:rFonts w:cs="Arial"/>
          <w:noProof w:val="0"/>
          <w:szCs w:val="20"/>
          <w:lang w:val="en-US"/>
        </w:rPr>
        <w:t xml:space="preserve"> </w:t>
      </w:r>
      <w:r w:rsidR="00EC0A9D" w:rsidRPr="00610904">
        <w:rPr>
          <w:rFonts w:cs="Arial"/>
          <w:noProof w:val="0"/>
          <w:szCs w:val="20"/>
          <w:lang w:val="en-US"/>
        </w:rPr>
        <w:t>Second Criminal</w:t>
      </w:r>
      <w:r w:rsidR="00A86868" w:rsidRPr="00610904">
        <w:rPr>
          <w:rFonts w:cs="Arial"/>
          <w:noProof w:val="0"/>
          <w:szCs w:val="20"/>
          <w:lang w:val="en-US"/>
        </w:rPr>
        <w:t xml:space="preserve"> </w:t>
      </w:r>
      <w:r w:rsidR="00EC0A9D" w:rsidRPr="00610904">
        <w:rPr>
          <w:rFonts w:cs="Arial"/>
          <w:noProof w:val="0"/>
          <w:szCs w:val="20"/>
          <w:lang w:val="en-US"/>
        </w:rPr>
        <w:t>Chamber</w:t>
      </w:r>
      <w:r w:rsidR="006805C3" w:rsidRPr="00610904">
        <w:rPr>
          <w:rFonts w:cs="Arial"/>
          <w:noProof w:val="0"/>
          <w:szCs w:val="20"/>
          <w:lang w:val="en-US"/>
        </w:rPr>
        <w:t xml:space="preserve"> </w:t>
      </w:r>
      <w:r w:rsidR="009F3D78" w:rsidRPr="00610904">
        <w:rPr>
          <w:rFonts w:cs="Arial"/>
          <w:noProof w:val="0"/>
          <w:szCs w:val="20"/>
          <w:lang w:val="en-US"/>
        </w:rPr>
        <w:t xml:space="preserve">of the </w:t>
      </w:r>
      <w:r w:rsidR="008E668D" w:rsidRPr="00610904">
        <w:rPr>
          <w:rFonts w:cs="Arial"/>
          <w:noProof w:val="0"/>
          <w:szCs w:val="20"/>
          <w:lang w:val="en-US"/>
        </w:rPr>
        <w:t>Superior Court of Justice</w:t>
      </w:r>
      <w:r w:rsidR="00022F5E" w:rsidRPr="00610904">
        <w:rPr>
          <w:rFonts w:cs="Arial"/>
          <w:noProof w:val="0"/>
          <w:szCs w:val="20"/>
          <w:lang w:val="en-US"/>
        </w:rPr>
        <w:t xml:space="preserve"> </w:t>
      </w:r>
      <w:r w:rsidR="006805C3" w:rsidRPr="00610904">
        <w:rPr>
          <w:rFonts w:cs="Arial"/>
          <w:noProof w:val="0"/>
          <w:szCs w:val="20"/>
          <w:lang w:val="en-US"/>
        </w:rPr>
        <w:t>of</w:t>
      </w:r>
      <w:r w:rsidR="00022F5E" w:rsidRPr="00610904">
        <w:rPr>
          <w:rFonts w:cs="Arial"/>
          <w:noProof w:val="0"/>
          <w:szCs w:val="20"/>
          <w:lang w:val="en-US"/>
        </w:rPr>
        <w:t xml:space="preserve"> Azuay </w:t>
      </w:r>
      <w:r w:rsidR="006805C3" w:rsidRPr="00610904">
        <w:rPr>
          <w:rFonts w:cs="Arial"/>
          <w:noProof w:val="0"/>
          <w:szCs w:val="20"/>
          <w:lang w:val="en-US"/>
        </w:rPr>
        <w:t xml:space="preserve">ruled that the action had prescribed, owing to the failure of the accused to appear at the trial hearing and </w:t>
      </w:r>
      <w:r w:rsidR="00A86868" w:rsidRPr="00610904">
        <w:rPr>
          <w:rFonts w:cs="Arial"/>
          <w:noProof w:val="0"/>
          <w:szCs w:val="20"/>
          <w:lang w:val="en-US"/>
        </w:rPr>
        <w:t>because</w:t>
      </w:r>
      <w:r w:rsidR="006805C3" w:rsidRPr="00610904">
        <w:rPr>
          <w:rFonts w:cs="Arial"/>
          <w:noProof w:val="0"/>
          <w:szCs w:val="20"/>
          <w:lang w:val="en-US"/>
        </w:rPr>
        <w:t xml:space="preserve"> it had not been possible to arrest her; also, owing to the time that had </w:t>
      </w:r>
      <w:r w:rsidR="00A86868" w:rsidRPr="00610904">
        <w:rPr>
          <w:rFonts w:cs="Arial"/>
          <w:noProof w:val="0"/>
          <w:szCs w:val="20"/>
          <w:lang w:val="en-US"/>
        </w:rPr>
        <w:t>passed</w:t>
      </w:r>
      <w:r w:rsidR="006805C3" w:rsidRPr="00610904">
        <w:rPr>
          <w:rFonts w:cs="Arial"/>
          <w:noProof w:val="0"/>
          <w:szCs w:val="20"/>
          <w:lang w:val="en-US"/>
        </w:rPr>
        <w:t xml:space="preserve"> since the order to investigate the alleged offense, a time that had not been interrupt</w:t>
      </w:r>
      <w:r w:rsidR="006F07E6" w:rsidRPr="00610904">
        <w:rPr>
          <w:rFonts w:cs="Arial"/>
          <w:noProof w:val="0"/>
          <w:szCs w:val="20"/>
          <w:lang w:val="en-US"/>
        </w:rPr>
        <w:t>e</w:t>
      </w:r>
      <w:r w:rsidR="006805C3" w:rsidRPr="00610904">
        <w:rPr>
          <w:rFonts w:cs="Arial"/>
          <w:noProof w:val="0"/>
          <w:szCs w:val="20"/>
          <w:lang w:val="en-US"/>
        </w:rPr>
        <w:t>d by the perpetration of another offense.</w:t>
      </w:r>
      <w:r w:rsidR="00022F5E" w:rsidRPr="00610904">
        <w:rPr>
          <w:rStyle w:val="FootnoteReference"/>
          <w:noProof w:val="0"/>
          <w:szCs w:val="22"/>
          <w:lang w:val="en-US"/>
        </w:rPr>
        <w:footnoteReference w:id="128"/>
      </w:r>
      <w:r w:rsidR="00022F5E" w:rsidRPr="00610904">
        <w:rPr>
          <w:rFonts w:cs="Arial"/>
          <w:noProof w:val="0"/>
          <w:szCs w:val="20"/>
          <w:lang w:val="en-US"/>
        </w:rPr>
        <w:t xml:space="preserve"> </w:t>
      </w:r>
    </w:p>
    <w:p w:rsidR="00022F5E" w:rsidRPr="00610904" w:rsidRDefault="00022F5E" w:rsidP="00610904">
      <w:pPr>
        <w:rPr>
          <w:noProof w:val="0"/>
          <w:szCs w:val="22"/>
          <w:lang w:val="en-US"/>
        </w:rPr>
      </w:pPr>
    </w:p>
    <w:p w:rsidR="00022F5E" w:rsidRPr="00610904" w:rsidRDefault="00A86868" w:rsidP="00610904">
      <w:pPr>
        <w:numPr>
          <w:ilvl w:val="0"/>
          <w:numId w:val="1"/>
        </w:numPr>
        <w:rPr>
          <w:noProof w:val="0"/>
          <w:lang w:val="en-US"/>
        </w:rPr>
      </w:pPr>
      <w:r w:rsidRPr="00610904">
        <w:rPr>
          <w:noProof w:val="0"/>
          <w:szCs w:val="22"/>
          <w:lang w:val="en-US"/>
        </w:rPr>
        <w:t xml:space="preserve">In a </w:t>
      </w:r>
      <w:r w:rsidR="006805C3" w:rsidRPr="00610904">
        <w:rPr>
          <w:noProof w:val="0"/>
          <w:szCs w:val="22"/>
          <w:lang w:val="en-US"/>
        </w:rPr>
        <w:t xml:space="preserve">decision </w:t>
      </w:r>
      <w:r w:rsidR="00653A30" w:rsidRPr="00610904">
        <w:rPr>
          <w:noProof w:val="0"/>
          <w:szCs w:val="20"/>
          <w:lang w:val="en-US"/>
        </w:rPr>
        <w:t>of April 22,</w:t>
      </w:r>
      <w:r w:rsidR="00022F5E" w:rsidRPr="00610904">
        <w:rPr>
          <w:noProof w:val="0"/>
          <w:szCs w:val="20"/>
          <w:lang w:val="en-US"/>
        </w:rPr>
        <w:t xml:space="preserve"> 2005, </w:t>
      </w:r>
      <w:r w:rsidR="006805C3" w:rsidRPr="00610904">
        <w:rPr>
          <w:rFonts w:cs="Arial"/>
          <w:noProof w:val="0"/>
          <w:szCs w:val="20"/>
          <w:lang w:val="en-US"/>
        </w:rPr>
        <w:t xml:space="preserve">the Second </w:t>
      </w:r>
      <w:r w:rsidRPr="00610904">
        <w:rPr>
          <w:rFonts w:cs="Arial"/>
          <w:noProof w:val="0"/>
          <w:szCs w:val="20"/>
          <w:lang w:val="en-US"/>
        </w:rPr>
        <w:t xml:space="preserve">Criminal </w:t>
      </w:r>
      <w:r w:rsidR="006805C3" w:rsidRPr="00610904">
        <w:rPr>
          <w:rFonts w:cs="Arial"/>
          <w:noProof w:val="0"/>
          <w:szCs w:val="20"/>
          <w:lang w:val="en-US"/>
        </w:rPr>
        <w:t>Chamber</w:t>
      </w:r>
      <w:r w:rsidR="006805C3" w:rsidRPr="00610904">
        <w:rPr>
          <w:noProof w:val="0"/>
          <w:szCs w:val="20"/>
          <w:lang w:val="en-US"/>
        </w:rPr>
        <w:t xml:space="preserve"> of the former </w:t>
      </w:r>
      <w:r w:rsidR="00653A30" w:rsidRPr="00610904">
        <w:rPr>
          <w:noProof w:val="0"/>
          <w:szCs w:val="20"/>
          <w:lang w:val="en-US"/>
        </w:rPr>
        <w:t>Superior Court of Justice of</w:t>
      </w:r>
      <w:r w:rsidR="00022F5E" w:rsidRPr="00610904">
        <w:rPr>
          <w:noProof w:val="0"/>
          <w:szCs w:val="20"/>
          <w:lang w:val="en-US"/>
        </w:rPr>
        <w:t xml:space="preserve"> </w:t>
      </w:r>
      <w:proofErr w:type="gramStart"/>
      <w:r w:rsidR="00022F5E" w:rsidRPr="00610904">
        <w:rPr>
          <w:noProof w:val="0"/>
          <w:szCs w:val="20"/>
          <w:lang w:val="en-US"/>
        </w:rPr>
        <w:t>Cuenca,</w:t>
      </w:r>
      <w:proofErr w:type="gramEnd"/>
      <w:r w:rsidR="00022F5E" w:rsidRPr="00610904">
        <w:rPr>
          <w:noProof w:val="0"/>
          <w:szCs w:val="20"/>
          <w:lang w:val="en-US"/>
        </w:rPr>
        <w:t xml:space="preserve"> confirm</w:t>
      </w:r>
      <w:r w:rsidR="006805C3" w:rsidRPr="00610904">
        <w:rPr>
          <w:noProof w:val="0"/>
          <w:szCs w:val="20"/>
          <w:lang w:val="en-US"/>
        </w:rPr>
        <w:t xml:space="preserve">ed the </w:t>
      </w:r>
      <w:r w:rsidRPr="00610904">
        <w:rPr>
          <w:noProof w:val="0"/>
          <w:szCs w:val="20"/>
          <w:lang w:val="en-US"/>
        </w:rPr>
        <w:t>application of the statute of limitations</w:t>
      </w:r>
      <w:r w:rsidR="006805C3" w:rsidRPr="00610904">
        <w:rPr>
          <w:noProof w:val="0"/>
          <w:szCs w:val="20"/>
          <w:lang w:val="en-US"/>
        </w:rPr>
        <w:t>.</w:t>
      </w:r>
      <w:r w:rsidR="00022F5E" w:rsidRPr="00610904">
        <w:rPr>
          <w:rStyle w:val="FootnoteReference"/>
          <w:noProof w:val="0"/>
          <w:lang w:val="en-US"/>
        </w:rPr>
        <w:footnoteReference w:id="129"/>
      </w:r>
    </w:p>
    <w:p w:rsidR="00022F5E" w:rsidRPr="00610904" w:rsidRDefault="00022F5E" w:rsidP="00610904">
      <w:pPr>
        <w:rPr>
          <w:noProof w:val="0"/>
          <w:color w:val="FF0000"/>
          <w:szCs w:val="20"/>
          <w:lang w:val="en-US"/>
        </w:rPr>
      </w:pPr>
      <w:r w:rsidRPr="00610904">
        <w:rPr>
          <w:noProof w:val="0"/>
          <w:color w:val="FF0000"/>
          <w:szCs w:val="20"/>
          <w:lang w:val="en-US"/>
        </w:rPr>
        <w:t xml:space="preserve"> </w:t>
      </w:r>
    </w:p>
    <w:p w:rsidR="00022F5E" w:rsidRPr="00610904" w:rsidRDefault="00A8072E" w:rsidP="00610904">
      <w:pPr>
        <w:pStyle w:val="Heading2"/>
        <w:spacing w:before="0" w:after="0"/>
        <w:rPr>
          <w:noProof w:val="0"/>
          <w:lang w:val="en-US"/>
        </w:rPr>
      </w:pPr>
      <w:bookmarkStart w:id="86" w:name="_Toc443399092"/>
      <w:r w:rsidRPr="00610904">
        <w:rPr>
          <w:noProof w:val="0"/>
          <w:lang w:val="en-US"/>
        </w:rPr>
        <w:t>The civil action</w:t>
      </w:r>
      <w:bookmarkEnd w:id="86"/>
    </w:p>
    <w:p w:rsidR="00022F5E" w:rsidRPr="00610904" w:rsidRDefault="00022F5E" w:rsidP="00610904">
      <w:pPr>
        <w:rPr>
          <w:noProof w:val="0"/>
          <w:lang w:val="en-US"/>
        </w:rPr>
      </w:pPr>
    </w:p>
    <w:p w:rsidR="00022F5E" w:rsidRPr="00610904" w:rsidRDefault="006805C3" w:rsidP="00610904">
      <w:pPr>
        <w:numPr>
          <w:ilvl w:val="0"/>
          <w:numId w:val="1"/>
        </w:numPr>
        <w:rPr>
          <w:noProof w:val="0"/>
          <w:lang w:val="en-US"/>
        </w:rPr>
      </w:pPr>
      <w:r w:rsidRPr="00610904">
        <w:rPr>
          <w:rFonts w:cs="Arial"/>
          <w:noProof w:val="0"/>
          <w:szCs w:val="20"/>
          <w:lang w:val="en-US"/>
        </w:rPr>
        <w:t xml:space="preserve">In addition to </w:t>
      </w:r>
      <w:r w:rsidR="00A8072E" w:rsidRPr="00610904">
        <w:rPr>
          <w:rFonts w:cs="Arial"/>
          <w:noProof w:val="0"/>
          <w:szCs w:val="20"/>
          <w:lang w:val="en-US"/>
        </w:rPr>
        <w:t>the criminal action</w:t>
      </w:r>
      <w:r w:rsidR="00022F5E" w:rsidRPr="00610904">
        <w:rPr>
          <w:rFonts w:cs="Arial"/>
          <w:noProof w:val="0"/>
          <w:szCs w:val="20"/>
          <w:lang w:val="en-US"/>
        </w:rPr>
        <w:t xml:space="preserve">, </w:t>
      </w:r>
      <w:r w:rsidR="00EC0A9D" w:rsidRPr="00610904">
        <w:rPr>
          <w:rFonts w:cs="Arial"/>
          <w:noProof w:val="0"/>
          <w:szCs w:val="20"/>
          <w:lang w:val="en-US"/>
        </w:rPr>
        <w:t>Talía’s family</w:t>
      </w:r>
      <w:r w:rsidR="00022F5E" w:rsidRPr="00610904">
        <w:rPr>
          <w:rFonts w:cs="Arial"/>
          <w:noProof w:val="0"/>
          <w:szCs w:val="20"/>
          <w:lang w:val="en-US"/>
        </w:rPr>
        <w:t xml:space="preserve"> </w:t>
      </w:r>
      <w:r w:rsidRPr="00610904">
        <w:rPr>
          <w:rFonts w:cs="Arial"/>
          <w:noProof w:val="0"/>
          <w:szCs w:val="20"/>
          <w:lang w:val="en-US"/>
        </w:rPr>
        <w:t>filed civil remedie</w:t>
      </w:r>
      <w:r w:rsidR="00A86868" w:rsidRPr="00610904">
        <w:rPr>
          <w:rFonts w:cs="Arial"/>
          <w:noProof w:val="0"/>
          <w:szCs w:val="20"/>
          <w:lang w:val="en-US"/>
        </w:rPr>
        <w:t>s</w:t>
      </w:r>
      <w:r w:rsidRPr="00610904">
        <w:rPr>
          <w:rFonts w:cs="Arial"/>
          <w:noProof w:val="0"/>
          <w:szCs w:val="20"/>
          <w:lang w:val="en-US"/>
        </w:rPr>
        <w:t xml:space="preserve"> that sought to obtain </w:t>
      </w:r>
      <w:r w:rsidR="00A86868" w:rsidRPr="00610904">
        <w:rPr>
          <w:rFonts w:cs="Arial"/>
          <w:noProof w:val="0"/>
          <w:szCs w:val="20"/>
          <w:lang w:val="en-US"/>
        </w:rPr>
        <w:t>reparation</w:t>
      </w:r>
      <w:r w:rsidR="00022F5E" w:rsidRPr="00610904">
        <w:rPr>
          <w:rFonts w:cs="Arial"/>
          <w:noProof w:val="0"/>
          <w:szCs w:val="20"/>
          <w:lang w:val="en-US"/>
        </w:rPr>
        <w:t xml:space="preserve"> </w:t>
      </w:r>
      <w:r w:rsidRPr="00610904">
        <w:rPr>
          <w:rFonts w:cs="Arial"/>
          <w:noProof w:val="0"/>
          <w:szCs w:val="20"/>
          <w:lang w:val="en-US"/>
        </w:rPr>
        <w:t>for the damage resulting from the blood transfusion that infected Talia</w:t>
      </w:r>
      <w:r w:rsidR="00C44085" w:rsidRPr="00610904">
        <w:rPr>
          <w:rFonts w:cs="Arial"/>
          <w:noProof w:val="0"/>
          <w:szCs w:val="20"/>
          <w:lang w:val="en-US"/>
        </w:rPr>
        <w:t xml:space="preserve"> with HIV</w:t>
      </w:r>
      <w:r w:rsidR="00022F5E" w:rsidRPr="00610904">
        <w:rPr>
          <w:rFonts w:cs="Arial"/>
          <w:noProof w:val="0"/>
          <w:szCs w:val="20"/>
          <w:lang w:val="en-US"/>
        </w:rPr>
        <w:t xml:space="preserve">. </w:t>
      </w:r>
      <w:r w:rsidRPr="00610904">
        <w:rPr>
          <w:rFonts w:cs="Arial"/>
          <w:noProof w:val="0"/>
          <w:szCs w:val="20"/>
          <w:lang w:val="en-US"/>
        </w:rPr>
        <w:t xml:space="preserve">In this regard, </w:t>
      </w:r>
      <w:r w:rsidR="00022F5E" w:rsidRPr="00610904">
        <w:rPr>
          <w:rFonts w:cs="Arial"/>
          <w:noProof w:val="0"/>
          <w:szCs w:val="20"/>
          <w:lang w:val="en-US"/>
        </w:rPr>
        <w:t xml:space="preserve">Teresa Lluy </w:t>
      </w:r>
      <w:r w:rsidRPr="00610904">
        <w:rPr>
          <w:rFonts w:cs="Arial"/>
          <w:noProof w:val="0"/>
          <w:szCs w:val="20"/>
          <w:lang w:val="en-US"/>
        </w:rPr>
        <w:t xml:space="preserve">filed a claim for damages and, before that, an application for </w:t>
      </w:r>
      <w:r w:rsidR="003A67CA" w:rsidRPr="00610904">
        <w:rPr>
          <w:rFonts w:cs="Arial"/>
          <w:noProof w:val="0"/>
          <w:szCs w:val="20"/>
          <w:lang w:val="en-US"/>
        </w:rPr>
        <w:t xml:space="preserve">waiver of court costs </w:t>
      </w:r>
      <w:r w:rsidRPr="00610904">
        <w:rPr>
          <w:rFonts w:cs="Arial"/>
          <w:noProof w:val="0"/>
          <w:szCs w:val="20"/>
          <w:lang w:val="en-US"/>
        </w:rPr>
        <w:t>(</w:t>
      </w:r>
      <w:r w:rsidR="00022F5E" w:rsidRPr="00610904">
        <w:rPr>
          <w:rFonts w:cs="Arial"/>
          <w:noProof w:val="0"/>
          <w:szCs w:val="20"/>
          <w:lang w:val="en-US"/>
        </w:rPr>
        <w:t>“</w:t>
      </w:r>
      <w:r w:rsidR="003A67CA" w:rsidRPr="00610904">
        <w:rPr>
          <w:rFonts w:cs="Arial"/>
          <w:i/>
          <w:noProof w:val="0"/>
          <w:szCs w:val="20"/>
          <w:lang w:val="en-US"/>
        </w:rPr>
        <w:t>a</w:t>
      </w:r>
      <w:r w:rsidR="00A86868" w:rsidRPr="00610904">
        <w:rPr>
          <w:rFonts w:cs="Arial"/>
          <w:i/>
          <w:noProof w:val="0"/>
          <w:szCs w:val="20"/>
          <w:lang w:val="en-US"/>
        </w:rPr>
        <w:t>m</w:t>
      </w:r>
      <w:r w:rsidR="00A86868" w:rsidRPr="00610904">
        <w:rPr>
          <w:i/>
          <w:noProof w:val="0"/>
          <w:szCs w:val="20"/>
          <w:lang w:val="en-US"/>
        </w:rPr>
        <w:t>paro de pobreza</w:t>
      </w:r>
      <w:r w:rsidR="00022F5E" w:rsidRPr="00610904">
        <w:rPr>
          <w:rFonts w:cs="Arial"/>
          <w:noProof w:val="0"/>
          <w:szCs w:val="20"/>
          <w:lang w:val="en-US"/>
        </w:rPr>
        <w:t>”</w:t>
      </w:r>
      <w:r w:rsidRPr="00610904">
        <w:rPr>
          <w:rFonts w:cs="Arial"/>
          <w:noProof w:val="0"/>
          <w:szCs w:val="20"/>
          <w:lang w:val="en-US"/>
        </w:rPr>
        <w:t>)</w:t>
      </w:r>
      <w:r w:rsidR="00022F5E" w:rsidRPr="00610904">
        <w:rPr>
          <w:rFonts w:cs="Arial"/>
          <w:noProof w:val="0"/>
          <w:szCs w:val="20"/>
          <w:lang w:val="en-US"/>
        </w:rPr>
        <w:t xml:space="preserve"> </w:t>
      </w:r>
      <w:r w:rsidRPr="00610904">
        <w:rPr>
          <w:rFonts w:cs="Arial"/>
          <w:noProof w:val="0"/>
          <w:szCs w:val="20"/>
          <w:lang w:val="en-US"/>
        </w:rPr>
        <w:t>asking that the court declare that she wa</w:t>
      </w:r>
      <w:r w:rsidR="003A67CA" w:rsidRPr="00610904">
        <w:rPr>
          <w:rFonts w:cs="Arial"/>
          <w:noProof w:val="0"/>
          <w:szCs w:val="20"/>
          <w:lang w:val="en-US"/>
        </w:rPr>
        <w:t>s exempted from the c</w:t>
      </w:r>
      <w:r w:rsidRPr="00610904">
        <w:rPr>
          <w:rFonts w:cs="Arial"/>
          <w:noProof w:val="0"/>
          <w:szCs w:val="20"/>
          <w:lang w:val="en-US"/>
        </w:rPr>
        <w:t>ompulsory payment of the “</w:t>
      </w:r>
      <w:r w:rsidR="003A67CA" w:rsidRPr="00610904">
        <w:rPr>
          <w:rFonts w:cs="Arial"/>
          <w:noProof w:val="0"/>
          <w:szCs w:val="20"/>
          <w:lang w:val="en-US"/>
        </w:rPr>
        <w:t>court fee</w:t>
      </w:r>
      <w:r w:rsidR="00A86868" w:rsidRPr="00610904">
        <w:rPr>
          <w:rFonts w:cs="Arial"/>
          <w:noProof w:val="0"/>
          <w:szCs w:val="20"/>
          <w:lang w:val="en-US"/>
        </w:rPr>
        <w:t>s</w:t>
      </w:r>
      <w:r w:rsidR="003A67CA" w:rsidRPr="00610904">
        <w:rPr>
          <w:rFonts w:cs="Arial"/>
          <w:noProof w:val="0"/>
          <w:szCs w:val="20"/>
          <w:lang w:val="en-US"/>
        </w:rPr>
        <w:t xml:space="preserve">” </w:t>
      </w:r>
      <w:r w:rsidR="00A86868" w:rsidRPr="00610904">
        <w:rPr>
          <w:rFonts w:cs="Arial"/>
          <w:noProof w:val="0"/>
          <w:szCs w:val="20"/>
          <w:lang w:val="en-US"/>
        </w:rPr>
        <w:t>required in order to</w:t>
      </w:r>
      <w:r w:rsidR="003A67CA" w:rsidRPr="00610904">
        <w:rPr>
          <w:rFonts w:cs="Arial"/>
          <w:noProof w:val="0"/>
          <w:szCs w:val="20"/>
          <w:lang w:val="en-US"/>
        </w:rPr>
        <w:t xml:space="preserve"> </w:t>
      </w:r>
      <w:r w:rsidR="00A86868" w:rsidRPr="00610904">
        <w:rPr>
          <w:rFonts w:cs="Arial"/>
          <w:noProof w:val="0"/>
          <w:szCs w:val="20"/>
          <w:lang w:val="en-US"/>
        </w:rPr>
        <w:t xml:space="preserve">obtain legal standing to </w:t>
      </w:r>
      <w:r w:rsidR="003A67CA" w:rsidRPr="00610904">
        <w:rPr>
          <w:rFonts w:cs="Arial"/>
          <w:noProof w:val="0"/>
          <w:szCs w:val="20"/>
          <w:lang w:val="en-US"/>
        </w:rPr>
        <w:t>claim for damages.</w:t>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022F5E" w:rsidP="00610904">
      <w:pPr>
        <w:pStyle w:val="Heading3"/>
        <w:rPr>
          <w:noProof w:val="0"/>
          <w:lang w:val="en-US"/>
        </w:rPr>
      </w:pPr>
      <w:bookmarkStart w:id="87" w:name="_Toc443399093"/>
      <w:r w:rsidRPr="00610904">
        <w:rPr>
          <w:noProof w:val="0"/>
          <w:lang w:val="en-US"/>
        </w:rPr>
        <w:t xml:space="preserve">E.1 </w:t>
      </w:r>
      <w:r w:rsidR="003A67CA" w:rsidRPr="00610904">
        <w:rPr>
          <w:noProof w:val="0"/>
          <w:lang w:val="en-US"/>
        </w:rPr>
        <w:t>Waiver of court costs</w:t>
      </w:r>
      <w:bookmarkEnd w:id="87"/>
    </w:p>
    <w:p w:rsidR="00022F5E" w:rsidRPr="00610904" w:rsidRDefault="00022F5E" w:rsidP="00610904">
      <w:pPr>
        <w:rPr>
          <w:noProof w:val="0"/>
          <w:lang w:val="en-US"/>
        </w:rPr>
      </w:pPr>
    </w:p>
    <w:p w:rsidR="00022F5E" w:rsidRPr="00610904" w:rsidRDefault="00653A30" w:rsidP="00610904">
      <w:pPr>
        <w:numPr>
          <w:ilvl w:val="0"/>
          <w:numId w:val="1"/>
        </w:numPr>
        <w:rPr>
          <w:noProof w:val="0"/>
          <w:lang w:val="en-US"/>
        </w:rPr>
      </w:pPr>
      <w:r w:rsidRPr="00610904">
        <w:rPr>
          <w:rFonts w:cs="Arial"/>
          <w:noProof w:val="0"/>
          <w:szCs w:val="20"/>
          <w:lang w:val="en-US"/>
        </w:rPr>
        <w:t>On September 26,</w:t>
      </w:r>
      <w:r w:rsidR="00022F5E" w:rsidRPr="00610904">
        <w:rPr>
          <w:noProof w:val="0"/>
          <w:szCs w:val="20"/>
          <w:lang w:val="en-US"/>
        </w:rPr>
        <w:t xml:space="preserve"> 2001</w:t>
      </w:r>
      <w:r w:rsidRPr="00610904">
        <w:rPr>
          <w:noProof w:val="0"/>
          <w:szCs w:val="20"/>
          <w:lang w:val="en-US"/>
        </w:rPr>
        <w:t>,</w:t>
      </w:r>
      <w:r w:rsidR="00022F5E" w:rsidRPr="00610904">
        <w:rPr>
          <w:noProof w:val="0"/>
          <w:szCs w:val="20"/>
          <w:lang w:val="en-US"/>
        </w:rPr>
        <w:t xml:space="preserve"> Teresa Lluy </w:t>
      </w:r>
      <w:r w:rsidR="003A67CA" w:rsidRPr="00610904">
        <w:rPr>
          <w:noProof w:val="0"/>
          <w:szCs w:val="20"/>
          <w:lang w:val="en-US"/>
        </w:rPr>
        <w:t xml:space="preserve">applied for a waiver of court costs to the Civil Judge of </w:t>
      </w:r>
      <w:r w:rsidR="00022F5E" w:rsidRPr="00610904">
        <w:rPr>
          <w:noProof w:val="0"/>
          <w:szCs w:val="20"/>
          <w:lang w:val="en-US"/>
        </w:rPr>
        <w:t xml:space="preserve">Cuenca, </w:t>
      </w:r>
      <w:r w:rsidR="003A67CA" w:rsidRPr="00610904">
        <w:rPr>
          <w:noProof w:val="0"/>
          <w:szCs w:val="20"/>
          <w:lang w:val="en-US"/>
        </w:rPr>
        <w:t>in order to file a claim for damage</w:t>
      </w:r>
      <w:r w:rsidR="00FC14B8" w:rsidRPr="00610904">
        <w:rPr>
          <w:noProof w:val="0"/>
          <w:szCs w:val="20"/>
          <w:lang w:val="en-US"/>
        </w:rPr>
        <w:t>s</w:t>
      </w:r>
      <w:r w:rsidR="003A67CA" w:rsidRPr="00610904">
        <w:rPr>
          <w:noProof w:val="0"/>
          <w:szCs w:val="20"/>
          <w:lang w:val="en-US"/>
        </w:rPr>
        <w:t xml:space="preserve"> against the Azuay Provincial </w:t>
      </w:r>
      <w:r w:rsidR="00A8072E" w:rsidRPr="00610904">
        <w:rPr>
          <w:noProof w:val="0"/>
          <w:szCs w:val="20"/>
          <w:lang w:val="en-US"/>
        </w:rPr>
        <w:t>Red Cross</w:t>
      </w:r>
      <w:r w:rsidR="00022F5E" w:rsidRPr="00610904">
        <w:rPr>
          <w:noProof w:val="0"/>
          <w:szCs w:val="20"/>
          <w:lang w:val="en-US"/>
        </w:rPr>
        <w:t xml:space="preserve">, </w:t>
      </w:r>
      <w:r w:rsidR="003A67CA" w:rsidRPr="00610904">
        <w:rPr>
          <w:noProof w:val="0"/>
          <w:szCs w:val="20"/>
          <w:lang w:val="en-US"/>
        </w:rPr>
        <w:t xml:space="preserve">without having to pay the “court fee” required in order to </w:t>
      </w:r>
      <w:r w:rsidR="00FC14B8" w:rsidRPr="00610904">
        <w:rPr>
          <w:noProof w:val="0"/>
          <w:szCs w:val="20"/>
          <w:lang w:val="en-US"/>
        </w:rPr>
        <w:t>obtain</w:t>
      </w:r>
      <w:r w:rsidR="003A67CA" w:rsidRPr="00610904">
        <w:rPr>
          <w:noProof w:val="0"/>
          <w:szCs w:val="20"/>
          <w:lang w:val="en-US"/>
        </w:rPr>
        <w:t xml:space="preserve"> legal standing</w:t>
      </w:r>
      <w:r w:rsidR="00022F5E" w:rsidRPr="00610904">
        <w:rPr>
          <w:noProof w:val="0"/>
          <w:szCs w:val="20"/>
          <w:lang w:val="en-US"/>
        </w:rPr>
        <w:t xml:space="preserve">. Teresa Lluy </w:t>
      </w:r>
      <w:r w:rsidR="003A67CA" w:rsidRPr="00610904">
        <w:rPr>
          <w:noProof w:val="0"/>
          <w:szCs w:val="20"/>
          <w:lang w:val="en-US"/>
        </w:rPr>
        <w:t>informed the Civil</w:t>
      </w:r>
      <w:r w:rsidR="00022F5E" w:rsidRPr="00610904">
        <w:rPr>
          <w:noProof w:val="0"/>
          <w:szCs w:val="20"/>
          <w:lang w:val="en-US"/>
        </w:rPr>
        <w:t xml:space="preserve"> </w:t>
      </w:r>
      <w:r w:rsidR="009F3D78" w:rsidRPr="00610904">
        <w:rPr>
          <w:noProof w:val="0"/>
          <w:szCs w:val="20"/>
          <w:lang w:val="en-US"/>
        </w:rPr>
        <w:t>Judge</w:t>
      </w:r>
      <w:r w:rsidR="00022F5E" w:rsidRPr="00610904">
        <w:rPr>
          <w:noProof w:val="0"/>
          <w:szCs w:val="20"/>
          <w:lang w:val="en-US"/>
        </w:rPr>
        <w:t xml:space="preserve"> </w:t>
      </w:r>
      <w:r w:rsidR="003A67CA" w:rsidRPr="00610904">
        <w:rPr>
          <w:noProof w:val="0"/>
          <w:szCs w:val="20"/>
          <w:lang w:val="en-US"/>
        </w:rPr>
        <w:t>that “owing to [her] financial situation, it was impossible to cover this expense.</w:t>
      </w:r>
      <w:r w:rsidR="00022F5E" w:rsidRPr="00610904">
        <w:rPr>
          <w:noProof w:val="0"/>
          <w:szCs w:val="20"/>
          <w:lang w:val="en-US"/>
        </w:rPr>
        <w:t>”</w:t>
      </w:r>
      <w:r w:rsidR="00022F5E" w:rsidRPr="00610904">
        <w:rPr>
          <w:rStyle w:val="FootnoteReference"/>
          <w:noProof w:val="0"/>
          <w:lang w:val="en-US"/>
        </w:rPr>
        <w:footnoteReference w:id="130"/>
      </w:r>
    </w:p>
    <w:p w:rsidR="00022F5E" w:rsidRPr="00610904" w:rsidRDefault="00022F5E" w:rsidP="00610904">
      <w:pPr>
        <w:rPr>
          <w:noProof w:val="0"/>
          <w:lang w:val="en-US"/>
        </w:rPr>
      </w:pPr>
    </w:p>
    <w:p w:rsidR="00022F5E" w:rsidRPr="00610904" w:rsidRDefault="00EC0A9D" w:rsidP="00610904">
      <w:pPr>
        <w:numPr>
          <w:ilvl w:val="0"/>
          <w:numId w:val="1"/>
        </w:numPr>
        <w:rPr>
          <w:noProof w:val="0"/>
          <w:lang w:val="en-US"/>
        </w:rPr>
      </w:pPr>
      <w:r w:rsidRPr="00610904">
        <w:rPr>
          <w:noProof w:val="0"/>
          <w:szCs w:val="20"/>
          <w:lang w:val="en-US"/>
        </w:rPr>
        <w:t>On November 14,</w:t>
      </w:r>
      <w:r w:rsidR="00022F5E" w:rsidRPr="00610904">
        <w:rPr>
          <w:noProof w:val="0"/>
          <w:szCs w:val="20"/>
          <w:lang w:val="en-US"/>
        </w:rPr>
        <w:t xml:space="preserve"> 2001</w:t>
      </w:r>
      <w:r w:rsidR="003A67CA" w:rsidRPr="00610904">
        <w:rPr>
          <w:noProof w:val="0"/>
          <w:szCs w:val="20"/>
          <w:lang w:val="en-US"/>
        </w:rPr>
        <w:t xml:space="preserve">, Ms. CS </w:t>
      </w:r>
      <w:r w:rsidR="00FC14B8" w:rsidRPr="00610904">
        <w:rPr>
          <w:noProof w:val="0"/>
          <w:szCs w:val="20"/>
          <w:lang w:val="en-US"/>
        </w:rPr>
        <w:t>came forward to testify, and</w:t>
      </w:r>
      <w:r w:rsidR="003A67CA" w:rsidRPr="00610904">
        <w:rPr>
          <w:noProof w:val="0"/>
          <w:szCs w:val="20"/>
          <w:lang w:val="en-US"/>
        </w:rPr>
        <w:t xml:space="preserve"> indicated that </w:t>
      </w:r>
      <w:r w:rsidRPr="00610904">
        <w:rPr>
          <w:noProof w:val="0"/>
          <w:szCs w:val="20"/>
          <w:lang w:val="en-US"/>
        </w:rPr>
        <w:t>Talía’s family</w:t>
      </w:r>
      <w:r w:rsidR="00022F5E" w:rsidRPr="00610904">
        <w:rPr>
          <w:noProof w:val="0"/>
          <w:szCs w:val="20"/>
          <w:lang w:val="en-US"/>
        </w:rPr>
        <w:t xml:space="preserve"> “</w:t>
      </w:r>
      <w:r w:rsidR="003A67CA" w:rsidRPr="00610904">
        <w:rPr>
          <w:noProof w:val="0"/>
          <w:szCs w:val="20"/>
          <w:lang w:val="en-US"/>
        </w:rPr>
        <w:t>had a very precarious financial situation.” The same day, M</w:t>
      </w:r>
      <w:r w:rsidR="00FC14B8" w:rsidRPr="00610904">
        <w:rPr>
          <w:noProof w:val="0"/>
          <w:szCs w:val="20"/>
          <w:lang w:val="en-US"/>
        </w:rPr>
        <w:t>r</w:t>
      </w:r>
      <w:r w:rsidR="003A67CA" w:rsidRPr="00610904">
        <w:rPr>
          <w:noProof w:val="0"/>
          <w:szCs w:val="20"/>
          <w:lang w:val="en-US"/>
        </w:rPr>
        <w:t xml:space="preserve">. JAB testified and stated that “it [was] true that </w:t>
      </w:r>
      <w:r w:rsidR="00022F5E" w:rsidRPr="00610904">
        <w:rPr>
          <w:noProof w:val="0"/>
          <w:szCs w:val="20"/>
          <w:lang w:val="en-US"/>
        </w:rPr>
        <w:t>[Teresa Lluy</w:t>
      </w:r>
      <w:r w:rsidR="003A67CA" w:rsidRPr="00610904">
        <w:rPr>
          <w:noProof w:val="0"/>
          <w:szCs w:val="20"/>
          <w:lang w:val="en-US"/>
        </w:rPr>
        <w:t>’s</w:t>
      </w:r>
      <w:r w:rsidR="00022F5E" w:rsidRPr="00610904">
        <w:rPr>
          <w:noProof w:val="0"/>
          <w:szCs w:val="20"/>
          <w:lang w:val="en-US"/>
        </w:rPr>
        <w:t xml:space="preserve">] </w:t>
      </w:r>
      <w:r w:rsidR="003A67CA" w:rsidRPr="00610904">
        <w:rPr>
          <w:noProof w:val="0"/>
          <w:szCs w:val="20"/>
          <w:lang w:val="en-US"/>
        </w:rPr>
        <w:t>financial situation was precarious.”</w:t>
      </w:r>
    </w:p>
    <w:p w:rsidR="00022F5E" w:rsidRPr="00610904" w:rsidRDefault="00022F5E" w:rsidP="00610904">
      <w:pPr>
        <w:rPr>
          <w:noProof w:val="0"/>
          <w:szCs w:val="20"/>
          <w:lang w:val="en-US"/>
        </w:rPr>
      </w:pPr>
    </w:p>
    <w:p w:rsidR="00022F5E" w:rsidRPr="00610904" w:rsidRDefault="00EC0A9D" w:rsidP="00610904">
      <w:pPr>
        <w:numPr>
          <w:ilvl w:val="0"/>
          <w:numId w:val="1"/>
        </w:numPr>
        <w:rPr>
          <w:noProof w:val="0"/>
          <w:lang w:val="en-US"/>
        </w:rPr>
      </w:pPr>
      <w:r w:rsidRPr="00610904">
        <w:rPr>
          <w:noProof w:val="0"/>
          <w:szCs w:val="20"/>
          <w:lang w:val="en-US"/>
        </w:rPr>
        <w:t>On December 5,</w:t>
      </w:r>
      <w:r w:rsidR="00022F5E" w:rsidRPr="00610904">
        <w:rPr>
          <w:noProof w:val="0"/>
          <w:szCs w:val="20"/>
          <w:lang w:val="en-US"/>
        </w:rPr>
        <w:t xml:space="preserve"> 2001</w:t>
      </w:r>
      <w:r w:rsidR="003A67CA" w:rsidRPr="00610904">
        <w:rPr>
          <w:noProof w:val="0"/>
          <w:szCs w:val="20"/>
          <w:lang w:val="en-US"/>
        </w:rPr>
        <w:t xml:space="preserve">, </w:t>
      </w:r>
      <w:r w:rsidR="00022F5E" w:rsidRPr="00610904">
        <w:rPr>
          <w:noProof w:val="0"/>
          <w:szCs w:val="20"/>
          <w:lang w:val="en-US"/>
        </w:rPr>
        <w:t xml:space="preserve">Teresa Lluy </w:t>
      </w:r>
      <w:r w:rsidR="003A67CA" w:rsidRPr="00610904">
        <w:rPr>
          <w:noProof w:val="0"/>
          <w:szCs w:val="20"/>
          <w:lang w:val="en-US"/>
        </w:rPr>
        <w:t xml:space="preserve">was granted a waiver of court fees so that she could file </w:t>
      </w:r>
      <w:r w:rsidR="00A8072E" w:rsidRPr="00610904">
        <w:rPr>
          <w:noProof w:val="0"/>
          <w:szCs w:val="20"/>
          <w:lang w:val="en-US"/>
        </w:rPr>
        <w:t>the civil action</w:t>
      </w:r>
      <w:r w:rsidR="00022F5E" w:rsidRPr="00610904">
        <w:rPr>
          <w:noProof w:val="0"/>
          <w:szCs w:val="20"/>
          <w:lang w:val="en-US"/>
        </w:rPr>
        <w:t xml:space="preserve"> </w:t>
      </w:r>
      <w:r w:rsidR="003A67CA" w:rsidRPr="00610904">
        <w:rPr>
          <w:noProof w:val="0"/>
          <w:szCs w:val="20"/>
          <w:lang w:val="en-US"/>
        </w:rPr>
        <w:t>for damages without having to pay the required “court fee.”</w:t>
      </w:r>
      <w:r w:rsidR="00022F5E" w:rsidRPr="00610904">
        <w:rPr>
          <w:rStyle w:val="FootnoteReference"/>
          <w:noProof w:val="0"/>
          <w:lang w:val="en-US"/>
        </w:rPr>
        <w:footnoteReference w:id="131"/>
      </w:r>
      <w:r w:rsidR="00022F5E" w:rsidRPr="00610904">
        <w:rPr>
          <w:noProof w:val="0"/>
          <w:szCs w:val="20"/>
          <w:lang w:val="en-US"/>
        </w:rPr>
        <w:t xml:space="preserve"> </w:t>
      </w:r>
    </w:p>
    <w:p w:rsidR="00022F5E" w:rsidRPr="00610904" w:rsidRDefault="00022F5E" w:rsidP="00610904">
      <w:pPr>
        <w:rPr>
          <w:noProof w:val="0"/>
          <w:szCs w:val="20"/>
          <w:lang w:val="en-US"/>
        </w:rPr>
      </w:pPr>
    </w:p>
    <w:p w:rsidR="00022F5E" w:rsidRPr="00610904" w:rsidRDefault="00022F5E" w:rsidP="00610904">
      <w:pPr>
        <w:pStyle w:val="Heading3"/>
        <w:rPr>
          <w:noProof w:val="0"/>
          <w:lang w:val="en-US"/>
        </w:rPr>
      </w:pPr>
      <w:bookmarkStart w:id="88" w:name="_Toc443399094"/>
      <w:r w:rsidRPr="00610904">
        <w:rPr>
          <w:noProof w:val="0"/>
          <w:lang w:val="en-US"/>
        </w:rPr>
        <w:t xml:space="preserve">E.2 </w:t>
      </w:r>
      <w:r w:rsidR="003A67CA" w:rsidRPr="00610904">
        <w:rPr>
          <w:noProof w:val="0"/>
          <w:szCs w:val="20"/>
          <w:lang w:val="en-US"/>
        </w:rPr>
        <w:t>Claim for damages</w:t>
      </w:r>
      <w:bookmarkEnd w:id="88"/>
    </w:p>
    <w:p w:rsidR="00022F5E" w:rsidRPr="00610904" w:rsidRDefault="00022F5E" w:rsidP="00610904">
      <w:pPr>
        <w:rPr>
          <w:noProof w:val="0"/>
          <w:lang w:val="en-US"/>
        </w:rPr>
      </w:pPr>
    </w:p>
    <w:p w:rsidR="00022F5E" w:rsidRPr="00610904" w:rsidRDefault="00EC0A9D" w:rsidP="00610904">
      <w:pPr>
        <w:numPr>
          <w:ilvl w:val="0"/>
          <w:numId w:val="1"/>
        </w:numPr>
        <w:rPr>
          <w:noProof w:val="0"/>
          <w:lang w:val="en-US"/>
        </w:rPr>
      </w:pPr>
      <w:r w:rsidRPr="00610904">
        <w:rPr>
          <w:rFonts w:cs="Arial"/>
          <w:noProof w:val="0"/>
          <w:szCs w:val="20"/>
          <w:lang w:val="en-US"/>
        </w:rPr>
        <w:t>On March 4,</w:t>
      </w:r>
      <w:r w:rsidR="00022F5E" w:rsidRPr="00610904">
        <w:rPr>
          <w:rFonts w:cs="Arial"/>
          <w:noProof w:val="0"/>
          <w:szCs w:val="20"/>
          <w:lang w:val="en-US"/>
        </w:rPr>
        <w:t xml:space="preserve"> 2002</w:t>
      </w:r>
      <w:r w:rsidRPr="00610904">
        <w:rPr>
          <w:rFonts w:cs="Arial"/>
          <w:noProof w:val="0"/>
          <w:szCs w:val="20"/>
          <w:lang w:val="en-US"/>
        </w:rPr>
        <w:t>,</w:t>
      </w:r>
      <w:r w:rsidR="00022F5E" w:rsidRPr="00610904">
        <w:rPr>
          <w:rFonts w:cs="Arial"/>
          <w:noProof w:val="0"/>
          <w:szCs w:val="20"/>
          <w:lang w:val="en-US"/>
        </w:rPr>
        <w:t xml:space="preserve"> Teresa Lluy </w:t>
      </w:r>
      <w:r w:rsidR="003A67CA" w:rsidRPr="00610904">
        <w:rPr>
          <w:rFonts w:cs="Arial"/>
          <w:noProof w:val="0"/>
          <w:szCs w:val="20"/>
          <w:lang w:val="en-US"/>
        </w:rPr>
        <w:t>filed a</w:t>
      </w:r>
      <w:r w:rsidR="00022F5E" w:rsidRPr="00610904">
        <w:rPr>
          <w:rFonts w:cs="Arial"/>
          <w:noProof w:val="0"/>
          <w:szCs w:val="20"/>
          <w:lang w:val="en-US"/>
        </w:rPr>
        <w:t xml:space="preserve"> </w:t>
      </w:r>
      <w:r w:rsidR="003A67CA" w:rsidRPr="00610904">
        <w:rPr>
          <w:rFonts w:cs="Arial"/>
          <w:noProof w:val="0"/>
          <w:szCs w:val="20"/>
          <w:lang w:val="en-US"/>
        </w:rPr>
        <w:t>claim for damages</w:t>
      </w:r>
      <w:r w:rsidR="00022F5E" w:rsidRPr="00610904">
        <w:rPr>
          <w:rFonts w:cs="Arial"/>
          <w:noProof w:val="0"/>
          <w:szCs w:val="20"/>
          <w:lang w:val="en-US"/>
        </w:rPr>
        <w:t xml:space="preserve"> </w:t>
      </w:r>
      <w:r w:rsidR="003A67CA" w:rsidRPr="00610904">
        <w:rPr>
          <w:rFonts w:cs="Arial"/>
          <w:noProof w:val="0"/>
          <w:szCs w:val="20"/>
          <w:lang w:val="en-US"/>
        </w:rPr>
        <w:t>against</w:t>
      </w:r>
      <w:r w:rsidR="00022F5E" w:rsidRPr="00610904">
        <w:rPr>
          <w:rFonts w:cs="Arial"/>
          <w:noProof w:val="0"/>
          <w:szCs w:val="20"/>
          <w:lang w:val="en-US"/>
        </w:rPr>
        <w:t xml:space="preserve"> PMT, </w:t>
      </w:r>
      <w:r w:rsidR="003A67CA" w:rsidRPr="00610904">
        <w:rPr>
          <w:rFonts w:cs="Arial"/>
          <w:noProof w:val="0"/>
          <w:szCs w:val="20"/>
          <w:lang w:val="en-US"/>
        </w:rPr>
        <w:t>in his capacity as</w:t>
      </w:r>
      <w:r w:rsidR="00022F5E" w:rsidRPr="00610904">
        <w:rPr>
          <w:rFonts w:cs="Arial"/>
          <w:noProof w:val="0"/>
          <w:szCs w:val="20"/>
          <w:lang w:val="en-US"/>
        </w:rPr>
        <w:t xml:space="preserve"> Director</w:t>
      </w:r>
      <w:r w:rsidR="00A8072E" w:rsidRPr="00610904">
        <w:rPr>
          <w:rFonts w:cs="Arial"/>
          <w:noProof w:val="0"/>
          <w:szCs w:val="20"/>
          <w:lang w:val="en-US"/>
        </w:rPr>
        <w:t xml:space="preserve"> of the </w:t>
      </w:r>
      <w:r w:rsidR="00C44085" w:rsidRPr="00610904">
        <w:rPr>
          <w:rFonts w:cs="Arial"/>
          <w:noProof w:val="0"/>
          <w:szCs w:val="20"/>
          <w:lang w:val="en-US"/>
        </w:rPr>
        <w:t>Red Cross Blood Bank</w:t>
      </w:r>
      <w:r w:rsidR="003A67CA" w:rsidRPr="00610904">
        <w:rPr>
          <w:rFonts w:cs="Arial"/>
          <w:noProof w:val="0"/>
          <w:szCs w:val="20"/>
          <w:lang w:val="en-US"/>
        </w:rPr>
        <w:t xml:space="preserve"> of</w:t>
      </w:r>
      <w:r w:rsidR="00022F5E" w:rsidRPr="00610904">
        <w:rPr>
          <w:rFonts w:cs="Arial"/>
          <w:noProof w:val="0"/>
          <w:szCs w:val="20"/>
          <w:lang w:val="en-US"/>
        </w:rPr>
        <w:t xml:space="preserve"> Azuay;</w:t>
      </w:r>
      <w:r w:rsidR="009F3D78" w:rsidRPr="00610904">
        <w:rPr>
          <w:rFonts w:cs="Arial"/>
          <w:noProof w:val="0"/>
          <w:szCs w:val="20"/>
          <w:lang w:val="en-US"/>
        </w:rPr>
        <w:t xml:space="preserve"> and </w:t>
      </w:r>
      <w:r w:rsidR="003A67CA" w:rsidRPr="00610904">
        <w:rPr>
          <w:rFonts w:cs="Arial"/>
          <w:noProof w:val="0"/>
          <w:szCs w:val="20"/>
          <w:lang w:val="en-US"/>
        </w:rPr>
        <w:t xml:space="preserve">against the institution </w:t>
      </w:r>
      <w:r w:rsidR="00A8072E" w:rsidRPr="00610904">
        <w:rPr>
          <w:rFonts w:cs="Arial"/>
          <w:noProof w:val="0"/>
          <w:szCs w:val="20"/>
          <w:lang w:val="en-US"/>
        </w:rPr>
        <w:t>of the Red Cross</w:t>
      </w:r>
      <w:r w:rsidR="00022F5E" w:rsidRPr="00610904">
        <w:rPr>
          <w:rFonts w:cs="Arial"/>
          <w:noProof w:val="0"/>
          <w:szCs w:val="20"/>
          <w:lang w:val="en-US"/>
        </w:rPr>
        <w:t xml:space="preserve"> </w:t>
      </w:r>
      <w:r w:rsidR="003A67CA" w:rsidRPr="00610904">
        <w:rPr>
          <w:rFonts w:cs="Arial"/>
          <w:noProof w:val="0"/>
          <w:szCs w:val="20"/>
          <w:lang w:val="en-US"/>
        </w:rPr>
        <w:t xml:space="preserve">of </w:t>
      </w:r>
      <w:r w:rsidR="00022F5E" w:rsidRPr="00610904">
        <w:rPr>
          <w:rFonts w:cs="Arial"/>
          <w:noProof w:val="0"/>
          <w:szCs w:val="20"/>
          <w:lang w:val="en-US"/>
        </w:rPr>
        <w:t>Azuay, represent</w:t>
      </w:r>
      <w:r w:rsidR="003A67CA" w:rsidRPr="00610904">
        <w:rPr>
          <w:rFonts w:cs="Arial"/>
          <w:noProof w:val="0"/>
          <w:szCs w:val="20"/>
          <w:lang w:val="en-US"/>
        </w:rPr>
        <w:t xml:space="preserve">ed by Mr. </w:t>
      </w:r>
      <w:r w:rsidR="00022F5E" w:rsidRPr="00610904">
        <w:rPr>
          <w:rFonts w:cs="Arial"/>
          <w:noProof w:val="0"/>
          <w:szCs w:val="20"/>
          <w:lang w:val="en-US"/>
        </w:rPr>
        <w:t xml:space="preserve">CAA, </w:t>
      </w:r>
      <w:r w:rsidR="003A67CA" w:rsidRPr="00610904">
        <w:rPr>
          <w:rFonts w:cs="Arial"/>
          <w:noProof w:val="0"/>
          <w:szCs w:val="20"/>
          <w:lang w:val="en-US"/>
        </w:rPr>
        <w:t>in his capacity of</w:t>
      </w:r>
      <w:r w:rsidR="00022F5E" w:rsidRPr="00610904">
        <w:rPr>
          <w:rFonts w:cs="Arial"/>
          <w:noProof w:val="0"/>
          <w:szCs w:val="20"/>
          <w:lang w:val="en-US"/>
        </w:rPr>
        <w:t xml:space="preserve"> </w:t>
      </w:r>
      <w:r w:rsidR="009F3D78" w:rsidRPr="00610904">
        <w:rPr>
          <w:rFonts w:cs="Arial"/>
          <w:noProof w:val="0"/>
          <w:szCs w:val="20"/>
          <w:lang w:val="en-US"/>
        </w:rPr>
        <w:t>President</w:t>
      </w:r>
      <w:r w:rsidR="00A8072E" w:rsidRPr="00610904">
        <w:rPr>
          <w:rFonts w:cs="Arial"/>
          <w:noProof w:val="0"/>
          <w:szCs w:val="20"/>
          <w:lang w:val="en-US"/>
        </w:rPr>
        <w:t xml:space="preserve"> of the </w:t>
      </w:r>
      <w:r w:rsidR="003A67CA" w:rsidRPr="00610904">
        <w:rPr>
          <w:rFonts w:cs="Arial"/>
          <w:noProof w:val="0"/>
          <w:szCs w:val="20"/>
          <w:lang w:val="en-US"/>
        </w:rPr>
        <w:t xml:space="preserve">Azuay Provincial </w:t>
      </w:r>
      <w:r w:rsidR="00A8072E" w:rsidRPr="00610904">
        <w:rPr>
          <w:rFonts w:cs="Arial"/>
          <w:noProof w:val="0"/>
          <w:szCs w:val="20"/>
          <w:lang w:val="en-US"/>
        </w:rPr>
        <w:lastRenderedPageBreak/>
        <w:t>Red Cross</w:t>
      </w:r>
      <w:r w:rsidR="003A67CA" w:rsidRPr="00610904">
        <w:rPr>
          <w:rFonts w:cs="Arial"/>
          <w:noProof w:val="0"/>
          <w:szCs w:val="20"/>
          <w:lang w:val="en-US"/>
        </w:rPr>
        <w:t>.</w:t>
      </w:r>
      <w:r w:rsidR="00022F5E" w:rsidRPr="00610904">
        <w:rPr>
          <w:rStyle w:val="FootnoteReference"/>
          <w:noProof w:val="0"/>
          <w:lang w:val="en-US"/>
        </w:rPr>
        <w:footnoteReference w:id="132"/>
      </w:r>
      <w:r w:rsidR="00022F5E" w:rsidRPr="00610904">
        <w:rPr>
          <w:rFonts w:cs="Arial"/>
          <w:noProof w:val="0"/>
          <w:szCs w:val="20"/>
          <w:lang w:val="en-US"/>
        </w:rPr>
        <w:t xml:space="preserve"> </w:t>
      </w:r>
      <w:r w:rsidR="00022F5E" w:rsidRPr="00610904">
        <w:rPr>
          <w:noProof w:val="0"/>
          <w:szCs w:val="20"/>
          <w:lang w:val="en-US"/>
        </w:rPr>
        <w:t xml:space="preserve"> </w:t>
      </w:r>
      <w:r w:rsidR="003A67CA" w:rsidRPr="00610904">
        <w:rPr>
          <w:noProof w:val="0"/>
          <w:szCs w:val="20"/>
          <w:lang w:val="en-US"/>
        </w:rPr>
        <w:t>Mr.</w:t>
      </w:r>
      <w:r w:rsidR="00022F5E" w:rsidRPr="00610904">
        <w:rPr>
          <w:noProof w:val="0"/>
          <w:szCs w:val="20"/>
          <w:lang w:val="en-US"/>
        </w:rPr>
        <w:t xml:space="preserve"> CAA </w:t>
      </w:r>
      <w:r w:rsidR="003A67CA" w:rsidRPr="00610904">
        <w:rPr>
          <w:noProof w:val="0"/>
          <w:szCs w:val="20"/>
          <w:lang w:val="en-US"/>
        </w:rPr>
        <w:t xml:space="preserve">contested </w:t>
      </w:r>
      <w:r w:rsidR="00AF14CB" w:rsidRPr="00610904">
        <w:rPr>
          <w:noProof w:val="0"/>
          <w:szCs w:val="20"/>
          <w:lang w:val="en-US"/>
        </w:rPr>
        <w:t>Teresa</w:t>
      </w:r>
      <w:r w:rsidR="00022F5E" w:rsidRPr="00610904">
        <w:rPr>
          <w:noProof w:val="0"/>
          <w:szCs w:val="20"/>
          <w:lang w:val="en-US"/>
        </w:rPr>
        <w:t xml:space="preserve"> Lluy</w:t>
      </w:r>
      <w:r w:rsidR="003A67CA" w:rsidRPr="00610904">
        <w:rPr>
          <w:noProof w:val="0"/>
          <w:szCs w:val="20"/>
          <w:lang w:val="en-US"/>
        </w:rPr>
        <w:t xml:space="preserve">’s claim arguing that it had not been proved that the infection of Talía had occurred owing to the blood obtained from </w:t>
      </w:r>
      <w:r w:rsidR="00A8072E" w:rsidRPr="00610904">
        <w:rPr>
          <w:noProof w:val="0"/>
          <w:szCs w:val="20"/>
          <w:lang w:val="en-US"/>
        </w:rPr>
        <w:t xml:space="preserve">the Red </w:t>
      </w:r>
      <w:proofErr w:type="gramStart"/>
      <w:r w:rsidR="00A8072E" w:rsidRPr="00610904">
        <w:rPr>
          <w:noProof w:val="0"/>
          <w:szCs w:val="20"/>
          <w:lang w:val="en-US"/>
        </w:rPr>
        <w:t>Cross</w:t>
      </w:r>
      <w:r w:rsidR="00022F5E" w:rsidRPr="00610904">
        <w:rPr>
          <w:noProof w:val="0"/>
          <w:szCs w:val="20"/>
          <w:lang w:val="en-US"/>
        </w:rPr>
        <w:t>,</w:t>
      </w:r>
      <w:proofErr w:type="gramEnd"/>
      <w:r w:rsidR="00022F5E" w:rsidRPr="00610904">
        <w:rPr>
          <w:noProof w:val="0"/>
          <w:szCs w:val="20"/>
          <w:lang w:val="en-US"/>
        </w:rPr>
        <w:t xml:space="preserve"> </w:t>
      </w:r>
      <w:r w:rsidR="003A67CA" w:rsidRPr="00610904">
        <w:rPr>
          <w:noProof w:val="0"/>
          <w:szCs w:val="20"/>
          <w:lang w:val="en-US"/>
        </w:rPr>
        <w:t xml:space="preserve">or that the samples sent to the </w:t>
      </w:r>
      <w:r w:rsidR="003A67CA" w:rsidRPr="00610904">
        <w:rPr>
          <w:i/>
          <w:noProof w:val="0"/>
          <w:szCs w:val="20"/>
          <w:lang w:val="en-US"/>
        </w:rPr>
        <w:t>Université catholique de Louvain</w:t>
      </w:r>
      <w:r w:rsidR="00022F5E" w:rsidRPr="00610904">
        <w:rPr>
          <w:noProof w:val="0"/>
          <w:szCs w:val="20"/>
          <w:lang w:val="en-US"/>
        </w:rPr>
        <w:t xml:space="preserve"> h</w:t>
      </w:r>
      <w:r w:rsidR="003A67CA" w:rsidRPr="00610904">
        <w:rPr>
          <w:noProof w:val="0"/>
          <w:szCs w:val="20"/>
          <w:lang w:val="en-US"/>
        </w:rPr>
        <w:t xml:space="preserve">ad really been taken from </w:t>
      </w:r>
      <w:r w:rsidR="00022F5E" w:rsidRPr="00610904">
        <w:rPr>
          <w:noProof w:val="0"/>
          <w:szCs w:val="20"/>
          <w:lang w:val="en-US"/>
        </w:rPr>
        <w:t>HS</w:t>
      </w:r>
      <w:r w:rsidR="003A67CA" w:rsidRPr="00610904">
        <w:rPr>
          <w:noProof w:val="0"/>
          <w:szCs w:val="20"/>
          <w:lang w:val="en-US"/>
        </w:rPr>
        <w:t xml:space="preserve"> and</w:t>
      </w:r>
      <w:r w:rsidR="00022F5E" w:rsidRPr="00610904">
        <w:rPr>
          <w:noProof w:val="0"/>
          <w:szCs w:val="20"/>
          <w:lang w:val="en-US"/>
        </w:rPr>
        <w:t xml:space="preserve"> Talía</w:t>
      </w:r>
      <w:r w:rsidR="003A67CA" w:rsidRPr="00610904">
        <w:rPr>
          <w:noProof w:val="0"/>
          <w:szCs w:val="20"/>
          <w:lang w:val="en-US"/>
        </w:rPr>
        <w:t>.</w:t>
      </w:r>
      <w:r w:rsidR="00022F5E" w:rsidRPr="00610904">
        <w:rPr>
          <w:rStyle w:val="FootnoteReference"/>
          <w:noProof w:val="0"/>
          <w:lang w:val="en-US"/>
        </w:rPr>
        <w:footnoteReference w:id="133"/>
      </w:r>
      <w:r w:rsidR="00022F5E" w:rsidRPr="00610904">
        <w:rPr>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EC0A9D" w:rsidP="00610904">
      <w:pPr>
        <w:numPr>
          <w:ilvl w:val="0"/>
          <w:numId w:val="1"/>
        </w:numPr>
        <w:rPr>
          <w:noProof w:val="0"/>
          <w:lang w:val="en-US"/>
        </w:rPr>
      </w:pPr>
      <w:r w:rsidRPr="00610904">
        <w:rPr>
          <w:rFonts w:cs="Arial"/>
          <w:noProof w:val="0"/>
          <w:szCs w:val="20"/>
          <w:lang w:val="en-US"/>
        </w:rPr>
        <w:t>On May 6,</w:t>
      </w:r>
      <w:r w:rsidR="00022F5E" w:rsidRPr="00610904">
        <w:rPr>
          <w:rFonts w:cs="Arial"/>
          <w:noProof w:val="0"/>
          <w:szCs w:val="20"/>
          <w:lang w:val="en-US"/>
        </w:rPr>
        <w:t xml:space="preserve"> 2002</w:t>
      </w:r>
      <w:r w:rsidRPr="00610904">
        <w:rPr>
          <w:rFonts w:cs="Arial"/>
          <w:noProof w:val="0"/>
          <w:szCs w:val="20"/>
          <w:lang w:val="en-US"/>
        </w:rPr>
        <w:t>,</w:t>
      </w:r>
      <w:r w:rsidR="00022F5E" w:rsidRPr="00610904">
        <w:rPr>
          <w:rFonts w:cs="Arial"/>
          <w:noProof w:val="0"/>
          <w:szCs w:val="20"/>
          <w:lang w:val="en-US"/>
        </w:rPr>
        <w:t xml:space="preserve"> </w:t>
      </w:r>
      <w:r w:rsidR="003A67CA" w:rsidRPr="00610904">
        <w:rPr>
          <w:rFonts w:cs="Arial"/>
          <w:noProof w:val="0"/>
          <w:szCs w:val="20"/>
          <w:lang w:val="en-US"/>
        </w:rPr>
        <w:t>the proceedings were opened for evidence “for the legal period of ten days.</w:t>
      </w:r>
      <w:r w:rsidR="00022F5E" w:rsidRPr="00610904">
        <w:rPr>
          <w:rFonts w:cs="Arial"/>
          <w:noProof w:val="0"/>
          <w:szCs w:val="20"/>
          <w:lang w:val="en-US"/>
        </w:rPr>
        <w:t>”</w:t>
      </w:r>
      <w:r w:rsidR="00022F5E" w:rsidRPr="00610904">
        <w:rPr>
          <w:rStyle w:val="FootnoteReference"/>
          <w:noProof w:val="0"/>
          <w:lang w:val="en-US"/>
        </w:rPr>
        <w:footnoteReference w:id="134"/>
      </w:r>
      <w:r w:rsidR="003A67CA" w:rsidRPr="00610904">
        <w:rPr>
          <w:rFonts w:cs="Arial"/>
          <w:noProof w:val="0"/>
          <w:szCs w:val="20"/>
          <w:lang w:val="en-US"/>
        </w:rPr>
        <w:t xml:space="preserve"> </w:t>
      </w:r>
      <w:r w:rsidR="00022F5E" w:rsidRPr="00610904">
        <w:rPr>
          <w:rFonts w:cs="Arial"/>
          <w:noProof w:val="0"/>
          <w:szCs w:val="20"/>
          <w:lang w:val="en-US"/>
        </w:rPr>
        <w:t>Teresa Lluy incorpor</w:t>
      </w:r>
      <w:r w:rsidR="003A67CA" w:rsidRPr="00610904">
        <w:rPr>
          <w:rFonts w:cs="Arial"/>
          <w:noProof w:val="0"/>
          <w:szCs w:val="20"/>
          <w:lang w:val="en-US"/>
        </w:rPr>
        <w:t>ated as evidence into these proceedings to claim for damages</w:t>
      </w:r>
      <w:r w:rsidR="00856968" w:rsidRPr="00610904">
        <w:rPr>
          <w:rFonts w:cs="Arial"/>
          <w:noProof w:val="0"/>
          <w:szCs w:val="20"/>
          <w:lang w:val="en-US"/>
        </w:rPr>
        <w:t>, the</w:t>
      </w:r>
      <w:r w:rsidR="003A67CA" w:rsidRPr="00610904">
        <w:rPr>
          <w:rFonts w:cs="Arial"/>
          <w:noProof w:val="0"/>
          <w:szCs w:val="20"/>
          <w:lang w:val="en-US"/>
        </w:rPr>
        <w:t xml:space="preserve"> whole criminal case file and requested additional evidence to prove the actions</w:t>
      </w:r>
      <w:r w:rsidR="00A8072E" w:rsidRPr="00610904">
        <w:rPr>
          <w:rFonts w:cs="Arial"/>
          <w:noProof w:val="0"/>
          <w:szCs w:val="20"/>
          <w:lang w:val="en-US"/>
        </w:rPr>
        <w:t xml:space="preserve"> of the Red Cross</w:t>
      </w:r>
      <w:r w:rsidR="00022F5E" w:rsidRPr="00610904">
        <w:rPr>
          <w:rFonts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EC0A9D" w:rsidP="00610904">
      <w:pPr>
        <w:numPr>
          <w:ilvl w:val="0"/>
          <w:numId w:val="1"/>
        </w:numPr>
        <w:rPr>
          <w:noProof w:val="0"/>
          <w:lang w:val="en-US"/>
        </w:rPr>
      </w:pPr>
      <w:r w:rsidRPr="00610904">
        <w:rPr>
          <w:rFonts w:cs="Arial"/>
          <w:noProof w:val="0"/>
          <w:szCs w:val="20"/>
          <w:lang w:val="en-US"/>
        </w:rPr>
        <w:t>On July 1,</w:t>
      </w:r>
      <w:r w:rsidR="00022F5E" w:rsidRPr="00610904">
        <w:rPr>
          <w:rFonts w:cs="Arial"/>
          <w:noProof w:val="0"/>
          <w:szCs w:val="20"/>
          <w:lang w:val="en-US"/>
        </w:rPr>
        <w:t xml:space="preserve"> 2002</w:t>
      </w:r>
      <w:r w:rsidRPr="00610904">
        <w:rPr>
          <w:rFonts w:cs="Arial"/>
          <w:noProof w:val="0"/>
          <w:szCs w:val="20"/>
          <w:lang w:val="en-US"/>
        </w:rPr>
        <w:t>,</w:t>
      </w:r>
      <w:r w:rsidR="00022F5E" w:rsidRPr="00610904">
        <w:rPr>
          <w:rFonts w:cs="Arial"/>
          <w:noProof w:val="0"/>
          <w:szCs w:val="20"/>
          <w:lang w:val="en-US"/>
        </w:rPr>
        <w:t xml:space="preserve"> Teresa Lluy </w:t>
      </w:r>
      <w:r w:rsidR="003A67CA" w:rsidRPr="00610904">
        <w:rPr>
          <w:rFonts w:cs="Arial"/>
          <w:noProof w:val="0"/>
          <w:szCs w:val="20"/>
          <w:lang w:val="en-US"/>
        </w:rPr>
        <w:t>asked the</w:t>
      </w:r>
      <w:r w:rsidRPr="00610904">
        <w:rPr>
          <w:rFonts w:cs="Arial"/>
          <w:noProof w:val="0"/>
          <w:szCs w:val="20"/>
          <w:lang w:val="en-US"/>
        </w:rPr>
        <w:t xml:space="preserve"> Sixth Court</w:t>
      </w:r>
      <w:r w:rsidR="003A67CA" w:rsidRPr="00610904">
        <w:rPr>
          <w:rFonts w:cs="Arial"/>
          <w:noProof w:val="0"/>
          <w:szCs w:val="20"/>
          <w:lang w:val="en-US"/>
        </w:rPr>
        <w:t xml:space="preserve"> to appoint an expert to translate the medical report prepared by the </w:t>
      </w:r>
      <w:r w:rsidR="003A67CA" w:rsidRPr="00610904">
        <w:rPr>
          <w:rFonts w:cs="Arial"/>
          <w:i/>
          <w:noProof w:val="0"/>
          <w:szCs w:val="20"/>
          <w:lang w:val="en-US"/>
        </w:rPr>
        <w:t>Université catholique de Louvain.</w:t>
      </w:r>
      <w:r w:rsidR="00022F5E" w:rsidRPr="00610904">
        <w:rPr>
          <w:rStyle w:val="FootnoteReference"/>
          <w:noProof w:val="0"/>
          <w:lang w:val="en-US"/>
        </w:rPr>
        <w:footnoteReference w:id="135"/>
      </w:r>
      <w:r w:rsidR="00022F5E" w:rsidRPr="00610904">
        <w:rPr>
          <w:rFonts w:cs="Arial"/>
          <w:noProof w:val="0"/>
          <w:szCs w:val="20"/>
          <w:lang w:val="en-US"/>
        </w:rPr>
        <w:t xml:space="preserve"> </w:t>
      </w:r>
      <w:r w:rsidRPr="00610904">
        <w:rPr>
          <w:rFonts w:cs="Arial"/>
          <w:noProof w:val="0"/>
          <w:szCs w:val="20"/>
          <w:lang w:val="en-US"/>
        </w:rPr>
        <w:t xml:space="preserve">On July 3, </w:t>
      </w:r>
      <w:r w:rsidR="00022F5E" w:rsidRPr="00610904">
        <w:rPr>
          <w:rFonts w:cs="Arial"/>
          <w:noProof w:val="0"/>
          <w:szCs w:val="20"/>
          <w:lang w:val="en-US"/>
        </w:rPr>
        <w:t>2002</w:t>
      </w:r>
      <w:r w:rsidRPr="00610904">
        <w:rPr>
          <w:rFonts w:cs="Arial"/>
          <w:noProof w:val="0"/>
          <w:szCs w:val="20"/>
          <w:lang w:val="en-US"/>
        </w:rPr>
        <w:t>,</w:t>
      </w:r>
      <w:r w:rsidR="00022F5E" w:rsidRPr="00610904">
        <w:rPr>
          <w:rFonts w:cs="Arial"/>
          <w:noProof w:val="0"/>
          <w:szCs w:val="20"/>
          <w:lang w:val="en-US"/>
        </w:rPr>
        <w:t xml:space="preserve"> Teresa Lluy </w:t>
      </w:r>
      <w:r w:rsidR="003A67CA" w:rsidRPr="00610904">
        <w:rPr>
          <w:rFonts w:cs="Arial"/>
          <w:noProof w:val="0"/>
          <w:szCs w:val="20"/>
          <w:lang w:val="en-US"/>
        </w:rPr>
        <w:t>asked the</w:t>
      </w:r>
      <w:r w:rsidRPr="00610904">
        <w:rPr>
          <w:rFonts w:cs="Arial"/>
          <w:noProof w:val="0"/>
          <w:szCs w:val="20"/>
          <w:lang w:val="en-US"/>
        </w:rPr>
        <w:t xml:space="preserve"> Sixth Court</w:t>
      </w:r>
      <w:r w:rsidR="00022F5E" w:rsidRPr="00610904">
        <w:rPr>
          <w:rFonts w:cs="Arial"/>
          <w:noProof w:val="0"/>
          <w:szCs w:val="20"/>
          <w:lang w:val="en-US"/>
        </w:rPr>
        <w:t xml:space="preserve"> </w:t>
      </w:r>
      <w:r w:rsidR="003A67CA" w:rsidRPr="00610904">
        <w:rPr>
          <w:rFonts w:cs="Arial"/>
          <w:noProof w:val="0"/>
          <w:szCs w:val="20"/>
          <w:lang w:val="en-US"/>
        </w:rPr>
        <w:t>to name medical experts to examine T</w:t>
      </w:r>
      <w:r w:rsidR="00022F5E" w:rsidRPr="00610904">
        <w:rPr>
          <w:rFonts w:cs="Arial"/>
          <w:noProof w:val="0"/>
          <w:szCs w:val="20"/>
          <w:lang w:val="en-US"/>
        </w:rPr>
        <w:t>alía,</w:t>
      </w:r>
      <w:r w:rsidR="009F3D78" w:rsidRPr="00610904">
        <w:rPr>
          <w:rFonts w:cs="Arial"/>
          <w:noProof w:val="0"/>
          <w:szCs w:val="20"/>
          <w:lang w:val="en-US"/>
        </w:rPr>
        <w:t xml:space="preserve"> and </w:t>
      </w:r>
      <w:r w:rsidR="003A67CA" w:rsidRPr="00610904">
        <w:rPr>
          <w:rFonts w:cs="Arial"/>
          <w:noProof w:val="0"/>
          <w:szCs w:val="20"/>
          <w:lang w:val="en-US"/>
        </w:rPr>
        <w:t xml:space="preserve">to set a day to carry out the inspection </w:t>
      </w:r>
      <w:r w:rsidR="00A8072E" w:rsidRPr="00610904">
        <w:rPr>
          <w:rFonts w:cs="Arial"/>
          <w:noProof w:val="0"/>
          <w:szCs w:val="20"/>
          <w:lang w:val="en-US"/>
        </w:rPr>
        <w:t xml:space="preserve">of the </w:t>
      </w:r>
      <w:r w:rsidR="003A67CA" w:rsidRPr="00610904">
        <w:rPr>
          <w:rFonts w:cs="Arial"/>
          <w:noProof w:val="0"/>
          <w:szCs w:val="20"/>
          <w:lang w:val="en-US"/>
        </w:rPr>
        <w:t xml:space="preserve">Azuay Provincial </w:t>
      </w:r>
      <w:r w:rsidR="00C44085" w:rsidRPr="00610904">
        <w:rPr>
          <w:rFonts w:cs="Arial"/>
          <w:noProof w:val="0"/>
          <w:szCs w:val="20"/>
          <w:lang w:val="en-US"/>
        </w:rPr>
        <w:t>Red Cross Blood Bank</w:t>
      </w:r>
      <w:r w:rsidR="003A67CA" w:rsidRPr="00610904">
        <w:rPr>
          <w:rFonts w:cs="Arial"/>
          <w:noProof w:val="0"/>
          <w:szCs w:val="20"/>
          <w:lang w:val="en-US"/>
        </w:rPr>
        <w:t>. She also asked that the experts,</w:t>
      </w:r>
      <w:r w:rsidR="00022F5E" w:rsidRPr="00610904">
        <w:rPr>
          <w:rFonts w:cs="Arial"/>
          <w:noProof w:val="0"/>
          <w:szCs w:val="20"/>
          <w:lang w:val="en-US"/>
        </w:rPr>
        <w:t xml:space="preserve"> JPR</w:t>
      </w:r>
      <w:r w:rsidR="009F3D78" w:rsidRPr="00610904">
        <w:rPr>
          <w:rFonts w:cs="Arial"/>
          <w:noProof w:val="0"/>
          <w:szCs w:val="20"/>
          <w:lang w:val="en-US"/>
        </w:rPr>
        <w:t xml:space="preserve"> and </w:t>
      </w:r>
      <w:r w:rsidR="00022F5E" w:rsidRPr="00610904">
        <w:rPr>
          <w:rFonts w:cs="Arial"/>
          <w:noProof w:val="0"/>
          <w:szCs w:val="20"/>
          <w:lang w:val="en-US"/>
        </w:rPr>
        <w:t>NV</w:t>
      </w:r>
      <w:r w:rsidR="003A67CA" w:rsidRPr="00610904">
        <w:rPr>
          <w:rFonts w:cs="Arial"/>
          <w:noProof w:val="0"/>
          <w:szCs w:val="20"/>
          <w:lang w:val="en-US"/>
        </w:rPr>
        <w:t>, be summoned to give testimony, and that a date be set for a judicial inspection at</w:t>
      </w:r>
      <w:r w:rsidR="00022F5E" w:rsidRPr="00610904">
        <w:rPr>
          <w:rFonts w:cs="Arial"/>
          <w:noProof w:val="0"/>
          <w:szCs w:val="20"/>
          <w:lang w:val="en-US"/>
        </w:rPr>
        <w:t xml:space="preserve"> </w:t>
      </w:r>
      <w:r w:rsidR="00091F7C" w:rsidRPr="00610904">
        <w:rPr>
          <w:rFonts w:cs="Arial"/>
          <w:noProof w:val="0"/>
          <w:szCs w:val="20"/>
          <w:lang w:val="en-US"/>
        </w:rPr>
        <w:t>the Humanitarian Clinic</w:t>
      </w:r>
      <w:r w:rsidR="003A67CA" w:rsidRPr="00610904">
        <w:rPr>
          <w:rFonts w:cs="Arial"/>
          <w:noProof w:val="0"/>
          <w:szCs w:val="20"/>
          <w:lang w:val="en-US"/>
        </w:rPr>
        <w:t>.</w:t>
      </w:r>
      <w:r w:rsidR="00022F5E" w:rsidRPr="00610904">
        <w:rPr>
          <w:rStyle w:val="FootnoteReference"/>
          <w:noProof w:val="0"/>
          <w:lang w:val="en-US"/>
        </w:rPr>
        <w:footnoteReference w:id="136"/>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July 5,</w:t>
      </w:r>
      <w:r w:rsidR="00022F5E" w:rsidRPr="00610904">
        <w:rPr>
          <w:rFonts w:cs="Arial"/>
          <w:noProof w:val="0"/>
          <w:szCs w:val="20"/>
          <w:lang w:val="en-US"/>
        </w:rPr>
        <w:t xml:space="preserve"> 2002</w:t>
      </w:r>
      <w:r w:rsidRPr="00610904">
        <w:rPr>
          <w:rFonts w:cs="Arial"/>
          <w:noProof w:val="0"/>
          <w:szCs w:val="20"/>
          <w:lang w:val="en-US"/>
        </w:rPr>
        <w:t>,</w:t>
      </w:r>
      <w:r w:rsidR="00022F5E" w:rsidRPr="00610904">
        <w:rPr>
          <w:rFonts w:cs="Arial"/>
          <w:noProof w:val="0"/>
          <w:szCs w:val="20"/>
          <w:lang w:val="en-US"/>
        </w:rPr>
        <w:t xml:space="preserve"> </w:t>
      </w:r>
      <w:r w:rsidRPr="00610904">
        <w:rPr>
          <w:rFonts w:cs="Arial"/>
          <w:noProof w:val="0"/>
          <w:szCs w:val="20"/>
          <w:lang w:val="en-US"/>
        </w:rPr>
        <w:t>the Sixth Judge</w:t>
      </w:r>
      <w:r w:rsidR="00022F5E" w:rsidRPr="00610904">
        <w:rPr>
          <w:rFonts w:cs="Arial"/>
          <w:noProof w:val="0"/>
          <w:szCs w:val="20"/>
          <w:lang w:val="en-US"/>
        </w:rPr>
        <w:t xml:space="preserve"> </w:t>
      </w:r>
      <w:r w:rsidRPr="00610904">
        <w:rPr>
          <w:rFonts w:cs="Arial"/>
          <w:noProof w:val="0"/>
          <w:szCs w:val="20"/>
          <w:lang w:val="en-US"/>
        </w:rPr>
        <w:t xml:space="preserve">responded to Teresa Lluy’s brief of June 3, </w:t>
      </w:r>
      <w:r w:rsidR="00022F5E" w:rsidRPr="00610904">
        <w:rPr>
          <w:rFonts w:cs="Arial"/>
          <w:noProof w:val="0"/>
          <w:szCs w:val="20"/>
          <w:lang w:val="en-US"/>
        </w:rPr>
        <w:t>2002</w:t>
      </w:r>
      <w:r w:rsidRPr="00610904">
        <w:rPr>
          <w:rFonts w:cs="Arial"/>
          <w:noProof w:val="0"/>
          <w:szCs w:val="20"/>
          <w:lang w:val="en-US"/>
        </w:rPr>
        <w:t xml:space="preserve">, </w:t>
      </w:r>
      <w:r w:rsidR="00856968" w:rsidRPr="00610904">
        <w:rPr>
          <w:rFonts w:cs="Arial"/>
          <w:noProof w:val="0"/>
          <w:szCs w:val="20"/>
          <w:lang w:val="en-US"/>
        </w:rPr>
        <w:t>and set</w:t>
      </w:r>
      <w:r w:rsidRPr="00610904">
        <w:rPr>
          <w:rFonts w:cs="Arial"/>
          <w:noProof w:val="0"/>
          <w:szCs w:val="20"/>
          <w:lang w:val="en-US"/>
        </w:rPr>
        <w:t xml:space="preserve"> the dates for the procedures.</w:t>
      </w:r>
      <w:r w:rsidR="00022F5E" w:rsidRPr="00610904">
        <w:rPr>
          <w:rStyle w:val="FootnoteReference"/>
          <w:noProof w:val="0"/>
          <w:lang w:val="en-US"/>
        </w:rPr>
        <w:footnoteReference w:id="137"/>
      </w:r>
      <w:r w:rsidR="00022F5E" w:rsidRPr="00610904">
        <w:rPr>
          <w:rFonts w:cs="Arial"/>
          <w:noProof w:val="0"/>
          <w:szCs w:val="20"/>
          <w:lang w:val="en-US"/>
        </w:rPr>
        <w:t xml:space="preserve"> </w:t>
      </w:r>
      <w:r w:rsidRPr="00610904">
        <w:rPr>
          <w:rFonts w:cs="Arial"/>
          <w:noProof w:val="0"/>
          <w:szCs w:val="20"/>
          <w:lang w:val="en-US"/>
        </w:rPr>
        <w:t>On July</w:t>
      </w:r>
      <w:r w:rsidR="008E668D" w:rsidRPr="00610904">
        <w:rPr>
          <w:rFonts w:cs="Arial"/>
          <w:noProof w:val="0"/>
          <w:szCs w:val="20"/>
          <w:lang w:val="en-US"/>
        </w:rPr>
        <w:t xml:space="preserve"> 10,</w:t>
      </w:r>
      <w:r w:rsidR="00022F5E" w:rsidRPr="00610904">
        <w:rPr>
          <w:rFonts w:cs="Arial"/>
          <w:noProof w:val="0"/>
          <w:szCs w:val="20"/>
          <w:lang w:val="en-US"/>
        </w:rPr>
        <w:t xml:space="preserve"> 2002</w:t>
      </w:r>
      <w:r w:rsidRPr="00610904">
        <w:rPr>
          <w:rFonts w:cs="Arial"/>
          <w:noProof w:val="0"/>
          <w:szCs w:val="20"/>
          <w:lang w:val="en-US"/>
        </w:rPr>
        <w:t>, the Court decreed that the time frame for obtaining evidence had concluded.</w:t>
      </w:r>
      <w:r w:rsidR="00022F5E" w:rsidRPr="00610904">
        <w:rPr>
          <w:rStyle w:val="FootnoteReference"/>
          <w:noProof w:val="0"/>
          <w:lang w:val="en-US"/>
        </w:rPr>
        <w:footnoteReference w:id="138"/>
      </w:r>
      <w:r w:rsidR="00022F5E" w:rsidRPr="00610904">
        <w:rPr>
          <w:rFonts w:cs="Arial"/>
          <w:noProof w:val="0"/>
          <w:szCs w:val="20"/>
          <w:lang w:val="en-US"/>
        </w:rPr>
        <w:t xml:space="preserve"> </w:t>
      </w:r>
      <w:r w:rsidRPr="00610904">
        <w:rPr>
          <w:rFonts w:cs="Arial"/>
          <w:noProof w:val="0"/>
          <w:szCs w:val="20"/>
          <w:lang w:val="en-US"/>
        </w:rPr>
        <w:t>On August</w:t>
      </w:r>
      <w:r w:rsidR="008E668D" w:rsidRPr="00610904">
        <w:rPr>
          <w:rFonts w:cs="Arial"/>
          <w:noProof w:val="0"/>
          <w:szCs w:val="20"/>
          <w:lang w:val="en-US"/>
        </w:rPr>
        <w:t xml:space="preserve"> 19,</w:t>
      </w:r>
      <w:r w:rsidR="00022F5E" w:rsidRPr="00610904">
        <w:rPr>
          <w:rFonts w:cs="Arial"/>
          <w:noProof w:val="0"/>
          <w:szCs w:val="20"/>
          <w:lang w:val="en-US"/>
        </w:rPr>
        <w:t xml:space="preserve"> 2002</w:t>
      </w:r>
      <w:r w:rsidRPr="00610904">
        <w:rPr>
          <w:rFonts w:cs="Arial"/>
          <w:noProof w:val="0"/>
          <w:szCs w:val="20"/>
          <w:lang w:val="en-US"/>
        </w:rPr>
        <w:t>, the medical report on Talía’s situation was provided</w:t>
      </w:r>
      <w:r w:rsidR="00022F5E" w:rsidRPr="00610904">
        <w:rPr>
          <w:rStyle w:val="FootnoteReference"/>
          <w:noProof w:val="0"/>
          <w:lang w:val="en-US"/>
        </w:rPr>
        <w:footnoteReference w:id="139"/>
      </w:r>
      <w:r w:rsidR="009F3D78" w:rsidRPr="00610904">
        <w:rPr>
          <w:rFonts w:cs="Arial"/>
          <w:noProof w:val="0"/>
          <w:szCs w:val="20"/>
          <w:lang w:val="en-US"/>
        </w:rPr>
        <w:t xml:space="preserve"> and</w:t>
      </w:r>
      <w:r w:rsidRPr="00610904">
        <w:rPr>
          <w:rFonts w:cs="Arial"/>
          <w:noProof w:val="0"/>
          <w:szCs w:val="20"/>
          <w:lang w:val="en-US"/>
        </w:rPr>
        <w:t>,</w:t>
      </w:r>
      <w:r w:rsidR="009F3D78" w:rsidRPr="00610904">
        <w:rPr>
          <w:rFonts w:cs="Arial"/>
          <w:noProof w:val="0"/>
          <w:szCs w:val="20"/>
          <w:lang w:val="en-US"/>
        </w:rPr>
        <w:t xml:space="preserve"> </w:t>
      </w:r>
      <w:r w:rsidRPr="00610904">
        <w:rPr>
          <w:rFonts w:cs="Arial"/>
          <w:noProof w:val="0"/>
          <w:szCs w:val="20"/>
          <w:lang w:val="en-US"/>
        </w:rPr>
        <w:t>on August</w:t>
      </w:r>
      <w:r w:rsidR="008E668D" w:rsidRPr="00610904">
        <w:rPr>
          <w:rFonts w:cs="Arial"/>
          <w:noProof w:val="0"/>
          <w:szCs w:val="20"/>
          <w:lang w:val="en-US"/>
        </w:rPr>
        <w:t xml:space="preserve"> 20,</w:t>
      </w:r>
      <w:r w:rsidR="00022F5E" w:rsidRPr="00610904">
        <w:rPr>
          <w:rFonts w:cs="Arial"/>
          <w:noProof w:val="0"/>
          <w:szCs w:val="20"/>
          <w:lang w:val="en-US"/>
        </w:rPr>
        <w:t xml:space="preserve"> 2002</w:t>
      </w:r>
      <w:r w:rsidRPr="00610904">
        <w:rPr>
          <w:rFonts w:cs="Arial"/>
          <w:noProof w:val="0"/>
          <w:szCs w:val="20"/>
          <w:lang w:val="en-US"/>
        </w:rPr>
        <w:t xml:space="preserve">, the inspection </w:t>
      </w:r>
      <w:r w:rsidR="00A8072E" w:rsidRPr="00610904">
        <w:rPr>
          <w:rFonts w:cs="Arial"/>
          <w:noProof w:val="0"/>
          <w:szCs w:val="20"/>
          <w:lang w:val="en-US"/>
        </w:rPr>
        <w:t xml:space="preserve">of the </w:t>
      </w:r>
      <w:r w:rsidRPr="00610904">
        <w:rPr>
          <w:rFonts w:cs="Arial"/>
          <w:noProof w:val="0"/>
          <w:szCs w:val="20"/>
          <w:lang w:val="en-US"/>
        </w:rPr>
        <w:t xml:space="preserve">Azuay </w:t>
      </w:r>
      <w:r w:rsidR="00C44085" w:rsidRPr="00610904">
        <w:rPr>
          <w:rFonts w:cs="Arial"/>
          <w:noProof w:val="0"/>
          <w:szCs w:val="20"/>
          <w:lang w:val="en-US"/>
        </w:rPr>
        <w:t>Red Cross Blood Bank</w:t>
      </w:r>
      <w:r w:rsidR="00022F5E" w:rsidRPr="00610904">
        <w:rPr>
          <w:rFonts w:cs="Arial"/>
          <w:noProof w:val="0"/>
          <w:szCs w:val="20"/>
          <w:lang w:val="en-US"/>
        </w:rPr>
        <w:t xml:space="preserve"> </w:t>
      </w:r>
      <w:r w:rsidRPr="00610904">
        <w:rPr>
          <w:rFonts w:cs="Arial"/>
          <w:noProof w:val="0"/>
          <w:szCs w:val="20"/>
          <w:lang w:val="en-US"/>
        </w:rPr>
        <w:t>was conducted.</w:t>
      </w:r>
      <w:r w:rsidR="00022F5E" w:rsidRPr="00610904">
        <w:rPr>
          <w:rStyle w:val="FootnoteReference"/>
          <w:noProof w:val="0"/>
          <w:lang w:val="en-US"/>
        </w:rPr>
        <w:footnoteReference w:id="140"/>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August</w:t>
      </w:r>
      <w:r w:rsidR="008E668D" w:rsidRPr="00610904">
        <w:rPr>
          <w:rFonts w:cs="Arial"/>
          <w:noProof w:val="0"/>
          <w:szCs w:val="20"/>
          <w:lang w:val="en-US"/>
        </w:rPr>
        <w:t xml:space="preserve"> 25,</w:t>
      </w:r>
      <w:r w:rsidR="00022F5E" w:rsidRPr="00610904">
        <w:rPr>
          <w:rFonts w:cs="Arial"/>
          <w:noProof w:val="0"/>
          <w:szCs w:val="20"/>
          <w:lang w:val="en-US"/>
        </w:rPr>
        <w:t xml:space="preserve"> 2004</w:t>
      </w:r>
      <w:r w:rsidR="008E668D" w:rsidRPr="00610904">
        <w:rPr>
          <w:rFonts w:cs="Arial"/>
          <w:noProof w:val="0"/>
          <w:szCs w:val="20"/>
          <w:lang w:val="en-US"/>
        </w:rPr>
        <w:t>,</w:t>
      </w:r>
      <w:r w:rsidR="00022F5E" w:rsidRPr="00610904">
        <w:rPr>
          <w:rFonts w:cs="Arial"/>
          <w:noProof w:val="0"/>
          <w:szCs w:val="20"/>
          <w:lang w:val="en-US"/>
        </w:rPr>
        <w:t xml:space="preserve"> Teresa Lluy </w:t>
      </w:r>
      <w:r w:rsidRPr="00610904">
        <w:rPr>
          <w:rFonts w:cs="Arial"/>
          <w:noProof w:val="0"/>
          <w:szCs w:val="20"/>
          <w:lang w:val="en-US"/>
        </w:rPr>
        <w:t>asked</w:t>
      </w:r>
      <w:r w:rsidR="00C70659" w:rsidRPr="00610904">
        <w:rPr>
          <w:rFonts w:cs="Arial"/>
          <w:noProof w:val="0"/>
          <w:szCs w:val="20"/>
          <w:lang w:val="en-US"/>
        </w:rPr>
        <w:t xml:space="preserve"> the Sixth Judge</w:t>
      </w:r>
      <w:r w:rsidR="00022F5E" w:rsidRPr="00610904">
        <w:rPr>
          <w:rFonts w:cs="Arial"/>
          <w:noProof w:val="0"/>
          <w:szCs w:val="20"/>
          <w:lang w:val="en-US"/>
        </w:rPr>
        <w:t xml:space="preserve"> </w:t>
      </w:r>
      <w:r w:rsidRPr="00610904">
        <w:rPr>
          <w:rFonts w:cs="Arial"/>
          <w:noProof w:val="0"/>
          <w:szCs w:val="20"/>
          <w:lang w:val="en-US"/>
        </w:rPr>
        <w:t>to declare that the time frame for obtaining evidence had concluded;</w:t>
      </w:r>
      <w:r w:rsidR="00022F5E" w:rsidRPr="00610904">
        <w:rPr>
          <w:rStyle w:val="FootnoteReference"/>
          <w:noProof w:val="0"/>
          <w:lang w:val="en-US"/>
        </w:rPr>
        <w:footnoteReference w:id="141"/>
      </w:r>
      <w:r w:rsidRPr="00610904">
        <w:rPr>
          <w:rFonts w:cs="Arial"/>
          <w:noProof w:val="0"/>
          <w:szCs w:val="20"/>
          <w:lang w:val="en-US"/>
        </w:rPr>
        <w:t xml:space="preserve"> however, on September 5, </w:t>
      </w:r>
      <w:r w:rsidR="00022F5E" w:rsidRPr="00610904">
        <w:rPr>
          <w:rFonts w:cs="Arial"/>
          <w:noProof w:val="0"/>
          <w:szCs w:val="20"/>
          <w:lang w:val="en-US"/>
        </w:rPr>
        <w:t>2004</w:t>
      </w:r>
      <w:r w:rsidRPr="00610904">
        <w:rPr>
          <w:rFonts w:cs="Arial"/>
          <w:noProof w:val="0"/>
          <w:szCs w:val="20"/>
          <w:lang w:val="en-US"/>
        </w:rPr>
        <w:t>, Mr.</w:t>
      </w:r>
      <w:r w:rsidR="00022F5E" w:rsidRPr="00610904">
        <w:rPr>
          <w:rFonts w:cs="Arial"/>
          <w:noProof w:val="0"/>
          <w:szCs w:val="20"/>
          <w:lang w:val="en-US"/>
        </w:rPr>
        <w:t xml:space="preserve"> CAA </w:t>
      </w:r>
      <w:r w:rsidRPr="00610904">
        <w:rPr>
          <w:rFonts w:cs="Arial"/>
          <w:noProof w:val="0"/>
          <w:szCs w:val="20"/>
          <w:lang w:val="en-US"/>
        </w:rPr>
        <w:t xml:space="preserve">indicated that the procedure of translating the report of the </w:t>
      </w:r>
      <w:r w:rsidR="003A67CA" w:rsidRPr="00610904">
        <w:rPr>
          <w:rFonts w:cs="Arial"/>
          <w:i/>
          <w:noProof w:val="0"/>
          <w:szCs w:val="20"/>
          <w:lang w:val="en-US"/>
        </w:rPr>
        <w:t>Université catholique de Louvain</w:t>
      </w:r>
      <w:r w:rsidRPr="00610904">
        <w:rPr>
          <w:rFonts w:cs="Arial"/>
          <w:noProof w:val="0"/>
          <w:szCs w:val="20"/>
          <w:lang w:val="en-US"/>
        </w:rPr>
        <w:t xml:space="preserve"> remained pending a</w:t>
      </w:r>
      <w:r w:rsidR="009F3D78" w:rsidRPr="00610904">
        <w:rPr>
          <w:rFonts w:cs="Arial"/>
          <w:noProof w:val="0"/>
          <w:szCs w:val="20"/>
          <w:lang w:val="en-US"/>
        </w:rPr>
        <w:t xml:space="preserve">nd </w:t>
      </w:r>
      <w:r w:rsidRPr="00610904">
        <w:rPr>
          <w:rFonts w:cs="Arial"/>
          <w:noProof w:val="0"/>
          <w:szCs w:val="20"/>
          <w:lang w:val="en-US"/>
        </w:rPr>
        <w:t>asked the</w:t>
      </w:r>
      <w:r w:rsidR="00022F5E" w:rsidRPr="00610904">
        <w:rPr>
          <w:rFonts w:cs="Arial"/>
          <w:noProof w:val="0"/>
          <w:szCs w:val="20"/>
          <w:lang w:val="en-US"/>
        </w:rPr>
        <w:t xml:space="preserve"> </w:t>
      </w:r>
      <w:r w:rsidRPr="00610904">
        <w:rPr>
          <w:rFonts w:cs="Arial"/>
          <w:noProof w:val="0"/>
          <w:szCs w:val="20"/>
          <w:lang w:val="en-US"/>
        </w:rPr>
        <w:t>j</w:t>
      </w:r>
      <w:r w:rsidR="009F3D78" w:rsidRPr="00610904">
        <w:rPr>
          <w:rFonts w:cs="Arial"/>
          <w:noProof w:val="0"/>
          <w:szCs w:val="20"/>
          <w:lang w:val="en-US"/>
        </w:rPr>
        <w:t>udge</w:t>
      </w:r>
      <w:r w:rsidR="00022F5E" w:rsidRPr="00610904">
        <w:rPr>
          <w:rFonts w:cs="Arial"/>
          <w:noProof w:val="0"/>
          <w:szCs w:val="20"/>
          <w:lang w:val="en-US"/>
        </w:rPr>
        <w:t xml:space="preserve"> </w:t>
      </w:r>
      <w:r w:rsidRPr="00610904">
        <w:rPr>
          <w:rFonts w:cs="Arial"/>
          <w:noProof w:val="0"/>
          <w:szCs w:val="20"/>
          <w:lang w:val="en-US"/>
        </w:rPr>
        <w:t>to set a new date for the expert who had been appointed to assume this function.</w:t>
      </w:r>
      <w:r w:rsidR="00022F5E" w:rsidRPr="00610904">
        <w:rPr>
          <w:rStyle w:val="FootnoteReference"/>
          <w:noProof w:val="0"/>
          <w:lang w:val="en-US"/>
        </w:rPr>
        <w:footnoteReference w:id="142"/>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October</w:t>
      </w:r>
      <w:r w:rsidR="008E668D" w:rsidRPr="00610904">
        <w:rPr>
          <w:rFonts w:cs="Arial"/>
          <w:noProof w:val="0"/>
          <w:szCs w:val="20"/>
          <w:lang w:val="en-US"/>
        </w:rPr>
        <w:t xml:space="preserve"> 27,</w:t>
      </w:r>
      <w:r w:rsidR="00022F5E" w:rsidRPr="00610904">
        <w:rPr>
          <w:rFonts w:cs="Arial"/>
          <w:noProof w:val="0"/>
          <w:szCs w:val="20"/>
          <w:lang w:val="en-US"/>
        </w:rPr>
        <w:t xml:space="preserve"> 2004</w:t>
      </w:r>
      <w:r w:rsidR="008E668D" w:rsidRPr="00610904">
        <w:rPr>
          <w:rFonts w:cs="Arial"/>
          <w:noProof w:val="0"/>
          <w:szCs w:val="20"/>
          <w:lang w:val="en-US"/>
        </w:rPr>
        <w:t>,</w:t>
      </w:r>
      <w:r w:rsidR="00022F5E" w:rsidRPr="00610904">
        <w:rPr>
          <w:rFonts w:cs="Arial"/>
          <w:noProof w:val="0"/>
          <w:szCs w:val="20"/>
          <w:lang w:val="en-US"/>
        </w:rPr>
        <w:t xml:space="preserve"> Teresa Lluy </w:t>
      </w:r>
      <w:r w:rsidRPr="00610904">
        <w:rPr>
          <w:rFonts w:cs="Arial"/>
          <w:noProof w:val="0"/>
          <w:szCs w:val="20"/>
          <w:lang w:val="en-US"/>
        </w:rPr>
        <w:t>asked</w:t>
      </w:r>
      <w:r w:rsidR="00022F5E" w:rsidRPr="00610904">
        <w:rPr>
          <w:rFonts w:cs="Arial"/>
          <w:noProof w:val="0"/>
          <w:szCs w:val="20"/>
          <w:lang w:val="en-US"/>
        </w:rPr>
        <w:t xml:space="preserve"> </w:t>
      </w:r>
      <w:r w:rsidRPr="00610904">
        <w:rPr>
          <w:rFonts w:cs="Arial"/>
          <w:noProof w:val="0"/>
          <w:szCs w:val="20"/>
          <w:lang w:val="en-US"/>
        </w:rPr>
        <w:t>t</w:t>
      </w:r>
      <w:r w:rsidR="00EC0A9D" w:rsidRPr="00610904">
        <w:rPr>
          <w:rFonts w:cs="Arial"/>
          <w:noProof w:val="0"/>
          <w:szCs w:val="20"/>
          <w:lang w:val="en-US"/>
        </w:rPr>
        <w:t>he Sixth Court</w:t>
      </w:r>
      <w:r w:rsidR="00022F5E" w:rsidRPr="00610904">
        <w:rPr>
          <w:rFonts w:cs="Arial"/>
          <w:noProof w:val="0"/>
          <w:szCs w:val="20"/>
          <w:lang w:val="en-US"/>
        </w:rPr>
        <w:t xml:space="preserve"> </w:t>
      </w:r>
      <w:r w:rsidRPr="00610904">
        <w:rPr>
          <w:rFonts w:cs="Arial"/>
          <w:noProof w:val="0"/>
          <w:szCs w:val="20"/>
          <w:lang w:val="en-US"/>
        </w:rPr>
        <w:t xml:space="preserve">to annul her petition to appoint an expert to translate the report, because a translation of the document already existed. She also indicated that “owing to the existence of a very serious problem – </w:t>
      </w:r>
      <w:r w:rsidR="00FC14B8" w:rsidRPr="00610904">
        <w:rPr>
          <w:rFonts w:cs="Arial"/>
          <w:noProof w:val="0"/>
          <w:szCs w:val="20"/>
          <w:lang w:val="en-US"/>
        </w:rPr>
        <w:t xml:space="preserve">the </w:t>
      </w:r>
      <w:r w:rsidR="00FC14B8" w:rsidRPr="00610904">
        <w:rPr>
          <w:rFonts w:cs="Arial"/>
          <w:noProof w:val="0"/>
          <w:szCs w:val="20"/>
          <w:lang w:val="en-US"/>
        </w:rPr>
        <w:lastRenderedPageBreak/>
        <w:t>situation of [her] daughter – a</w:t>
      </w:r>
      <w:r w:rsidRPr="00610904">
        <w:rPr>
          <w:rFonts w:cs="Arial"/>
          <w:noProof w:val="0"/>
          <w:szCs w:val="20"/>
          <w:lang w:val="en-US"/>
        </w:rPr>
        <w:t xml:space="preserve"> judgment was required urgently.</w:t>
      </w:r>
      <w:r w:rsidR="00022F5E" w:rsidRPr="00610904">
        <w:rPr>
          <w:rFonts w:cs="Arial"/>
          <w:noProof w:val="0"/>
          <w:szCs w:val="20"/>
          <w:lang w:val="en-US"/>
        </w:rPr>
        <w:t>”</w:t>
      </w:r>
      <w:r w:rsidR="00022F5E" w:rsidRPr="00610904">
        <w:rPr>
          <w:rStyle w:val="FootnoteReference"/>
          <w:noProof w:val="0"/>
          <w:lang w:val="en-US"/>
        </w:rPr>
        <w:footnoteReference w:id="143"/>
      </w:r>
      <w:r w:rsidR="00022F5E" w:rsidRPr="00610904">
        <w:rPr>
          <w:rFonts w:cs="Arial"/>
          <w:noProof w:val="0"/>
          <w:szCs w:val="20"/>
          <w:lang w:val="en-US"/>
        </w:rPr>
        <w:t xml:space="preserve"> </w:t>
      </w:r>
      <w:r w:rsidR="00436E84" w:rsidRPr="00610904">
        <w:rPr>
          <w:rFonts w:cs="Arial"/>
          <w:noProof w:val="0"/>
          <w:szCs w:val="20"/>
          <w:lang w:val="en-US"/>
        </w:rPr>
        <w:t>On November</w:t>
      </w:r>
      <w:r w:rsidR="008E668D" w:rsidRPr="00610904">
        <w:rPr>
          <w:rFonts w:cs="Arial"/>
          <w:noProof w:val="0"/>
          <w:szCs w:val="20"/>
          <w:lang w:val="en-US"/>
        </w:rPr>
        <w:t xml:space="preserve"> 4,</w:t>
      </w:r>
      <w:r w:rsidRPr="00610904">
        <w:rPr>
          <w:rFonts w:cs="Arial"/>
          <w:noProof w:val="0"/>
          <w:szCs w:val="20"/>
          <w:lang w:val="en-US"/>
        </w:rPr>
        <w:t xml:space="preserve"> 2004,</w:t>
      </w:r>
      <w:r w:rsidR="00022F5E" w:rsidRPr="00610904">
        <w:rPr>
          <w:rFonts w:cs="Arial"/>
          <w:noProof w:val="0"/>
          <w:szCs w:val="20"/>
          <w:lang w:val="en-US"/>
        </w:rPr>
        <w:t xml:space="preserve"> </w:t>
      </w:r>
      <w:r w:rsidRPr="00610904">
        <w:rPr>
          <w:rFonts w:cs="Arial"/>
          <w:noProof w:val="0"/>
          <w:szCs w:val="20"/>
          <w:lang w:val="en-US"/>
        </w:rPr>
        <w:t>t</w:t>
      </w:r>
      <w:r w:rsidR="00EC0A9D" w:rsidRPr="00610904">
        <w:rPr>
          <w:rFonts w:cs="Arial"/>
          <w:noProof w:val="0"/>
          <w:szCs w:val="20"/>
          <w:lang w:val="en-US"/>
        </w:rPr>
        <w:t>he Sixth Court</w:t>
      </w:r>
      <w:r w:rsidR="00022F5E" w:rsidRPr="00610904">
        <w:rPr>
          <w:rFonts w:cs="Arial"/>
          <w:noProof w:val="0"/>
          <w:szCs w:val="20"/>
          <w:lang w:val="en-US"/>
        </w:rPr>
        <w:t xml:space="preserve"> decid</w:t>
      </w:r>
      <w:r w:rsidRPr="00610904">
        <w:rPr>
          <w:rFonts w:cs="Arial"/>
          <w:noProof w:val="0"/>
          <w:szCs w:val="20"/>
          <w:lang w:val="en-US"/>
        </w:rPr>
        <w:t xml:space="preserve">ed that </w:t>
      </w:r>
      <w:r w:rsidR="00022F5E" w:rsidRPr="00610904">
        <w:rPr>
          <w:rFonts w:cs="Arial"/>
          <w:noProof w:val="0"/>
          <w:szCs w:val="20"/>
          <w:lang w:val="en-US"/>
        </w:rPr>
        <w:t>Teresa Lluy</w:t>
      </w:r>
      <w:r w:rsidRPr="00610904">
        <w:rPr>
          <w:rFonts w:cs="Arial"/>
          <w:noProof w:val="0"/>
          <w:szCs w:val="20"/>
          <w:lang w:val="en-US"/>
        </w:rPr>
        <w:t>’s request was not admissible because the pending procedure was necessary.</w:t>
      </w:r>
      <w:r w:rsidR="00022F5E" w:rsidRPr="00610904">
        <w:rPr>
          <w:rStyle w:val="FootnoteReference"/>
          <w:noProof w:val="0"/>
          <w:lang w:val="en-US"/>
        </w:rPr>
        <w:footnoteReference w:id="144"/>
      </w:r>
      <w:r w:rsidR="00022F5E" w:rsidRPr="00610904">
        <w:rPr>
          <w:rFonts w:cs="Arial"/>
          <w:noProof w:val="0"/>
          <w:szCs w:val="20"/>
          <w:lang w:val="en-US"/>
        </w:rPr>
        <w:t xml:space="preserve"> </w:t>
      </w:r>
      <w:r w:rsidRPr="00610904">
        <w:rPr>
          <w:rFonts w:cs="Arial"/>
          <w:noProof w:val="0"/>
          <w:szCs w:val="20"/>
          <w:lang w:val="en-US"/>
        </w:rPr>
        <w:t xml:space="preserve">On </w:t>
      </w:r>
      <w:r w:rsidR="008E668D" w:rsidRPr="00610904">
        <w:rPr>
          <w:rFonts w:cs="Arial"/>
          <w:noProof w:val="0"/>
          <w:szCs w:val="20"/>
          <w:lang w:val="en-US"/>
        </w:rPr>
        <w:t xml:space="preserve">November </w:t>
      </w:r>
      <w:r w:rsidRPr="00610904">
        <w:rPr>
          <w:rFonts w:cs="Arial"/>
          <w:noProof w:val="0"/>
          <w:szCs w:val="20"/>
          <w:lang w:val="en-US"/>
        </w:rPr>
        <w:t>2</w:t>
      </w:r>
      <w:r w:rsidR="008E668D" w:rsidRPr="00610904">
        <w:rPr>
          <w:rFonts w:cs="Arial"/>
          <w:noProof w:val="0"/>
          <w:szCs w:val="20"/>
          <w:lang w:val="en-US"/>
        </w:rPr>
        <w:t>4,</w:t>
      </w:r>
      <w:r w:rsidR="00022F5E" w:rsidRPr="00610904">
        <w:rPr>
          <w:rFonts w:cs="Arial"/>
          <w:noProof w:val="0"/>
          <w:szCs w:val="20"/>
          <w:lang w:val="en-US"/>
        </w:rPr>
        <w:t xml:space="preserve"> 2004</w:t>
      </w:r>
      <w:r w:rsidRPr="00610904">
        <w:rPr>
          <w:rFonts w:cs="Arial"/>
          <w:noProof w:val="0"/>
          <w:szCs w:val="20"/>
          <w:lang w:val="en-US"/>
        </w:rPr>
        <w:t>, the designated expert assumed the function,</w:t>
      </w:r>
      <w:r w:rsidR="00022F5E" w:rsidRPr="00610904">
        <w:rPr>
          <w:rStyle w:val="FootnoteReference"/>
          <w:noProof w:val="0"/>
          <w:lang w:val="en-US"/>
        </w:rPr>
        <w:footnoteReference w:id="145"/>
      </w:r>
      <w:r w:rsidRPr="00610904">
        <w:rPr>
          <w:rFonts w:cs="Arial"/>
          <w:noProof w:val="0"/>
          <w:szCs w:val="20"/>
          <w:lang w:val="en-US"/>
        </w:rPr>
        <w:t xml:space="preserve"> and delivered the translation of the report on January</w:t>
      </w:r>
      <w:r w:rsidR="008E668D" w:rsidRPr="00610904">
        <w:rPr>
          <w:rFonts w:cs="Arial"/>
          <w:noProof w:val="0"/>
          <w:szCs w:val="20"/>
          <w:lang w:val="en-US"/>
        </w:rPr>
        <w:t xml:space="preserve"> 10,</w:t>
      </w:r>
      <w:r w:rsidR="00022F5E" w:rsidRPr="00610904">
        <w:rPr>
          <w:rFonts w:cs="Arial"/>
          <w:noProof w:val="0"/>
          <w:szCs w:val="20"/>
          <w:lang w:val="en-US"/>
        </w:rPr>
        <w:t xml:space="preserve"> 2005</w:t>
      </w:r>
      <w:r w:rsidRPr="00610904">
        <w:rPr>
          <w:rFonts w:cs="Arial"/>
          <w:noProof w:val="0"/>
          <w:szCs w:val="20"/>
          <w:lang w:val="en-US"/>
        </w:rPr>
        <w:t>.</w:t>
      </w:r>
      <w:r w:rsidR="00022F5E" w:rsidRPr="00610904">
        <w:rPr>
          <w:rStyle w:val="FootnoteReference"/>
          <w:noProof w:val="0"/>
          <w:lang w:val="en-US"/>
        </w:rPr>
        <w:footnoteReference w:id="146"/>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January</w:t>
      </w:r>
      <w:r w:rsidR="008E668D" w:rsidRPr="00610904">
        <w:rPr>
          <w:rFonts w:cs="Arial"/>
          <w:noProof w:val="0"/>
          <w:szCs w:val="20"/>
          <w:lang w:val="en-US"/>
        </w:rPr>
        <w:t xml:space="preserve"> 19,</w:t>
      </w:r>
      <w:r w:rsidR="00022F5E" w:rsidRPr="00610904">
        <w:rPr>
          <w:rFonts w:cs="Arial"/>
          <w:noProof w:val="0"/>
          <w:szCs w:val="20"/>
          <w:lang w:val="en-US"/>
        </w:rPr>
        <w:t xml:space="preserve"> 2005</w:t>
      </w:r>
      <w:r w:rsidR="008E668D" w:rsidRPr="00610904">
        <w:rPr>
          <w:rFonts w:cs="Arial"/>
          <w:noProof w:val="0"/>
          <w:szCs w:val="20"/>
          <w:lang w:val="en-US"/>
        </w:rPr>
        <w:t>,</w:t>
      </w:r>
      <w:r w:rsidR="00022F5E" w:rsidRPr="00610904">
        <w:rPr>
          <w:rFonts w:cs="Arial"/>
          <w:noProof w:val="0"/>
          <w:szCs w:val="20"/>
          <w:lang w:val="en-US"/>
        </w:rPr>
        <w:t xml:space="preserve"> Teresa Lluy </w:t>
      </w:r>
      <w:r w:rsidRPr="00610904">
        <w:rPr>
          <w:rFonts w:cs="Arial"/>
          <w:noProof w:val="0"/>
          <w:szCs w:val="20"/>
          <w:lang w:val="en-US"/>
        </w:rPr>
        <w:t>asked</w:t>
      </w:r>
      <w:r w:rsidR="00C70659" w:rsidRPr="00610904">
        <w:rPr>
          <w:rFonts w:cs="Arial"/>
          <w:noProof w:val="0"/>
          <w:szCs w:val="20"/>
          <w:lang w:val="en-US"/>
        </w:rPr>
        <w:t xml:space="preserve"> the Sixth Judge</w:t>
      </w:r>
      <w:r w:rsidRPr="00610904">
        <w:rPr>
          <w:rFonts w:cs="Arial"/>
          <w:noProof w:val="0"/>
          <w:szCs w:val="20"/>
          <w:lang w:val="en-US"/>
        </w:rPr>
        <w:t>,</w:t>
      </w:r>
      <w:r w:rsidR="00022F5E" w:rsidRPr="00610904">
        <w:rPr>
          <w:rFonts w:cs="Arial"/>
          <w:noProof w:val="0"/>
          <w:szCs w:val="20"/>
          <w:lang w:val="en-US"/>
        </w:rPr>
        <w:t xml:space="preserve"> “</w:t>
      </w:r>
      <w:r w:rsidRPr="00610904">
        <w:rPr>
          <w:rFonts w:cs="Arial"/>
          <w:noProof w:val="0"/>
          <w:szCs w:val="20"/>
          <w:lang w:val="en-US"/>
        </w:rPr>
        <w:t>in view of the fact that no procedures remained pending, […] to pronounce judgment.</w:t>
      </w:r>
      <w:r w:rsidR="00022F5E" w:rsidRPr="00610904">
        <w:rPr>
          <w:rFonts w:cs="Arial"/>
          <w:noProof w:val="0"/>
          <w:szCs w:val="20"/>
          <w:lang w:val="en-US"/>
        </w:rPr>
        <w:t>”</w:t>
      </w:r>
      <w:r w:rsidR="00022F5E" w:rsidRPr="00610904">
        <w:rPr>
          <w:rStyle w:val="FootnoteReference"/>
          <w:noProof w:val="0"/>
          <w:lang w:val="en-US"/>
        </w:rPr>
        <w:footnoteReference w:id="147"/>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July</w:t>
      </w:r>
      <w:r w:rsidR="008E668D" w:rsidRPr="00610904">
        <w:rPr>
          <w:rFonts w:cs="Arial"/>
          <w:noProof w:val="0"/>
          <w:szCs w:val="20"/>
          <w:lang w:val="en-US"/>
        </w:rPr>
        <w:t xml:space="preserve"> 12,</w:t>
      </w:r>
      <w:r w:rsidR="00022F5E" w:rsidRPr="00610904">
        <w:rPr>
          <w:rFonts w:cs="Arial"/>
          <w:noProof w:val="0"/>
          <w:szCs w:val="20"/>
          <w:lang w:val="en-US"/>
        </w:rPr>
        <w:t xml:space="preserve"> 2005</w:t>
      </w:r>
      <w:r w:rsidR="008E668D" w:rsidRPr="00610904">
        <w:rPr>
          <w:rFonts w:cs="Arial"/>
          <w:noProof w:val="0"/>
          <w:szCs w:val="20"/>
          <w:lang w:val="en-US"/>
        </w:rPr>
        <w:t>,</w:t>
      </w:r>
      <w:r w:rsidR="00022F5E" w:rsidRPr="00610904">
        <w:rPr>
          <w:rFonts w:cs="Arial"/>
          <w:noProof w:val="0"/>
          <w:szCs w:val="20"/>
          <w:lang w:val="en-US"/>
        </w:rPr>
        <w:t xml:space="preserve"> </w:t>
      </w:r>
      <w:r w:rsidR="008E668D" w:rsidRPr="00610904">
        <w:rPr>
          <w:rFonts w:cs="Arial"/>
          <w:noProof w:val="0"/>
          <w:szCs w:val="20"/>
          <w:lang w:val="en-US"/>
        </w:rPr>
        <w:t>the Sixth Civil Court of</w:t>
      </w:r>
      <w:r w:rsidR="00022F5E" w:rsidRPr="00610904">
        <w:rPr>
          <w:rFonts w:cs="Arial"/>
          <w:noProof w:val="0"/>
          <w:szCs w:val="20"/>
          <w:lang w:val="en-US"/>
        </w:rPr>
        <w:t xml:space="preserve"> Cuenca </w:t>
      </w:r>
      <w:r w:rsidR="008E668D" w:rsidRPr="00610904">
        <w:rPr>
          <w:rFonts w:cs="Arial"/>
          <w:noProof w:val="0"/>
          <w:szCs w:val="20"/>
          <w:lang w:val="en-US"/>
        </w:rPr>
        <w:t>delivered judgment</w:t>
      </w:r>
      <w:r w:rsidRPr="00610904">
        <w:rPr>
          <w:rFonts w:cs="Arial"/>
          <w:noProof w:val="0"/>
          <w:szCs w:val="20"/>
          <w:lang w:val="en-US"/>
        </w:rPr>
        <w:t xml:space="preserve"> and, taking into account the results of the </w:t>
      </w:r>
      <w:r w:rsidR="00521F86" w:rsidRPr="00610904">
        <w:rPr>
          <w:rFonts w:cs="Arial"/>
          <w:noProof w:val="0"/>
          <w:szCs w:val="20"/>
          <w:lang w:val="en-US"/>
        </w:rPr>
        <w:t>criminal proceedings,</w:t>
      </w:r>
      <w:r w:rsidR="00FC14B8" w:rsidRPr="00610904">
        <w:rPr>
          <w:rFonts w:cs="Arial"/>
          <w:noProof w:val="0"/>
          <w:szCs w:val="20"/>
          <w:lang w:val="en-US"/>
        </w:rPr>
        <w:t xml:space="preserve"> rejected</w:t>
      </w:r>
      <w:r w:rsidRPr="00610904">
        <w:rPr>
          <w:rFonts w:cs="Arial"/>
          <w:noProof w:val="0"/>
          <w:szCs w:val="20"/>
          <w:lang w:val="en-US"/>
        </w:rPr>
        <w:t xml:space="preserve"> the claim presented by </w:t>
      </w:r>
      <w:r w:rsidR="00022F5E" w:rsidRPr="00610904">
        <w:rPr>
          <w:rFonts w:cs="Arial"/>
          <w:noProof w:val="0"/>
          <w:szCs w:val="20"/>
          <w:lang w:val="en-US"/>
        </w:rPr>
        <w:t xml:space="preserve">Teresa Lluy. </w:t>
      </w:r>
      <w:r w:rsidR="00EC0A9D" w:rsidRPr="00610904">
        <w:rPr>
          <w:noProof w:val="0"/>
          <w:szCs w:val="22"/>
          <w:lang w:val="en-US"/>
        </w:rPr>
        <w:t>The Sixth Court</w:t>
      </w:r>
      <w:r w:rsidR="00022F5E" w:rsidRPr="00610904">
        <w:rPr>
          <w:noProof w:val="0"/>
          <w:szCs w:val="22"/>
          <w:lang w:val="en-US"/>
        </w:rPr>
        <w:t xml:space="preserve"> </w:t>
      </w:r>
      <w:r w:rsidR="008E668D" w:rsidRPr="00610904">
        <w:rPr>
          <w:rFonts w:cs="Arial"/>
          <w:noProof w:val="0"/>
          <w:szCs w:val="20"/>
          <w:lang w:val="en-US"/>
        </w:rPr>
        <w:t>cited</w:t>
      </w:r>
      <w:r w:rsidR="00022F5E" w:rsidRPr="00610904">
        <w:rPr>
          <w:rFonts w:cs="Arial"/>
          <w:noProof w:val="0"/>
          <w:szCs w:val="20"/>
          <w:lang w:val="en-US"/>
        </w:rPr>
        <w:t xml:space="preserve"> </w:t>
      </w:r>
      <w:r w:rsidR="008E668D" w:rsidRPr="00610904">
        <w:rPr>
          <w:rFonts w:cs="Arial"/>
          <w:noProof w:val="0"/>
          <w:szCs w:val="20"/>
          <w:lang w:val="en-US"/>
        </w:rPr>
        <w:t>a</w:t>
      </w:r>
      <w:r w:rsidR="009F3D78" w:rsidRPr="00610904">
        <w:rPr>
          <w:rFonts w:cs="Arial"/>
          <w:noProof w:val="0"/>
          <w:szCs w:val="20"/>
          <w:lang w:val="en-US"/>
        </w:rPr>
        <w:t>rticle</w:t>
      </w:r>
      <w:r w:rsidR="00022F5E" w:rsidRPr="00610904">
        <w:rPr>
          <w:rFonts w:cs="Arial"/>
          <w:noProof w:val="0"/>
          <w:szCs w:val="20"/>
          <w:lang w:val="en-US"/>
        </w:rPr>
        <w:t xml:space="preserve"> 2241 </w:t>
      </w:r>
      <w:r w:rsidRPr="00610904">
        <w:rPr>
          <w:rFonts w:cs="Arial"/>
          <w:noProof w:val="0"/>
          <w:szCs w:val="20"/>
          <w:lang w:val="en-US"/>
        </w:rPr>
        <w:t>of the</w:t>
      </w:r>
      <w:r w:rsidR="00022F5E" w:rsidRPr="00610904">
        <w:rPr>
          <w:rFonts w:cs="Arial"/>
          <w:noProof w:val="0"/>
          <w:szCs w:val="20"/>
          <w:lang w:val="en-US"/>
        </w:rPr>
        <w:t xml:space="preserve"> </w:t>
      </w:r>
      <w:r w:rsidRPr="00610904">
        <w:rPr>
          <w:rFonts w:cs="Arial"/>
          <w:noProof w:val="0"/>
          <w:szCs w:val="20"/>
          <w:lang w:val="en-US"/>
        </w:rPr>
        <w:t>Substantive Civil Code</w:t>
      </w:r>
      <w:r w:rsidR="00022F5E" w:rsidRPr="00610904">
        <w:rPr>
          <w:rFonts w:cs="Arial"/>
          <w:noProof w:val="0"/>
          <w:szCs w:val="20"/>
          <w:lang w:val="en-US"/>
        </w:rPr>
        <w:t xml:space="preserve"> </w:t>
      </w:r>
      <w:r w:rsidRPr="00610904">
        <w:rPr>
          <w:rFonts w:cs="Arial"/>
          <w:noProof w:val="0"/>
          <w:szCs w:val="20"/>
          <w:lang w:val="en-US"/>
        </w:rPr>
        <w:t>which established that: “anyone who has committed an offense or quasi-offense that has inflicted harm on another person is obliged to compensate them; without prejudice to the punishment imposed by law for the offense or quasi-offense.”</w:t>
      </w:r>
      <w:r w:rsidRPr="00610904">
        <w:rPr>
          <w:noProof w:val="0"/>
          <w:lang w:val="en-US"/>
        </w:rPr>
        <w:t xml:space="preserve"> Based on this article, the </w:t>
      </w:r>
      <w:r w:rsidR="00EC0A9D" w:rsidRPr="00610904">
        <w:rPr>
          <w:rFonts w:cs="Arial"/>
          <w:noProof w:val="0"/>
          <w:szCs w:val="20"/>
          <w:lang w:val="en-US"/>
        </w:rPr>
        <w:t>Sixth Court</w:t>
      </w:r>
      <w:r w:rsidR="00022F5E" w:rsidRPr="00610904">
        <w:rPr>
          <w:rFonts w:cs="Arial"/>
          <w:noProof w:val="0"/>
          <w:szCs w:val="20"/>
          <w:lang w:val="en-US"/>
        </w:rPr>
        <w:t xml:space="preserve"> indic</w:t>
      </w:r>
      <w:r w:rsidRPr="00610904">
        <w:rPr>
          <w:rFonts w:cs="Arial"/>
          <w:noProof w:val="0"/>
          <w:szCs w:val="20"/>
          <w:lang w:val="en-US"/>
        </w:rPr>
        <w:t xml:space="preserve">ated that it was </w:t>
      </w:r>
      <w:r w:rsidR="00856968" w:rsidRPr="00610904">
        <w:rPr>
          <w:rFonts w:cs="Arial"/>
          <w:noProof w:val="0"/>
          <w:szCs w:val="20"/>
          <w:lang w:val="en-US"/>
        </w:rPr>
        <w:t>necessary</w:t>
      </w:r>
      <w:r w:rsidRPr="00610904">
        <w:rPr>
          <w:rFonts w:cs="Arial"/>
          <w:noProof w:val="0"/>
          <w:szCs w:val="20"/>
          <w:lang w:val="en-US"/>
        </w:rPr>
        <w:t xml:space="preserve"> to determine whether the defendant had committed the offense before</w:t>
      </w:r>
      <w:r w:rsidR="00FC14B8" w:rsidRPr="00610904">
        <w:rPr>
          <w:rFonts w:cs="Arial"/>
          <w:noProof w:val="0"/>
          <w:szCs w:val="20"/>
          <w:lang w:val="en-US"/>
        </w:rPr>
        <w:t>,</w:t>
      </w:r>
      <w:r w:rsidRPr="00610904">
        <w:rPr>
          <w:rFonts w:cs="Arial"/>
          <w:noProof w:val="0"/>
          <w:szCs w:val="20"/>
          <w:lang w:val="en-US"/>
        </w:rPr>
        <w:t xml:space="preserve"> then</w:t>
      </w:r>
      <w:r w:rsidR="00FC14B8" w:rsidRPr="00610904">
        <w:rPr>
          <w:rFonts w:cs="Arial"/>
          <w:noProof w:val="0"/>
          <w:szCs w:val="20"/>
          <w:lang w:val="en-US"/>
        </w:rPr>
        <w:t>,</w:t>
      </w:r>
      <w:r w:rsidRPr="00610904">
        <w:rPr>
          <w:rFonts w:cs="Arial"/>
          <w:noProof w:val="0"/>
          <w:szCs w:val="20"/>
          <w:lang w:val="en-US"/>
        </w:rPr>
        <w:t xml:space="preserve"> obliging him or her to pay damages, and to this end it was necessary to hold a trial that concluded with a final condemnatory judgment. </w:t>
      </w:r>
      <w:r w:rsidR="00FC14B8" w:rsidRPr="00610904">
        <w:rPr>
          <w:rFonts w:cs="Arial"/>
          <w:noProof w:val="0"/>
          <w:szCs w:val="20"/>
          <w:lang w:val="en-US"/>
        </w:rPr>
        <w:t>Taking into consideration</w:t>
      </w:r>
      <w:r w:rsidRPr="00610904">
        <w:rPr>
          <w:rFonts w:cs="Arial"/>
          <w:noProof w:val="0"/>
          <w:szCs w:val="20"/>
          <w:lang w:val="en-US"/>
        </w:rPr>
        <w:t xml:space="preserve"> the dismissals ordered</w:t>
      </w:r>
      <w:r w:rsidR="00022F5E" w:rsidRPr="00610904">
        <w:rPr>
          <w:rFonts w:cs="Arial"/>
          <w:noProof w:val="0"/>
          <w:szCs w:val="20"/>
          <w:lang w:val="en-US"/>
        </w:rPr>
        <w:t xml:space="preserve"> </w:t>
      </w:r>
      <w:r w:rsidR="004A6E8B" w:rsidRPr="00610904">
        <w:rPr>
          <w:rFonts w:cs="Arial"/>
          <w:noProof w:val="0"/>
          <w:szCs w:val="20"/>
          <w:lang w:val="en-US"/>
        </w:rPr>
        <w:t xml:space="preserve">in the </w:t>
      </w:r>
      <w:r w:rsidR="00521F86" w:rsidRPr="00610904">
        <w:rPr>
          <w:rFonts w:cs="Arial"/>
          <w:noProof w:val="0"/>
          <w:szCs w:val="20"/>
          <w:lang w:val="en-US"/>
        </w:rPr>
        <w:t>criminal proceedings,</w:t>
      </w:r>
      <w:r w:rsidR="00022F5E" w:rsidRPr="00610904">
        <w:rPr>
          <w:rFonts w:cs="Arial"/>
          <w:noProof w:val="0"/>
          <w:szCs w:val="20"/>
          <w:lang w:val="en-US"/>
        </w:rPr>
        <w:t xml:space="preserve"> </w:t>
      </w:r>
      <w:r w:rsidRPr="00610904">
        <w:rPr>
          <w:rFonts w:cs="Arial"/>
          <w:noProof w:val="0"/>
          <w:szCs w:val="20"/>
          <w:lang w:val="en-US"/>
        </w:rPr>
        <w:t>the</w:t>
      </w:r>
      <w:r w:rsidR="00EC0A9D" w:rsidRPr="00610904">
        <w:rPr>
          <w:rFonts w:cs="Arial"/>
          <w:noProof w:val="0"/>
          <w:szCs w:val="20"/>
          <w:lang w:val="en-US"/>
        </w:rPr>
        <w:t xml:space="preserve"> Sixth Court</w:t>
      </w:r>
      <w:r w:rsidR="00022F5E" w:rsidRPr="00610904">
        <w:rPr>
          <w:rFonts w:cs="Arial"/>
          <w:noProof w:val="0"/>
          <w:szCs w:val="20"/>
          <w:lang w:val="en-US"/>
        </w:rPr>
        <w:t xml:space="preserve"> d</w:t>
      </w:r>
      <w:r w:rsidR="0088750E" w:rsidRPr="00610904">
        <w:rPr>
          <w:rFonts w:cs="Arial"/>
          <w:noProof w:val="0"/>
          <w:szCs w:val="20"/>
          <w:lang w:val="en-US"/>
        </w:rPr>
        <w:t>eclared</w:t>
      </w:r>
      <w:r w:rsidRPr="00610904">
        <w:rPr>
          <w:rFonts w:cs="Arial"/>
          <w:noProof w:val="0"/>
          <w:szCs w:val="20"/>
          <w:lang w:val="en-US"/>
        </w:rPr>
        <w:t xml:space="preserve"> the civil action</w:t>
      </w:r>
      <w:r w:rsidR="0088750E" w:rsidRPr="00610904">
        <w:rPr>
          <w:rFonts w:cs="Arial"/>
          <w:noProof w:val="0"/>
          <w:szCs w:val="20"/>
          <w:lang w:val="en-US"/>
        </w:rPr>
        <w:t xml:space="preserve"> inadmissible</w:t>
      </w:r>
      <w:r w:rsidRPr="00610904">
        <w:rPr>
          <w:rFonts w:cs="Arial"/>
          <w:noProof w:val="0"/>
          <w:szCs w:val="20"/>
          <w:lang w:val="en-US"/>
        </w:rPr>
        <w:t>.</w:t>
      </w:r>
      <w:r w:rsidR="00022F5E" w:rsidRPr="00610904">
        <w:rPr>
          <w:rStyle w:val="FootnoteReference"/>
          <w:noProof w:val="0"/>
          <w:szCs w:val="22"/>
          <w:lang w:val="en-US"/>
        </w:rPr>
        <w:footnoteReference w:id="148"/>
      </w:r>
    </w:p>
    <w:p w:rsidR="00022F5E" w:rsidRPr="00610904" w:rsidRDefault="00022F5E" w:rsidP="00610904">
      <w:pPr>
        <w:rPr>
          <w:rFonts w:cs="Arial"/>
          <w:noProof w:val="0"/>
          <w:szCs w:val="20"/>
          <w:lang w:val="en-US"/>
        </w:rPr>
      </w:pPr>
    </w:p>
    <w:p w:rsidR="00022F5E" w:rsidRPr="00610904" w:rsidRDefault="002A3981" w:rsidP="00610904">
      <w:pPr>
        <w:numPr>
          <w:ilvl w:val="0"/>
          <w:numId w:val="1"/>
        </w:numPr>
        <w:rPr>
          <w:noProof w:val="0"/>
          <w:lang w:val="en-US"/>
        </w:rPr>
      </w:pPr>
      <w:r w:rsidRPr="00610904">
        <w:rPr>
          <w:rFonts w:cs="Arial"/>
          <w:noProof w:val="0"/>
          <w:szCs w:val="20"/>
          <w:lang w:val="en-US"/>
        </w:rPr>
        <w:t>On July</w:t>
      </w:r>
      <w:r w:rsidR="008E668D" w:rsidRPr="00610904">
        <w:rPr>
          <w:rFonts w:cs="Arial"/>
          <w:noProof w:val="0"/>
          <w:szCs w:val="20"/>
          <w:lang w:val="en-US"/>
        </w:rPr>
        <w:t xml:space="preserve"> 14,</w:t>
      </w:r>
      <w:r w:rsidR="00022F5E" w:rsidRPr="00610904">
        <w:rPr>
          <w:rFonts w:cs="Arial"/>
          <w:noProof w:val="0"/>
          <w:szCs w:val="20"/>
          <w:lang w:val="en-US"/>
        </w:rPr>
        <w:t xml:space="preserve"> 2005, Teresa Lluy </w:t>
      </w:r>
      <w:r w:rsidR="0088750E" w:rsidRPr="00610904">
        <w:rPr>
          <w:rFonts w:cs="Arial"/>
          <w:noProof w:val="0"/>
          <w:szCs w:val="20"/>
          <w:lang w:val="en-US"/>
        </w:rPr>
        <w:t xml:space="preserve">filed a remedy of appeal against the </w:t>
      </w:r>
      <w:r w:rsidR="006805C3" w:rsidRPr="00610904">
        <w:rPr>
          <w:noProof w:val="0"/>
          <w:szCs w:val="22"/>
          <w:lang w:val="en-US"/>
        </w:rPr>
        <w:t>decision</w:t>
      </w:r>
      <w:r w:rsidR="00022F5E" w:rsidRPr="00610904">
        <w:rPr>
          <w:noProof w:val="0"/>
          <w:szCs w:val="22"/>
          <w:lang w:val="en-US"/>
        </w:rPr>
        <w:t xml:space="preserve"> </w:t>
      </w:r>
      <w:r w:rsidR="0088750E" w:rsidRPr="00610904">
        <w:rPr>
          <w:noProof w:val="0"/>
          <w:szCs w:val="22"/>
          <w:lang w:val="en-US"/>
        </w:rPr>
        <w:t>of the Sixth</w:t>
      </w:r>
      <w:r w:rsidR="00EC0A9D" w:rsidRPr="00610904">
        <w:rPr>
          <w:noProof w:val="0"/>
          <w:szCs w:val="22"/>
          <w:lang w:val="en-US"/>
        </w:rPr>
        <w:t xml:space="preserve"> Court</w:t>
      </w:r>
      <w:r w:rsidR="0088750E" w:rsidRPr="00610904">
        <w:rPr>
          <w:noProof w:val="0"/>
          <w:szCs w:val="22"/>
          <w:lang w:val="en-US"/>
        </w:rPr>
        <w:t>,</w:t>
      </w:r>
      <w:r w:rsidR="00022F5E" w:rsidRPr="00610904">
        <w:rPr>
          <w:rStyle w:val="FootnoteReference"/>
          <w:noProof w:val="0"/>
          <w:szCs w:val="22"/>
          <w:lang w:val="en-US"/>
        </w:rPr>
        <w:footnoteReference w:id="149"/>
      </w:r>
      <w:r w:rsidR="0088750E" w:rsidRPr="00610904">
        <w:rPr>
          <w:noProof w:val="0"/>
          <w:szCs w:val="22"/>
          <w:lang w:val="en-US"/>
        </w:rPr>
        <w:t xml:space="preserve"> which was heard on </w:t>
      </w:r>
      <w:r w:rsidR="008E668D" w:rsidRPr="00610904">
        <w:rPr>
          <w:noProof w:val="0"/>
          <w:szCs w:val="22"/>
          <w:lang w:val="en-US"/>
        </w:rPr>
        <w:t>September 2,</w:t>
      </w:r>
      <w:r w:rsidR="00022F5E" w:rsidRPr="00610904">
        <w:rPr>
          <w:noProof w:val="0"/>
          <w:szCs w:val="22"/>
          <w:lang w:val="en-US"/>
        </w:rPr>
        <w:t xml:space="preserve"> 2005. </w:t>
      </w:r>
      <w:r w:rsidR="0088750E" w:rsidRPr="00610904">
        <w:rPr>
          <w:noProof w:val="0"/>
          <w:szCs w:val="22"/>
          <w:lang w:val="en-US"/>
        </w:rPr>
        <w:t>Mrs. Lluy indicated that the appeal referred to “the entire contents of the j</w:t>
      </w:r>
      <w:r w:rsidR="004A6E8B" w:rsidRPr="00610904">
        <w:rPr>
          <w:noProof w:val="0"/>
          <w:szCs w:val="22"/>
          <w:lang w:val="en-US"/>
        </w:rPr>
        <w:t>udgment</w:t>
      </w:r>
      <w:r w:rsidR="00022F5E" w:rsidRPr="00610904">
        <w:rPr>
          <w:noProof w:val="0"/>
          <w:szCs w:val="22"/>
          <w:lang w:val="en-US"/>
        </w:rPr>
        <w:t xml:space="preserve"> [</w:t>
      </w:r>
      <w:r w:rsidR="0088750E" w:rsidRPr="00610904">
        <w:rPr>
          <w:noProof w:val="0"/>
          <w:szCs w:val="22"/>
          <w:lang w:val="en-US"/>
        </w:rPr>
        <w:t>of the Sixth</w:t>
      </w:r>
      <w:r w:rsidR="00EC0A9D" w:rsidRPr="00610904">
        <w:rPr>
          <w:noProof w:val="0"/>
          <w:szCs w:val="22"/>
          <w:lang w:val="en-US"/>
        </w:rPr>
        <w:t xml:space="preserve"> Court</w:t>
      </w:r>
      <w:r w:rsidR="00022F5E" w:rsidRPr="00610904">
        <w:rPr>
          <w:noProof w:val="0"/>
          <w:szCs w:val="22"/>
          <w:lang w:val="en-US"/>
        </w:rPr>
        <w:t xml:space="preserve">], </w:t>
      </w:r>
      <w:r w:rsidR="0088750E" w:rsidRPr="00610904">
        <w:rPr>
          <w:noProof w:val="0"/>
          <w:szCs w:val="22"/>
          <w:lang w:val="en-US"/>
        </w:rPr>
        <w:t xml:space="preserve">both the reasoning and the decision.” She added that the action for damages was independent of the </w:t>
      </w:r>
      <w:r w:rsidR="00521F86" w:rsidRPr="00610904">
        <w:rPr>
          <w:noProof w:val="0"/>
          <w:szCs w:val="22"/>
          <w:lang w:val="en-US"/>
        </w:rPr>
        <w:t xml:space="preserve">criminal proceedings </w:t>
      </w:r>
      <w:r w:rsidR="0088750E" w:rsidRPr="00610904">
        <w:rPr>
          <w:noProof w:val="0"/>
          <w:szCs w:val="22"/>
          <w:lang w:val="en-US"/>
        </w:rPr>
        <w:t>because it sought redress for the harm caused by a wrongful act, even though a conviction had not been handed down. In the appeal, Teresa Lluy also cited article 14 of the Children’s and Adolescents’ Code on the interpretation that should be applied in favor of the best interests of the child, and emphasized the discrimination that Talía had endure</w:t>
      </w:r>
      <w:r w:rsidR="00FC14B8" w:rsidRPr="00610904">
        <w:rPr>
          <w:noProof w:val="0"/>
          <w:szCs w:val="22"/>
          <w:lang w:val="en-US"/>
        </w:rPr>
        <w:t>d</w:t>
      </w:r>
      <w:r w:rsidR="0088750E" w:rsidRPr="00610904">
        <w:rPr>
          <w:noProof w:val="0"/>
          <w:szCs w:val="22"/>
          <w:lang w:val="en-US"/>
        </w:rPr>
        <w:t xml:space="preserve"> “in all aspects of education, housing, health, etc.</w:t>
      </w:r>
      <w:r w:rsidR="00022F5E" w:rsidRPr="00610904">
        <w:rPr>
          <w:noProof w:val="0"/>
          <w:szCs w:val="20"/>
          <w:lang w:val="en-US"/>
        </w:rPr>
        <w:t>”</w:t>
      </w:r>
      <w:r w:rsidR="00022F5E" w:rsidRPr="00610904">
        <w:rPr>
          <w:rStyle w:val="FootnoteReference"/>
          <w:noProof w:val="0"/>
          <w:lang w:val="en-US"/>
        </w:rPr>
        <w:footnoteReference w:id="150"/>
      </w:r>
    </w:p>
    <w:p w:rsidR="00022F5E" w:rsidRPr="00610904" w:rsidRDefault="00022F5E" w:rsidP="00610904">
      <w:pPr>
        <w:rPr>
          <w:noProof w:val="0"/>
          <w:szCs w:val="20"/>
          <w:lang w:val="en-US"/>
        </w:rPr>
      </w:pPr>
    </w:p>
    <w:p w:rsidR="00022F5E" w:rsidRPr="00610904" w:rsidRDefault="0088750E" w:rsidP="00610904">
      <w:pPr>
        <w:numPr>
          <w:ilvl w:val="0"/>
          <w:numId w:val="1"/>
        </w:numPr>
        <w:rPr>
          <w:noProof w:val="0"/>
          <w:lang w:val="en-US"/>
        </w:rPr>
      </w:pPr>
      <w:r w:rsidRPr="00610904">
        <w:rPr>
          <w:noProof w:val="0"/>
          <w:szCs w:val="20"/>
          <w:lang w:val="en-US"/>
        </w:rPr>
        <w:t>On</w:t>
      </w:r>
      <w:r w:rsidR="00022F5E" w:rsidRPr="00610904">
        <w:rPr>
          <w:noProof w:val="0"/>
          <w:szCs w:val="20"/>
          <w:lang w:val="en-US"/>
        </w:rPr>
        <w:t xml:space="preserve"> </w:t>
      </w:r>
      <w:r w:rsidR="008E668D" w:rsidRPr="00610904">
        <w:rPr>
          <w:noProof w:val="0"/>
          <w:szCs w:val="20"/>
          <w:lang w:val="en-US"/>
        </w:rPr>
        <w:t>September 12,</w:t>
      </w:r>
      <w:r w:rsidR="00022F5E" w:rsidRPr="00610904">
        <w:rPr>
          <w:noProof w:val="0"/>
          <w:szCs w:val="20"/>
          <w:lang w:val="en-US"/>
        </w:rPr>
        <w:t xml:space="preserve"> 2005</w:t>
      </w:r>
      <w:r w:rsidRPr="00610904">
        <w:rPr>
          <w:noProof w:val="0"/>
          <w:szCs w:val="20"/>
          <w:lang w:val="en-US"/>
        </w:rPr>
        <w:t>, Mr.</w:t>
      </w:r>
      <w:r w:rsidR="00022F5E" w:rsidRPr="00610904">
        <w:rPr>
          <w:noProof w:val="0"/>
          <w:szCs w:val="20"/>
          <w:lang w:val="en-US"/>
        </w:rPr>
        <w:t xml:space="preserve"> CAA </w:t>
      </w:r>
      <w:r w:rsidRPr="00610904">
        <w:rPr>
          <w:noProof w:val="0"/>
          <w:szCs w:val="20"/>
          <w:lang w:val="en-US"/>
        </w:rPr>
        <w:t>presented his</w:t>
      </w:r>
      <w:r w:rsidR="00022F5E" w:rsidRPr="00610904">
        <w:rPr>
          <w:noProof w:val="0"/>
          <w:szCs w:val="20"/>
          <w:lang w:val="en-US"/>
        </w:rPr>
        <w:t xml:space="preserve"> </w:t>
      </w:r>
      <w:r w:rsidR="00A8072E" w:rsidRPr="00610904">
        <w:rPr>
          <w:noProof w:val="0"/>
          <w:szCs w:val="20"/>
          <w:lang w:val="en-US"/>
        </w:rPr>
        <w:t>answering brief</w:t>
      </w:r>
      <w:r w:rsidR="00022F5E" w:rsidRPr="00610904">
        <w:rPr>
          <w:noProof w:val="0"/>
          <w:szCs w:val="20"/>
          <w:lang w:val="en-US"/>
        </w:rPr>
        <w:t xml:space="preserve"> indica</w:t>
      </w:r>
      <w:r w:rsidRPr="00610904">
        <w:rPr>
          <w:noProof w:val="0"/>
          <w:szCs w:val="20"/>
          <w:lang w:val="en-US"/>
        </w:rPr>
        <w:t>ting th</w:t>
      </w:r>
      <w:r w:rsidR="00FC14B8" w:rsidRPr="00610904">
        <w:rPr>
          <w:noProof w:val="0"/>
          <w:szCs w:val="20"/>
          <w:lang w:val="en-US"/>
        </w:rPr>
        <w:t>a</w:t>
      </w:r>
      <w:r w:rsidRPr="00610904">
        <w:rPr>
          <w:noProof w:val="0"/>
          <w:szCs w:val="20"/>
          <w:lang w:val="en-US"/>
        </w:rPr>
        <w:t xml:space="preserve">t “it [was] not true that the action for damages [was] independent of the proceedings on criminal responsibility.” In his brief, he added that, during the </w:t>
      </w:r>
      <w:r w:rsidR="00521F86" w:rsidRPr="00610904">
        <w:rPr>
          <w:noProof w:val="0"/>
          <w:szCs w:val="20"/>
          <w:lang w:val="en-US"/>
        </w:rPr>
        <w:t>criminal proceedings,</w:t>
      </w:r>
      <w:r w:rsidRPr="00610904">
        <w:rPr>
          <w:noProof w:val="0"/>
          <w:szCs w:val="20"/>
          <w:lang w:val="en-US"/>
        </w:rPr>
        <w:t xml:space="preserve"> it had not been proved that the infection of Talía had been the result of the transfusion of the blood received from </w:t>
      </w:r>
      <w:r w:rsidRPr="00610904">
        <w:rPr>
          <w:noProof w:val="0"/>
          <w:szCs w:val="22"/>
          <w:lang w:val="en-US"/>
        </w:rPr>
        <w:t xml:space="preserve">the Red Cross. Mr. CAA also indicated that the claim by Talía and her family had affected the prestige </w:t>
      </w:r>
      <w:r w:rsidR="00A8072E" w:rsidRPr="00610904">
        <w:rPr>
          <w:noProof w:val="0"/>
          <w:szCs w:val="22"/>
          <w:lang w:val="en-US"/>
        </w:rPr>
        <w:t>of the Red Cross</w:t>
      </w:r>
      <w:r w:rsidRPr="00610904">
        <w:rPr>
          <w:noProof w:val="0"/>
          <w:szCs w:val="22"/>
          <w:lang w:val="en-US"/>
        </w:rPr>
        <w:t>.</w:t>
      </w:r>
      <w:r w:rsidR="00022F5E" w:rsidRPr="00610904">
        <w:rPr>
          <w:rStyle w:val="FootnoteReference"/>
          <w:noProof w:val="0"/>
          <w:szCs w:val="22"/>
          <w:lang w:val="en-US"/>
        </w:rPr>
        <w:footnoteReference w:id="151"/>
      </w:r>
      <w:r w:rsidR="00022F5E" w:rsidRPr="00610904">
        <w:rPr>
          <w:noProof w:val="0"/>
          <w:szCs w:val="22"/>
          <w:lang w:val="en-US"/>
        </w:rPr>
        <w:t xml:space="preserve"> </w:t>
      </w:r>
      <w:r w:rsidRPr="00610904">
        <w:rPr>
          <w:noProof w:val="0"/>
          <w:szCs w:val="22"/>
          <w:lang w:val="en-US"/>
        </w:rPr>
        <w:t xml:space="preserve">On </w:t>
      </w:r>
      <w:r w:rsidR="00856968" w:rsidRPr="00610904">
        <w:rPr>
          <w:noProof w:val="0"/>
          <w:szCs w:val="22"/>
          <w:lang w:val="en-US"/>
        </w:rPr>
        <w:t>November</w:t>
      </w:r>
      <w:r w:rsidRPr="00610904">
        <w:rPr>
          <w:noProof w:val="0"/>
          <w:szCs w:val="22"/>
          <w:lang w:val="en-US"/>
        </w:rPr>
        <w:t xml:space="preserve"> 23,</w:t>
      </w:r>
      <w:r w:rsidR="00022F5E" w:rsidRPr="00610904">
        <w:rPr>
          <w:noProof w:val="0"/>
          <w:szCs w:val="22"/>
          <w:lang w:val="en-US"/>
        </w:rPr>
        <w:t xml:space="preserve"> 2005</w:t>
      </w:r>
      <w:r w:rsidRPr="00610904">
        <w:rPr>
          <w:noProof w:val="0"/>
          <w:szCs w:val="22"/>
          <w:lang w:val="en-US"/>
        </w:rPr>
        <w:t>,</w:t>
      </w:r>
      <w:r w:rsidR="00022F5E" w:rsidRPr="00610904">
        <w:rPr>
          <w:noProof w:val="0"/>
          <w:szCs w:val="22"/>
          <w:lang w:val="en-US"/>
        </w:rPr>
        <w:t xml:space="preserve"> </w:t>
      </w:r>
      <w:r w:rsidR="00AF14CB" w:rsidRPr="00610904">
        <w:rPr>
          <w:noProof w:val="0"/>
          <w:szCs w:val="22"/>
          <w:lang w:val="en-US"/>
        </w:rPr>
        <w:t>Teresa</w:t>
      </w:r>
      <w:r w:rsidR="00022F5E" w:rsidRPr="00610904">
        <w:rPr>
          <w:noProof w:val="0"/>
          <w:szCs w:val="22"/>
          <w:lang w:val="en-US"/>
        </w:rPr>
        <w:t xml:space="preserve"> Lluy </w:t>
      </w:r>
      <w:r w:rsidRPr="00610904">
        <w:rPr>
          <w:noProof w:val="0"/>
          <w:szCs w:val="22"/>
          <w:lang w:val="en-US"/>
        </w:rPr>
        <w:t>asked that a ruling be made on the appeal.</w:t>
      </w:r>
      <w:r w:rsidR="00022F5E" w:rsidRPr="00610904">
        <w:rPr>
          <w:rStyle w:val="FootnoteReference"/>
          <w:noProof w:val="0"/>
          <w:szCs w:val="22"/>
          <w:lang w:val="en-US"/>
        </w:rPr>
        <w:footnoteReference w:id="152"/>
      </w:r>
    </w:p>
    <w:p w:rsidR="00022F5E" w:rsidRPr="00610904" w:rsidRDefault="00022F5E" w:rsidP="00610904">
      <w:pPr>
        <w:rPr>
          <w:rFonts w:cs="Arial"/>
          <w:noProof w:val="0"/>
          <w:szCs w:val="20"/>
          <w:lang w:val="en-US"/>
        </w:rPr>
      </w:pPr>
    </w:p>
    <w:p w:rsidR="00022F5E" w:rsidRPr="00610904" w:rsidRDefault="0088750E" w:rsidP="00610904">
      <w:pPr>
        <w:numPr>
          <w:ilvl w:val="0"/>
          <w:numId w:val="1"/>
        </w:numPr>
        <w:rPr>
          <w:noProof w:val="0"/>
          <w:lang w:val="en-US"/>
        </w:rPr>
      </w:pPr>
      <w:r w:rsidRPr="00610904">
        <w:rPr>
          <w:rFonts w:cs="Arial"/>
          <w:noProof w:val="0"/>
          <w:szCs w:val="20"/>
          <w:lang w:val="en-US"/>
        </w:rPr>
        <w:lastRenderedPageBreak/>
        <w:t>On</w:t>
      </w:r>
      <w:r w:rsidR="00022F5E" w:rsidRPr="00610904">
        <w:rPr>
          <w:rFonts w:cs="Arial"/>
          <w:noProof w:val="0"/>
          <w:szCs w:val="20"/>
          <w:lang w:val="en-US"/>
        </w:rPr>
        <w:t xml:space="preserve"> </w:t>
      </w:r>
      <w:r w:rsidR="008E668D" w:rsidRPr="00610904">
        <w:rPr>
          <w:rFonts w:cs="Arial"/>
          <w:noProof w:val="0"/>
          <w:szCs w:val="20"/>
          <w:lang w:val="en-US"/>
        </w:rPr>
        <w:t>May 18,</w:t>
      </w:r>
      <w:r w:rsidR="00022F5E" w:rsidRPr="00610904">
        <w:rPr>
          <w:rFonts w:cs="Arial"/>
          <w:noProof w:val="0"/>
          <w:szCs w:val="20"/>
          <w:lang w:val="en-US"/>
        </w:rPr>
        <w:t xml:space="preserve"> 2006, </w:t>
      </w:r>
      <w:r w:rsidR="008E668D" w:rsidRPr="00610904">
        <w:rPr>
          <w:rFonts w:cs="Arial"/>
          <w:noProof w:val="0"/>
          <w:szCs w:val="20"/>
          <w:lang w:val="en-US"/>
        </w:rPr>
        <w:t>the First Chamber</w:t>
      </w:r>
      <w:r w:rsidR="009F3D78" w:rsidRPr="00610904">
        <w:rPr>
          <w:rFonts w:cs="Arial"/>
          <w:noProof w:val="0"/>
          <w:szCs w:val="20"/>
          <w:lang w:val="en-US"/>
        </w:rPr>
        <w:t xml:space="preserve"> of the </w:t>
      </w:r>
      <w:r w:rsidR="008E668D" w:rsidRPr="00610904">
        <w:rPr>
          <w:rFonts w:cs="Arial"/>
          <w:noProof w:val="0"/>
          <w:szCs w:val="20"/>
          <w:lang w:val="en-US"/>
        </w:rPr>
        <w:t>Superior Court of Justice</w:t>
      </w:r>
      <w:r w:rsidRPr="00610904">
        <w:rPr>
          <w:rFonts w:cs="Arial"/>
          <w:noProof w:val="0"/>
          <w:szCs w:val="20"/>
          <w:lang w:val="en-US"/>
        </w:rPr>
        <w:t xml:space="preserve"> of</w:t>
      </w:r>
      <w:r w:rsidR="00022F5E" w:rsidRPr="00610904">
        <w:rPr>
          <w:rFonts w:cs="Arial"/>
          <w:noProof w:val="0"/>
          <w:szCs w:val="20"/>
          <w:lang w:val="en-US"/>
        </w:rPr>
        <w:t xml:space="preserve"> Cuenca declar</w:t>
      </w:r>
      <w:r w:rsidRPr="00610904">
        <w:rPr>
          <w:rFonts w:cs="Arial"/>
          <w:noProof w:val="0"/>
          <w:szCs w:val="20"/>
          <w:lang w:val="en-US"/>
        </w:rPr>
        <w:t xml:space="preserve">ed the nullity of “all the proceedings </w:t>
      </w:r>
      <w:r w:rsidR="00FC14B8" w:rsidRPr="00610904">
        <w:rPr>
          <w:rFonts w:cs="Arial"/>
          <w:noProof w:val="0"/>
          <w:szCs w:val="20"/>
          <w:lang w:val="en-US"/>
        </w:rPr>
        <w:t>following</w:t>
      </w:r>
      <w:r w:rsidRPr="00610904">
        <w:rPr>
          <w:rFonts w:cs="Arial"/>
          <w:noProof w:val="0"/>
          <w:szCs w:val="20"/>
          <w:lang w:val="en-US"/>
        </w:rPr>
        <w:t xml:space="preserve"> the decision </w:t>
      </w:r>
      <w:r w:rsidR="00FC14B8" w:rsidRPr="00610904">
        <w:rPr>
          <w:rFonts w:cs="Arial"/>
          <w:noProof w:val="0"/>
          <w:szCs w:val="20"/>
          <w:lang w:val="en-US"/>
        </w:rPr>
        <w:t>that accepted</w:t>
      </w:r>
      <w:r w:rsidRPr="00610904">
        <w:rPr>
          <w:rFonts w:cs="Arial"/>
          <w:noProof w:val="0"/>
          <w:szCs w:val="20"/>
          <w:lang w:val="en-US"/>
        </w:rPr>
        <w:t xml:space="preserve"> the claim for processing” and returned the case file to the original court. This decision was based on article 41 of the Code of Criminal Procedure, which established that “civil compensation </w:t>
      </w:r>
      <w:r w:rsidR="00FC14B8" w:rsidRPr="00610904">
        <w:rPr>
          <w:rFonts w:cs="Arial"/>
          <w:noProof w:val="0"/>
          <w:szCs w:val="20"/>
          <w:lang w:val="en-US"/>
        </w:rPr>
        <w:t>may</w:t>
      </w:r>
      <w:r w:rsidRPr="00610904">
        <w:rPr>
          <w:rFonts w:cs="Arial"/>
          <w:noProof w:val="0"/>
          <w:szCs w:val="20"/>
          <w:lang w:val="en-US"/>
        </w:rPr>
        <w:t xml:space="preserve"> not be claimed as a result of the criminal offense while no final condemnatory criminal judgment has been delivered.” </w:t>
      </w:r>
      <w:r w:rsidR="008E668D" w:rsidRPr="00610904">
        <w:rPr>
          <w:rFonts w:cs="Arial"/>
          <w:noProof w:val="0"/>
          <w:szCs w:val="20"/>
          <w:lang w:val="en-US"/>
        </w:rPr>
        <w:t>The First Chamber</w:t>
      </w:r>
      <w:r w:rsidR="00022F5E" w:rsidRPr="00610904">
        <w:rPr>
          <w:rFonts w:cs="Arial"/>
          <w:noProof w:val="0"/>
          <w:szCs w:val="20"/>
          <w:lang w:val="en-US"/>
        </w:rPr>
        <w:t xml:space="preserve"> determin</w:t>
      </w:r>
      <w:r w:rsidRPr="00610904">
        <w:rPr>
          <w:rFonts w:cs="Arial"/>
          <w:noProof w:val="0"/>
          <w:szCs w:val="20"/>
          <w:lang w:val="en-US"/>
        </w:rPr>
        <w:t xml:space="preserve">ed that, since there had been </w:t>
      </w:r>
      <w:r w:rsidR="00FC14B8" w:rsidRPr="00610904">
        <w:rPr>
          <w:rFonts w:cs="Arial"/>
          <w:noProof w:val="0"/>
          <w:szCs w:val="20"/>
          <w:lang w:val="en-US"/>
        </w:rPr>
        <w:t>no such criminal judgment in</w:t>
      </w:r>
      <w:r w:rsidRPr="00610904">
        <w:rPr>
          <w:rFonts w:cs="Arial"/>
          <w:noProof w:val="0"/>
          <w:szCs w:val="20"/>
          <w:lang w:val="en-US"/>
        </w:rPr>
        <w:t xml:space="preserve"> </w:t>
      </w:r>
      <w:r w:rsidR="00022F5E" w:rsidRPr="00610904">
        <w:rPr>
          <w:rFonts w:cs="Arial"/>
          <w:noProof w:val="0"/>
          <w:szCs w:val="20"/>
          <w:lang w:val="en-US"/>
        </w:rPr>
        <w:t>Talía</w:t>
      </w:r>
      <w:r w:rsidRPr="00610904">
        <w:rPr>
          <w:rFonts w:cs="Arial"/>
          <w:noProof w:val="0"/>
          <w:szCs w:val="20"/>
          <w:lang w:val="en-US"/>
        </w:rPr>
        <w:t xml:space="preserve">’s case, the essential requirement for the admission of </w:t>
      </w:r>
      <w:r w:rsidR="00A8072E" w:rsidRPr="00610904">
        <w:rPr>
          <w:rFonts w:cs="Arial"/>
          <w:noProof w:val="0"/>
          <w:szCs w:val="20"/>
          <w:lang w:val="en-US"/>
        </w:rPr>
        <w:t>the civil action</w:t>
      </w:r>
      <w:r w:rsidRPr="00610904">
        <w:rPr>
          <w:rFonts w:cs="Arial"/>
          <w:noProof w:val="0"/>
          <w:szCs w:val="20"/>
          <w:lang w:val="en-US"/>
        </w:rPr>
        <w:t xml:space="preserve"> had not been met and, therefore, all the proceedings since it was admitted were null.</w:t>
      </w:r>
      <w:r w:rsidR="00022F5E" w:rsidRPr="00610904">
        <w:rPr>
          <w:rStyle w:val="FootnoteReference"/>
          <w:noProof w:val="0"/>
          <w:szCs w:val="22"/>
          <w:lang w:val="en-US"/>
        </w:rPr>
        <w:footnoteReference w:id="153"/>
      </w:r>
    </w:p>
    <w:p w:rsidR="00022F5E" w:rsidRPr="00610904" w:rsidRDefault="00022F5E" w:rsidP="00610904">
      <w:pPr>
        <w:rPr>
          <w:rFonts w:cs="Arial"/>
          <w:noProof w:val="0"/>
          <w:szCs w:val="20"/>
          <w:lang w:val="en-US"/>
        </w:rPr>
      </w:pPr>
    </w:p>
    <w:p w:rsidR="00022F5E" w:rsidRPr="00610904" w:rsidRDefault="0088750E" w:rsidP="00610904">
      <w:pPr>
        <w:numPr>
          <w:ilvl w:val="0"/>
          <w:numId w:val="1"/>
        </w:numPr>
        <w:rPr>
          <w:noProof w:val="0"/>
          <w:lang w:val="en-US"/>
        </w:rPr>
      </w:pPr>
      <w:r w:rsidRPr="00610904">
        <w:rPr>
          <w:rFonts w:cs="Arial"/>
          <w:noProof w:val="0"/>
          <w:szCs w:val="20"/>
          <w:lang w:val="en-US"/>
        </w:rPr>
        <w:t>The decision of</w:t>
      </w:r>
      <w:r w:rsidR="008E668D" w:rsidRPr="00610904">
        <w:rPr>
          <w:rFonts w:cs="Arial"/>
          <w:noProof w:val="0"/>
          <w:szCs w:val="20"/>
          <w:lang w:val="en-US"/>
        </w:rPr>
        <w:t xml:space="preserve"> the First Chamber</w:t>
      </w:r>
      <w:r w:rsidR="009F3D78" w:rsidRPr="00610904">
        <w:rPr>
          <w:rFonts w:cs="Arial"/>
          <w:noProof w:val="0"/>
          <w:szCs w:val="20"/>
          <w:lang w:val="en-US"/>
        </w:rPr>
        <w:t xml:space="preserve"> of the </w:t>
      </w:r>
      <w:r w:rsidR="008E668D" w:rsidRPr="00610904">
        <w:rPr>
          <w:rFonts w:cs="Arial"/>
          <w:noProof w:val="0"/>
          <w:szCs w:val="20"/>
          <w:lang w:val="en-US"/>
        </w:rPr>
        <w:t>Superior Court of Justice</w:t>
      </w:r>
      <w:r w:rsidRPr="00610904">
        <w:rPr>
          <w:rFonts w:cs="Arial"/>
          <w:noProof w:val="0"/>
          <w:szCs w:val="20"/>
          <w:lang w:val="en-US"/>
        </w:rPr>
        <w:t xml:space="preserve"> of Cuenca</w:t>
      </w:r>
      <w:r w:rsidR="00022F5E" w:rsidRPr="00610904">
        <w:rPr>
          <w:rFonts w:cs="Arial"/>
          <w:noProof w:val="0"/>
          <w:szCs w:val="20"/>
          <w:lang w:val="en-US"/>
        </w:rPr>
        <w:t xml:space="preserve"> </w:t>
      </w:r>
      <w:r w:rsidRPr="00610904">
        <w:rPr>
          <w:rFonts w:cs="Arial"/>
          <w:noProof w:val="0"/>
          <w:szCs w:val="20"/>
          <w:lang w:val="en-US"/>
        </w:rPr>
        <w:t xml:space="preserve">was not contested. Nevertheless, Talía and </w:t>
      </w:r>
      <w:r w:rsidR="00FC14B8" w:rsidRPr="00610904">
        <w:rPr>
          <w:rFonts w:cs="Arial"/>
          <w:noProof w:val="0"/>
          <w:szCs w:val="20"/>
          <w:lang w:val="en-US"/>
        </w:rPr>
        <w:t xml:space="preserve">her family have testified that </w:t>
      </w:r>
      <w:r w:rsidRPr="00610904">
        <w:rPr>
          <w:rFonts w:cs="Arial"/>
          <w:noProof w:val="0"/>
          <w:szCs w:val="20"/>
          <w:lang w:val="en-US"/>
        </w:rPr>
        <w:t>the infection of Talía and the different legal actions s</w:t>
      </w:r>
      <w:r w:rsidR="00FC14B8" w:rsidRPr="00610904">
        <w:rPr>
          <w:rFonts w:cs="Arial"/>
          <w:noProof w:val="0"/>
          <w:szCs w:val="20"/>
          <w:lang w:val="en-US"/>
        </w:rPr>
        <w:t>ubsequently filed by her family had a series of consequences on</w:t>
      </w:r>
      <w:r w:rsidRPr="00610904">
        <w:rPr>
          <w:rFonts w:cs="Arial"/>
          <w:noProof w:val="0"/>
          <w:szCs w:val="20"/>
          <w:lang w:val="en-US"/>
        </w:rPr>
        <w:t xml:space="preserve"> their family life, finances, health and other areas of the life of </w:t>
      </w:r>
      <w:r w:rsidR="00022F5E" w:rsidRPr="00610904">
        <w:rPr>
          <w:rFonts w:cs="Arial"/>
          <w:noProof w:val="0"/>
          <w:szCs w:val="20"/>
          <w:lang w:val="en-US"/>
        </w:rPr>
        <w:t xml:space="preserve">Talía, Teresa Lluy </w:t>
      </w:r>
      <w:r w:rsidR="005550B0" w:rsidRPr="00610904">
        <w:rPr>
          <w:rFonts w:cs="Arial"/>
          <w:noProof w:val="0"/>
          <w:szCs w:val="20"/>
          <w:lang w:val="en-US"/>
        </w:rPr>
        <w:t>and Iván</w:t>
      </w:r>
      <w:r w:rsidR="00022F5E" w:rsidRPr="00610904">
        <w:rPr>
          <w:rFonts w:cs="Arial"/>
          <w:noProof w:val="0"/>
          <w:szCs w:val="20"/>
          <w:lang w:val="en-US"/>
        </w:rPr>
        <w:t xml:space="preserve"> Lluy </w:t>
      </w:r>
      <w:r w:rsidRPr="00610904">
        <w:rPr>
          <w:rFonts w:cs="Arial"/>
          <w:noProof w:val="0"/>
          <w:szCs w:val="20"/>
          <w:lang w:val="en-US"/>
        </w:rPr>
        <w:t>that still affect them.</w:t>
      </w:r>
    </w:p>
    <w:p w:rsidR="00022F5E" w:rsidRPr="00610904" w:rsidRDefault="00022F5E" w:rsidP="00610904">
      <w:pPr>
        <w:rPr>
          <w:rFonts w:cs="Arial"/>
          <w:noProof w:val="0"/>
          <w:szCs w:val="20"/>
          <w:lang w:val="en-US"/>
        </w:rPr>
      </w:pPr>
    </w:p>
    <w:p w:rsidR="00022F5E" w:rsidRPr="00610904" w:rsidRDefault="008E668D" w:rsidP="00610904">
      <w:pPr>
        <w:pStyle w:val="Heading2"/>
        <w:spacing w:before="0" w:after="0"/>
        <w:rPr>
          <w:noProof w:val="0"/>
          <w:lang w:val="en-US"/>
        </w:rPr>
      </w:pPr>
      <w:bookmarkStart w:id="89" w:name="_Toc443399095"/>
      <w:r w:rsidRPr="00610904">
        <w:rPr>
          <w:noProof w:val="0"/>
          <w:lang w:val="en-US"/>
        </w:rPr>
        <w:t>The impact on Talía’s education</w:t>
      </w:r>
      <w:r w:rsidR="00022F5E" w:rsidRPr="00610904">
        <w:rPr>
          <w:noProof w:val="0"/>
          <w:lang w:val="en-US"/>
        </w:rPr>
        <w:t xml:space="preserve"> </w:t>
      </w:r>
      <w:r w:rsidRPr="00610904">
        <w:rPr>
          <w:noProof w:val="0"/>
          <w:lang w:val="en-US"/>
        </w:rPr>
        <w:t>of her situation as a person with HIV</w:t>
      </w:r>
      <w:bookmarkEnd w:id="89"/>
    </w:p>
    <w:p w:rsidR="00022F5E" w:rsidRPr="00610904" w:rsidRDefault="00022F5E" w:rsidP="00610904">
      <w:pPr>
        <w:rPr>
          <w:noProof w:val="0"/>
          <w:lang w:val="en-US"/>
        </w:rPr>
      </w:pPr>
    </w:p>
    <w:p w:rsidR="00022F5E" w:rsidRPr="00610904" w:rsidRDefault="0088750E" w:rsidP="00610904">
      <w:pPr>
        <w:numPr>
          <w:ilvl w:val="0"/>
          <w:numId w:val="1"/>
        </w:numPr>
        <w:rPr>
          <w:noProof w:val="0"/>
          <w:lang w:val="en-US"/>
        </w:rPr>
      </w:pPr>
      <w:r w:rsidRPr="00610904">
        <w:rPr>
          <w:rFonts w:cs="Arial"/>
          <w:noProof w:val="0"/>
          <w:szCs w:val="20"/>
          <w:lang w:val="en-US"/>
        </w:rPr>
        <w:t>In September</w:t>
      </w:r>
      <w:r w:rsidR="00022F5E" w:rsidRPr="00610904">
        <w:rPr>
          <w:rFonts w:cs="Arial"/>
          <w:noProof w:val="0"/>
          <w:szCs w:val="20"/>
          <w:lang w:val="en-US"/>
        </w:rPr>
        <w:t xml:space="preserve"> 1999, </w:t>
      </w:r>
      <w:r w:rsidRPr="00610904">
        <w:rPr>
          <w:rFonts w:cs="Arial"/>
          <w:noProof w:val="0"/>
          <w:szCs w:val="20"/>
          <w:lang w:val="en-US"/>
        </w:rPr>
        <w:t>when</w:t>
      </w:r>
      <w:r w:rsidR="00022F5E" w:rsidRPr="00610904">
        <w:rPr>
          <w:rFonts w:cs="Arial"/>
          <w:noProof w:val="0"/>
          <w:szCs w:val="20"/>
          <w:lang w:val="en-US"/>
        </w:rPr>
        <w:t xml:space="preserve"> Talía </w:t>
      </w:r>
      <w:r w:rsidRPr="00610904">
        <w:rPr>
          <w:rFonts w:cs="Arial"/>
          <w:noProof w:val="0"/>
          <w:szCs w:val="20"/>
          <w:lang w:val="en-US"/>
        </w:rPr>
        <w:t xml:space="preserve">was five years of age, she was enrolled at the first level of basic education in the </w:t>
      </w:r>
      <w:r w:rsidR="00535633" w:rsidRPr="00610904">
        <w:rPr>
          <w:rFonts w:cs="Arial"/>
          <w:noProof w:val="0"/>
          <w:szCs w:val="20"/>
          <w:lang w:val="en-US"/>
        </w:rPr>
        <w:t>Zoila Aurora Palacios P</w:t>
      </w:r>
      <w:r w:rsidRPr="00610904">
        <w:rPr>
          <w:rFonts w:cs="Arial"/>
          <w:noProof w:val="0"/>
          <w:szCs w:val="20"/>
          <w:lang w:val="en-US"/>
        </w:rPr>
        <w:t>u</w:t>
      </w:r>
      <w:r w:rsidR="00535633" w:rsidRPr="00610904">
        <w:rPr>
          <w:rFonts w:cs="Arial"/>
          <w:noProof w:val="0"/>
          <w:szCs w:val="20"/>
          <w:lang w:val="en-US"/>
        </w:rPr>
        <w:t>blic S</w:t>
      </w:r>
      <w:r w:rsidR="00FC14B8" w:rsidRPr="00610904">
        <w:rPr>
          <w:rFonts w:cs="Arial"/>
          <w:noProof w:val="0"/>
          <w:szCs w:val="20"/>
          <w:lang w:val="en-US"/>
        </w:rPr>
        <w:t>chool for basic education</w:t>
      </w:r>
      <w:r w:rsidRPr="00610904">
        <w:rPr>
          <w:rFonts w:cs="Arial"/>
          <w:noProof w:val="0"/>
          <w:szCs w:val="20"/>
          <w:lang w:val="en-US"/>
        </w:rPr>
        <w:t xml:space="preserve"> in Cuenca</w:t>
      </w:r>
      <w:r w:rsidR="00022F5E" w:rsidRPr="00610904">
        <w:rPr>
          <w:rFonts w:cs="Arial"/>
          <w:noProof w:val="0"/>
          <w:szCs w:val="20"/>
          <w:lang w:val="en-US"/>
        </w:rPr>
        <w:t>. Talía a</w:t>
      </w:r>
      <w:r w:rsidRPr="00610904">
        <w:rPr>
          <w:rFonts w:cs="Arial"/>
          <w:noProof w:val="0"/>
          <w:szCs w:val="20"/>
          <w:lang w:val="en-US"/>
        </w:rPr>
        <w:t xml:space="preserve">ttended classes normally for two months; however, in November, the teacher, </w:t>
      </w:r>
      <w:r w:rsidR="00022F5E" w:rsidRPr="00610904">
        <w:rPr>
          <w:rFonts w:cs="Arial"/>
          <w:noProof w:val="0"/>
          <w:szCs w:val="20"/>
          <w:lang w:val="en-US"/>
        </w:rPr>
        <w:t>APA</w:t>
      </w:r>
      <w:r w:rsidRPr="00610904">
        <w:rPr>
          <w:rFonts w:cs="Arial"/>
          <w:noProof w:val="0"/>
          <w:szCs w:val="20"/>
          <w:lang w:val="en-US"/>
        </w:rPr>
        <w:t xml:space="preserve">, </w:t>
      </w:r>
      <w:r w:rsidR="00856968" w:rsidRPr="00610904">
        <w:rPr>
          <w:rFonts w:cs="Arial"/>
          <w:noProof w:val="0"/>
          <w:szCs w:val="20"/>
          <w:lang w:val="en-US"/>
        </w:rPr>
        <w:t>food</w:t>
      </w:r>
      <w:r w:rsidRPr="00610904">
        <w:rPr>
          <w:rFonts w:cs="Arial"/>
          <w:noProof w:val="0"/>
          <w:szCs w:val="20"/>
          <w:lang w:val="en-US"/>
        </w:rPr>
        <w:t xml:space="preserve"> out that </w:t>
      </w:r>
      <w:r w:rsidR="00022F5E" w:rsidRPr="00610904">
        <w:rPr>
          <w:rFonts w:cs="Arial"/>
          <w:noProof w:val="0"/>
          <w:szCs w:val="20"/>
          <w:lang w:val="en-US"/>
        </w:rPr>
        <w:t xml:space="preserve">Talía </w:t>
      </w:r>
      <w:r w:rsidRPr="00610904">
        <w:rPr>
          <w:rFonts w:cs="Arial"/>
          <w:noProof w:val="0"/>
          <w:szCs w:val="20"/>
          <w:lang w:val="en-US"/>
        </w:rPr>
        <w:t>had</w:t>
      </w:r>
      <w:r w:rsidR="00022F5E" w:rsidRPr="00610904">
        <w:rPr>
          <w:rFonts w:cs="Arial"/>
          <w:noProof w:val="0"/>
          <w:szCs w:val="20"/>
          <w:lang w:val="en-US"/>
        </w:rPr>
        <w:t xml:space="preserve"> </w:t>
      </w:r>
      <w:r w:rsidR="00A8072E" w:rsidRPr="00610904">
        <w:rPr>
          <w:rFonts w:cs="Arial"/>
          <w:noProof w:val="0"/>
          <w:szCs w:val="20"/>
          <w:lang w:val="en-US"/>
        </w:rPr>
        <w:t>HIV</w:t>
      </w:r>
      <w:r w:rsidR="009F3D78" w:rsidRPr="00610904">
        <w:rPr>
          <w:rFonts w:cs="Arial"/>
          <w:noProof w:val="0"/>
          <w:szCs w:val="20"/>
          <w:lang w:val="en-US"/>
        </w:rPr>
        <w:t xml:space="preserve"> and </w:t>
      </w:r>
      <w:r w:rsidRPr="00610904">
        <w:rPr>
          <w:rFonts w:cs="Arial"/>
          <w:noProof w:val="0"/>
          <w:szCs w:val="20"/>
          <w:lang w:val="en-US"/>
        </w:rPr>
        <w:t>advised the school director. The director decided that</w:t>
      </w:r>
      <w:r w:rsidR="00022F5E" w:rsidRPr="00610904">
        <w:rPr>
          <w:rFonts w:cs="Arial"/>
          <w:noProof w:val="0"/>
          <w:szCs w:val="20"/>
          <w:lang w:val="en-US"/>
        </w:rPr>
        <w:t xml:space="preserve"> Talía </w:t>
      </w:r>
      <w:r w:rsidRPr="00610904">
        <w:rPr>
          <w:rFonts w:cs="Arial"/>
          <w:noProof w:val="0"/>
          <w:szCs w:val="20"/>
          <w:lang w:val="en-US"/>
        </w:rPr>
        <w:t xml:space="preserve">should not attend classes “until he has seen what the educational authorities </w:t>
      </w:r>
      <w:proofErr w:type="gramStart"/>
      <w:r w:rsidRPr="00610904">
        <w:rPr>
          <w:rFonts w:cs="Arial"/>
          <w:noProof w:val="0"/>
          <w:szCs w:val="20"/>
          <w:lang w:val="en-US"/>
        </w:rPr>
        <w:t>w[</w:t>
      </w:r>
      <w:proofErr w:type="gramEnd"/>
      <w:r w:rsidRPr="00610904">
        <w:rPr>
          <w:rFonts w:cs="Arial"/>
          <w:noProof w:val="0"/>
          <w:szCs w:val="20"/>
          <w:lang w:val="en-US"/>
        </w:rPr>
        <w:t>ould] say, or found a solution to the problem.</w:t>
      </w:r>
      <w:r w:rsidR="00022F5E" w:rsidRPr="00610904">
        <w:rPr>
          <w:rFonts w:cs="Arial"/>
          <w:noProof w:val="0"/>
          <w:szCs w:val="20"/>
          <w:lang w:val="en-US"/>
        </w:rPr>
        <w:t>”</w:t>
      </w:r>
      <w:r w:rsidR="00022F5E" w:rsidRPr="00610904">
        <w:rPr>
          <w:rStyle w:val="FootnoteReference"/>
          <w:noProof w:val="0"/>
          <w:lang w:val="en-US"/>
        </w:rPr>
        <w:footnoteReference w:id="154"/>
      </w:r>
    </w:p>
    <w:p w:rsidR="00022F5E" w:rsidRPr="00610904" w:rsidRDefault="00022F5E" w:rsidP="00610904">
      <w:pPr>
        <w:rPr>
          <w:noProof w:val="0"/>
          <w:lang w:val="en-US"/>
        </w:rPr>
      </w:pPr>
    </w:p>
    <w:p w:rsidR="00022F5E" w:rsidRPr="00610904" w:rsidRDefault="0088750E" w:rsidP="00610904">
      <w:pPr>
        <w:numPr>
          <w:ilvl w:val="0"/>
          <w:numId w:val="1"/>
        </w:numPr>
        <w:rPr>
          <w:noProof w:val="0"/>
          <w:lang w:val="en-US"/>
        </w:rPr>
      </w:pPr>
      <w:r w:rsidRPr="00610904">
        <w:rPr>
          <w:rFonts w:cs="Arial"/>
          <w:noProof w:val="0"/>
          <w:szCs w:val="20"/>
          <w:lang w:val="en-US"/>
        </w:rPr>
        <w:t>Officials of the Subdirectorate for Hea</w:t>
      </w:r>
      <w:r w:rsidR="009463F6" w:rsidRPr="00610904">
        <w:rPr>
          <w:rFonts w:cs="Arial"/>
          <w:noProof w:val="0"/>
          <w:szCs w:val="20"/>
          <w:lang w:val="en-US"/>
        </w:rPr>
        <w:t xml:space="preserve">lth for the southern region gave talks in the school on HIV and the “impossibility of its transmission.” However, on February 3, </w:t>
      </w:r>
      <w:r w:rsidR="00022F5E" w:rsidRPr="00610904">
        <w:rPr>
          <w:rFonts w:cs="Arial"/>
          <w:noProof w:val="0"/>
          <w:szCs w:val="20"/>
          <w:lang w:val="en-US"/>
        </w:rPr>
        <w:t xml:space="preserve">2000, </w:t>
      </w:r>
      <w:r w:rsidR="009463F6" w:rsidRPr="00610904">
        <w:rPr>
          <w:rFonts w:cs="Arial"/>
          <w:noProof w:val="0"/>
          <w:szCs w:val="20"/>
          <w:lang w:val="en-US"/>
        </w:rPr>
        <w:t xml:space="preserve">the </w:t>
      </w:r>
      <w:r w:rsidR="00022F5E" w:rsidRPr="00610904">
        <w:rPr>
          <w:rFonts w:cs="Arial"/>
          <w:noProof w:val="0"/>
          <w:szCs w:val="20"/>
          <w:lang w:val="en-US"/>
        </w:rPr>
        <w:t xml:space="preserve">Director </w:t>
      </w:r>
      <w:r w:rsidR="009463F6" w:rsidRPr="00610904">
        <w:rPr>
          <w:rFonts w:cs="Arial"/>
          <w:noProof w:val="0"/>
          <w:szCs w:val="20"/>
          <w:lang w:val="en-US"/>
        </w:rPr>
        <w:t xml:space="preserve">of the school informed </w:t>
      </w:r>
      <w:r w:rsidR="00022F5E" w:rsidRPr="00610904">
        <w:rPr>
          <w:rFonts w:cs="Arial"/>
          <w:noProof w:val="0"/>
          <w:szCs w:val="20"/>
          <w:lang w:val="en-US"/>
        </w:rPr>
        <w:t xml:space="preserve">Teresa Lluy </w:t>
      </w:r>
      <w:r w:rsidR="009463F6" w:rsidRPr="00610904">
        <w:rPr>
          <w:rFonts w:cs="Arial"/>
          <w:noProof w:val="0"/>
          <w:szCs w:val="20"/>
          <w:lang w:val="en-US"/>
        </w:rPr>
        <w:t>of the decision not to allow Talía to attend school any longer, and handed her the “</w:t>
      </w:r>
      <w:r w:rsidR="00827892" w:rsidRPr="00610904">
        <w:rPr>
          <w:rFonts w:cs="Arial"/>
          <w:noProof w:val="0"/>
          <w:szCs w:val="20"/>
          <w:lang w:val="en-US"/>
        </w:rPr>
        <w:t>dismissal</w:t>
      </w:r>
      <w:r w:rsidR="009463F6" w:rsidRPr="00610904">
        <w:rPr>
          <w:rFonts w:cs="Arial"/>
          <w:noProof w:val="0"/>
          <w:szCs w:val="20"/>
          <w:lang w:val="en-US"/>
        </w:rPr>
        <w:t>” papers.</w:t>
      </w:r>
      <w:r w:rsidR="00064B21" w:rsidRPr="00610904">
        <w:rPr>
          <w:rStyle w:val="FootnoteReference"/>
          <w:noProof w:val="0"/>
          <w:lang w:val="en-US"/>
        </w:rPr>
        <w:footnoteReference w:id="155"/>
      </w:r>
    </w:p>
    <w:p w:rsidR="00022F5E" w:rsidRPr="00610904" w:rsidRDefault="00022F5E" w:rsidP="00610904">
      <w:pPr>
        <w:rPr>
          <w:rFonts w:cs="Arial"/>
          <w:b/>
          <w:noProof w:val="0"/>
          <w:szCs w:val="20"/>
          <w:lang w:val="en-US"/>
        </w:rPr>
      </w:pPr>
    </w:p>
    <w:p w:rsidR="00022F5E" w:rsidRPr="00610904" w:rsidRDefault="009463F6" w:rsidP="00610904">
      <w:pPr>
        <w:numPr>
          <w:ilvl w:val="0"/>
          <w:numId w:val="1"/>
        </w:numPr>
        <w:rPr>
          <w:noProof w:val="0"/>
          <w:lang w:val="en-US"/>
        </w:rPr>
      </w:pPr>
      <w:r w:rsidRPr="00610904">
        <w:rPr>
          <w:rFonts w:cs="Arial"/>
          <w:noProof w:val="0"/>
          <w:szCs w:val="20"/>
          <w:lang w:val="en-US"/>
        </w:rPr>
        <w:t>On</w:t>
      </w:r>
      <w:r w:rsidR="00022F5E" w:rsidRPr="00610904">
        <w:rPr>
          <w:rFonts w:cs="Arial"/>
          <w:noProof w:val="0"/>
          <w:szCs w:val="20"/>
          <w:lang w:val="en-US"/>
        </w:rPr>
        <w:t xml:space="preserve"> </w:t>
      </w:r>
      <w:r w:rsidR="008E668D" w:rsidRPr="00610904">
        <w:rPr>
          <w:rFonts w:cs="Arial"/>
          <w:noProof w:val="0"/>
          <w:szCs w:val="20"/>
          <w:lang w:val="en-US"/>
        </w:rPr>
        <w:t>February 8,</w:t>
      </w:r>
      <w:r w:rsidR="00022F5E" w:rsidRPr="00610904">
        <w:rPr>
          <w:rFonts w:cs="Arial"/>
          <w:noProof w:val="0"/>
          <w:szCs w:val="20"/>
          <w:lang w:val="en-US"/>
        </w:rPr>
        <w:t xml:space="preserve"> 2000, Teresa Lluy</w:t>
      </w:r>
      <w:r w:rsidRPr="00610904">
        <w:rPr>
          <w:rFonts w:cs="Arial"/>
          <w:noProof w:val="0"/>
          <w:szCs w:val="20"/>
          <w:lang w:val="en-US"/>
        </w:rPr>
        <w:t xml:space="preserve">, with the </w:t>
      </w:r>
      <w:r w:rsidR="00856968" w:rsidRPr="00610904">
        <w:rPr>
          <w:rFonts w:cs="Arial"/>
          <w:noProof w:val="0"/>
          <w:szCs w:val="20"/>
          <w:lang w:val="en-US"/>
        </w:rPr>
        <w:t>help</w:t>
      </w:r>
      <w:r w:rsidRPr="00610904">
        <w:rPr>
          <w:rFonts w:cs="Arial"/>
          <w:noProof w:val="0"/>
          <w:szCs w:val="20"/>
          <w:lang w:val="en-US"/>
        </w:rPr>
        <w:t xml:space="preserve"> of </w:t>
      </w:r>
      <w:r w:rsidR="00D80BC2" w:rsidRPr="00610904">
        <w:rPr>
          <w:rFonts w:cs="Arial"/>
          <w:noProof w:val="0"/>
          <w:szCs w:val="20"/>
          <w:lang w:val="en-US"/>
        </w:rPr>
        <w:t xml:space="preserve">the </w:t>
      </w:r>
      <w:r w:rsidR="008E668D" w:rsidRPr="00610904">
        <w:rPr>
          <w:rFonts w:cs="Arial"/>
          <w:noProof w:val="0"/>
          <w:szCs w:val="20"/>
          <w:lang w:val="en-US"/>
        </w:rPr>
        <w:t>Ombudsman</w:t>
      </w:r>
      <w:r w:rsidRPr="00610904">
        <w:rPr>
          <w:rFonts w:cs="Arial"/>
          <w:noProof w:val="0"/>
          <w:szCs w:val="20"/>
          <w:lang w:val="en-US"/>
        </w:rPr>
        <w:t>’s Commissioner for</w:t>
      </w:r>
      <w:r w:rsidR="00022F5E" w:rsidRPr="00610904">
        <w:rPr>
          <w:rFonts w:cs="Arial"/>
          <w:noProof w:val="0"/>
          <w:szCs w:val="20"/>
          <w:lang w:val="en-US"/>
        </w:rPr>
        <w:t xml:space="preserve"> Azuay, </w:t>
      </w:r>
      <w:r w:rsidRPr="00610904">
        <w:rPr>
          <w:rFonts w:cs="Arial"/>
          <w:noProof w:val="0"/>
          <w:szCs w:val="20"/>
          <w:lang w:val="en-US"/>
        </w:rPr>
        <w:t>filed an a</w:t>
      </w:r>
      <w:r w:rsidR="00966854" w:rsidRPr="00610904">
        <w:rPr>
          <w:rFonts w:cs="Arial"/>
          <w:noProof w:val="0"/>
          <w:szCs w:val="20"/>
          <w:lang w:val="en-US"/>
        </w:rPr>
        <w:t>pplication</w:t>
      </w:r>
      <w:r w:rsidRPr="00610904">
        <w:rPr>
          <w:rFonts w:cs="Arial"/>
          <w:noProof w:val="0"/>
          <w:szCs w:val="20"/>
          <w:lang w:val="en-US"/>
        </w:rPr>
        <w:t xml:space="preserve"> for </w:t>
      </w:r>
      <w:r w:rsidR="00852A2E" w:rsidRPr="00610904">
        <w:rPr>
          <w:rFonts w:cs="Arial"/>
          <w:noProof w:val="0"/>
          <w:szCs w:val="20"/>
          <w:lang w:val="en-US"/>
        </w:rPr>
        <w:t>constitutional protection</w:t>
      </w:r>
      <w:r w:rsidR="00022F5E" w:rsidRPr="00610904">
        <w:rPr>
          <w:rFonts w:cs="Arial"/>
          <w:noProof w:val="0"/>
          <w:szCs w:val="20"/>
          <w:lang w:val="en-US"/>
        </w:rPr>
        <w:t xml:space="preserve"> </w:t>
      </w:r>
      <w:r w:rsidR="00966854" w:rsidRPr="00610904">
        <w:rPr>
          <w:rFonts w:cs="Arial"/>
          <w:noProof w:val="0"/>
          <w:szCs w:val="20"/>
          <w:lang w:val="en-US"/>
        </w:rPr>
        <w:t>before the</w:t>
      </w:r>
      <w:r w:rsidRPr="00610904">
        <w:rPr>
          <w:rFonts w:cs="Arial"/>
          <w:noProof w:val="0"/>
          <w:szCs w:val="20"/>
          <w:lang w:val="en-US"/>
        </w:rPr>
        <w:t xml:space="preserve"> Third</w:t>
      </w:r>
      <w:r w:rsidR="0013395A" w:rsidRPr="00610904">
        <w:rPr>
          <w:rFonts w:cs="Arial"/>
          <w:noProof w:val="0"/>
          <w:szCs w:val="20"/>
          <w:lang w:val="en-US"/>
        </w:rPr>
        <w:t xml:space="preserve"> District </w:t>
      </w:r>
      <w:r w:rsidRPr="00610904">
        <w:rPr>
          <w:rFonts w:cs="Arial"/>
          <w:noProof w:val="0"/>
          <w:szCs w:val="20"/>
          <w:lang w:val="en-US"/>
        </w:rPr>
        <w:t xml:space="preserve">Contentious-Administrative </w:t>
      </w:r>
      <w:r w:rsidR="0013395A" w:rsidRPr="00610904">
        <w:rPr>
          <w:rFonts w:cs="Arial"/>
          <w:noProof w:val="0"/>
          <w:szCs w:val="20"/>
          <w:lang w:val="en-US"/>
        </w:rPr>
        <w:t>Court</w:t>
      </w:r>
      <w:r w:rsidR="00022F5E" w:rsidRPr="00610904">
        <w:rPr>
          <w:rFonts w:cs="Arial"/>
          <w:noProof w:val="0"/>
          <w:szCs w:val="20"/>
          <w:lang w:val="en-US"/>
        </w:rPr>
        <w:t xml:space="preserve"> </w:t>
      </w:r>
      <w:r w:rsidR="0088750E" w:rsidRPr="00610904">
        <w:rPr>
          <w:rFonts w:cs="Arial"/>
          <w:noProof w:val="0"/>
          <w:szCs w:val="20"/>
          <w:lang w:val="en-US"/>
        </w:rPr>
        <w:t>of Cuenca</w:t>
      </w:r>
      <w:r w:rsidR="00022F5E" w:rsidRPr="00610904">
        <w:rPr>
          <w:rFonts w:cs="Arial"/>
          <w:noProof w:val="0"/>
          <w:szCs w:val="20"/>
          <w:lang w:val="en-US"/>
        </w:rPr>
        <w:t xml:space="preserve"> </w:t>
      </w:r>
      <w:r w:rsidRPr="00610904">
        <w:rPr>
          <w:rFonts w:cs="Arial"/>
          <w:noProof w:val="0"/>
          <w:szCs w:val="20"/>
          <w:lang w:val="en-US"/>
        </w:rPr>
        <w:t>against</w:t>
      </w:r>
      <w:r w:rsidR="00022F5E" w:rsidRPr="00610904">
        <w:rPr>
          <w:rFonts w:cs="Arial"/>
          <w:noProof w:val="0"/>
          <w:szCs w:val="20"/>
          <w:lang w:val="en-US"/>
        </w:rPr>
        <w:t xml:space="preserve"> </w:t>
      </w:r>
      <w:r w:rsidRPr="00610904">
        <w:rPr>
          <w:rFonts w:cs="Arial"/>
          <w:noProof w:val="0"/>
          <w:szCs w:val="20"/>
          <w:lang w:val="en-US"/>
        </w:rPr>
        <w:t>the Ministry of Education and Culture</w:t>
      </w:r>
      <w:r w:rsidR="00022F5E" w:rsidRPr="00610904">
        <w:rPr>
          <w:rFonts w:cs="Arial"/>
          <w:noProof w:val="0"/>
          <w:szCs w:val="20"/>
          <w:lang w:val="en-US"/>
        </w:rPr>
        <w:t xml:space="preserve"> represent</w:t>
      </w:r>
      <w:r w:rsidRPr="00610904">
        <w:rPr>
          <w:rFonts w:cs="Arial"/>
          <w:noProof w:val="0"/>
          <w:szCs w:val="20"/>
          <w:lang w:val="en-US"/>
        </w:rPr>
        <w:t xml:space="preserve">ed by the Deputy </w:t>
      </w:r>
      <w:r w:rsidR="009F3D78" w:rsidRPr="00610904">
        <w:rPr>
          <w:rFonts w:cs="Arial"/>
          <w:noProof w:val="0"/>
          <w:szCs w:val="20"/>
          <w:lang w:val="en-US"/>
        </w:rPr>
        <w:t>Secretary</w:t>
      </w:r>
      <w:r w:rsidR="00022F5E" w:rsidRPr="00610904">
        <w:rPr>
          <w:rFonts w:cs="Arial"/>
          <w:noProof w:val="0"/>
          <w:szCs w:val="20"/>
          <w:lang w:val="en-US"/>
        </w:rPr>
        <w:t xml:space="preserve"> </w:t>
      </w:r>
      <w:r w:rsidRPr="00610904">
        <w:rPr>
          <w:rFonts w:cs="Arial"/>
          <w:noProof w:val="0"/>
          <w:szCs w:val="20"/>
          <w:lang w:val="en-US"/>
        </w:rPr>
        <w:t xml:space="preserve">of Education for the southern region; the director of the </w:t>
      </w:r>
      <w:r w:rsidR="00535633" w:rsidRPr="00610904">
        <w:rPr>
          <w:rFonts w:cs="Arial"/>
          <w:noProof w:val="0"/>
          <w:szCs w:val="20"/>
          <w:lang w:val="en-US"/>
        </w:rPr>
        <w:t>Zoila Aurora Palacios</w:t>
      </w:r>
      <w:r w:rsidR="009F3D78" w:rsidRPr="00610904">
        <w:rPr>
          <w:rFonts w:cs="Arial"/>
          <w:noProof w:val="0"/>
          <w:szCs w:val="20"/>
          <w:lang w:val="en-US"/>
        </w:rPr>
        <w:t xml:space="preserve"> </w:t>
      </w:r>
      <w:r w:rsidRPr="00610904">
        <w:rPr>
          <w:rFonts w:cs="Arial"/>
          <w:noProof w:val="0"/>
          <w:szCs w:val="20"/>
          <w:lang w:val="en-US"/>
        </w:rPr>
        <w:t>School</w:t>
      </w:r>
      <w:r w:rsidR="00827892" w:rsidRPr="00610904">
        <w:rPr>
          <w:rFonts w:cs="Arial"/>
          <w:noProof w:val="0"/>
          <w:szCs w:val="20"/>
          <w:lang w:val="en-US"/>
        </w:rPr>
        <w:t>,</w:t>
      </w:r>
      <w:r w:rsidRPr="00610904">
        <w:rPr>
          <w:rFonts w:cs="Arial"/>
          <w:noProof w:val="0"/>
          <w:szCs w:val="20"/>
          <w:lang w:val="en-US"/>
        </w:rPr>
        <w:t xml:space="preserve"> </w:t>
      </w:r>
      <w:r w:rsidR="009F3D78" w:rsidRPr="00610904">
        <w:rPr>
          <w:rFonts w:cs="Arial"/>
          <w:noProof w:val="0"/>
          <w:szCs w:val="20"/>
          <w:lang w:val="en-US"/>
        </w:rPr>
        <w:t xml:space="preserve">and </w:t>
      </w:r>
      <w:r w:rsidR="00827892" w:rsidRPr="00610904">
        <w:rPr>
          <w:rFonts w:cs="Arial"/>
          <w:noProof w:val="0"/>
          <w:szCs w:val="20"/>
          <w:lang w:val="en-US"/>
        </w:rPr>
        <w:t>the teacher</w:t>
      </w:r>
      <w:r w:rsidR="00022F5E" w:rsidRPr="00610904">
        <w:rPr>
          <w:rFonts w:cs="Arial"/>
          <w:noProof w:val="0"/>
          <w:szCs w:val="20"/>
          <w:lang w:val="en-US"/>
        </w:rPr>
        <w:t xml:space="preserve"> APA, </w:t>
      </w:r>
      <w:r w:rsidRPr="00610904">
        <w:rPr>
          <w:rFonts w:cs="Arial"/>
          <w:noProof w:val="0"/>
          <w:szCs w:val="20"/>
          <w:lang w:val="en-US"/>
        </w:rPr>
        <w:t xml:space="preserve">based on a presumed deprivation of Talía’s </w:t>
      </w:r>
      <w:r w:rsidR="007D72DC" w:rsidRPr="00610904">
        <w:rPr>
          <w:rFonts w:cs="Arial"/>
          <w:noProof w:val="0"/>
          <w:szCs w:val="20"/>
          <w:lang w:val="en-US"/>
        </w:rPr>
        <w:t>right to education</w:t>
      </w:r>
      <w:r w:rsidR="00022F5E" w:rsidRPr="00610904">
        <w:rPr>
          <w:rFonts w:cs="Arial"/>
          <w:noProof w:val="0"/>
          <w:szCs w:val="20"/>
          <w:lang w:val="en-US"/>
        </w:rPr>
        <w:t xml:space="preserve">. Teresa Lluy </w:t>
      </w:r>
      <w:r w:rsidRPr="00610904">
        <w:rPr>
          <w:rFonts w:cs="Arial"/>
          <w:noProof w:val="0"/>
          <w:szCs w:val="20"/>
          <w:lang w:val="en-US"/>
        </w:rPr>
        <w:t xml:space="preserve">asserted that Talía’s </w:t>
      </w:r>
      <w:r w:rsidR="0013395A" w:rsidRPr="00610904">
        <w:rPr>
          <w:rFonts w:cs="Arial"/>
          <w:noProof w:val="0"/>
          <w:szCs w:val="20"/>
          <w:lang w:val="en-US"/>
        </w:rPr>
        <w:t>right to education</w:t>
      </w:r>
      <w:r w:rsidRPr="00610904">
        <w:rPr>
          <w:rFonts w:cs="Arial"/>
          <w:noProof w:val="0"/>
          <w:szCs w:val="20"/>
          <w:lang w:val="en-US"/>
        </w:rPr>
        <w:t xml:space="preserve"> had been violated and asked that she be reincorporated into the school, and also requested reparation for the harm caused.</w:t>
      </w:r>
      <w:r w:rsidR="00022F5E" w:rsidRPr="00610904">
        <w:rPr>
          <w:rStyle w:val="FootnoteReference"/>
          <w:noProof w:val="0"/>
          <w:lang w:val="en-US"/>
        </w:rPr>
        <w:footnoteReference w:id="156"/>
      </w:r>
    </w:p>
    <w:p w:rsidR="00022F5E" w:rsidRPr="00610904" w:rsidRDefault="00022F5E" w:rsidP="00610904">
      <w:pPr>
        <w:rPr>
          <w:noProof w:val="0"/>
          <w:lang w:val="en-US"/>
        </w:rPr>
      </w:pPr>
    </w:p>
    <w:p w:rsidR="00022F5E" w:rsidRPr="00610904" w:rsidRDefault="008E668D" w:rsidP="00610904">
      <w:pPr>
        <w:numPr>
          <w:ilvl w:val="0"/>
          <w:numId w:val="1"/>
        </w:numPr>
        <w:rPr>
          <w:noProof w:val="0"/>
          <w:lang w:val="en-US"/>
        </w:rPr>
      </w:pPr>
      <w:r w:rsidRPr="00610904">
        <w:rPr>
          <w:rFonts w:cs="Arial"/>
          <w:noProof w:val="0"/>
          <w:szCs w:val="20"/>
          <w:lang w:val="en-US"/>
        </w:rPr>
        <w:t>On February 9,</w:t>
      </w:r>
      <w:r w:rsidR="00022F5E" w:rsidRPr="00610904">
        <w:rPr>
          <w:rFonts w:cs="Arial"/>
          <w:noProof w:val="0"/>
          <w:szCs w:val="20"/>
          <w:lang w:val="en-US"/>
        </w:rPr>
        <w:t xml:space="preserve"> 2000</w:t>
      </w:r>
      <w:r w:rsidR="009463F6" w:rsidRPr="00610904">
        <w:rPr>
          <w:rFonts w:cs="Arial"/>
          <w:noProof w:val="0"/>
          <w:szCs w:val="20"/>
          <w:lang w:val="en-US"/>
        </w:rPr>
        <w:t>, a public hearing was held in the case. During this hearing, the Regional Deputy</w:t>
      </w:r>
      <w:r w:rsidR="00022F5E" w:rsidRPr="00610904">
        <w:rPr>
          <w:rFonts w:cs="Arial"/>
          <w:noProof w:val="0"/>
          <w:szCs w:val="20"/>
          <w:lang w:val="en-US"/>
        </w:rPr>
        <w:t xml:space="preserve"> </w:t>
      </w:r>
      <w:r w:rsidR="009F3D78" w:rsidRPr="00610904">
        <w:rPr>
          <w:rFonts w:cs="Arial"/>
          <w:noProof w:val="0"/>
          <w:szCs w:val="20"/>
          <w:lang w:val="en-US"/>
        </w:rPr>
        <w:t>Secretary</w:t>
      </w:r>
      <w:r w:rsidR="00022F5E" w:rsidRPr="00610904">
        <w:rPr>
          <w:rFonts w:cs="Arial"/>
          <w:noProof w:val="0"/>
          <w:szCs w:val="20"/>
          <w:lang w:val="en-US"/>
        </w:rPr>
        <w:t xml:space="preserve"> </w:t>
      </w:r>
      <w:r w:rsidR="009463F6" w:rsidRPr="00610904">
        <w:rPr>
          <w:rFonts w:cs="Arial"/>
          <w:noProof w:val="0"/>
          <w:szCs w:val="20"/>
          <w:lang w:val="en-US"/>
        </w:rPr>
        <w:t xml:space="preserve">of Education for the southern region indicated that neither the Director of Education of Azuay, nor he himself, had ordered that Talía be taken out of school. However, the Deputy Secretary indicated that, “when there [was] an imminent danger to </w:t>
      </w:r>
      <w:r w:rsidR="009463F6" w:rsidRPr="00610904">
        <w:rPr>
          <w:rFonts w:cs="Arial"/>
          <w:noProof w:val="0"/>
          <w:szCs w:val="20"/>
          <w:lang w:val="en-US"/>
        </w:rPr>
        <w:lastRenderedPageBreak/>
        <w:t xml:space="preserve">students, </w:t>
      </w:r>
      <w:r w:rsidR="00827892" w:rsidRPr="00610904">
        <w:rPr>
          <w:rFonts w:cs="Arial"/>
          <w:noProof w:val="0"/>
          <w:szCs w:val="20"/>
          <w:lang w:val="en-US"/>
        </w:rPr>
        <w:t xml:space="preserve">education legislation </w:t>
      </w:r>
      <w:r w:rsidR="009463F6" w:rsidRPr="00610904">
        <w:rPr>
          <w:rFonts w:cs="Arial"/>
          <w:noProof w:val="0"/>
          <w:szCs w:val="20"/>
          <w:lang w:val="en-US"/>
        </w:rPr>
        <w:t>authorize[d] the directors of educational establishments to take measures to safeguard the other students.</w:t>
      </w:r>
      <w:r w:rsidR="00022F5E" w:rsidRPr="00610904">
        <w:rPr>
          <w:rFonts w:cs="Arial"/>
          <w:noProof w:val="0"/>
          <w:szCs w:val="20"/>
          <w:lang w:val="en-US"/>
        </w:rPr>
        <w:t>”</w:t>
      </w:r>
      <w:r w:rsidR="00022F5E" w:rsidRPr="00610904">
        <w:rPr>
          <w:rStyle w:val="FootnoteReference"/>
          <w:noProof w:val="0"/>
          <w:lang w:val="en-US"/>
        </w:rPr>
        <w:footnoteReference w:id="157"/>
      </w:r>
      <w:r w:rsidR="00022F5E" w:rsidRPr="00610904">
        <w:rPr>
          <w:rFonts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9463F6" w:rsidP="00610904">
      <w:pPr>
        <w:numPr>
          <w:ilvl w:val="0"/>
          <w:numId w:val="1"/>
        </w:numPr>
        <w:rPr>
          <w:noProof w:val="0"/>
          <w:lang w:val="en-US"/>
        </w:rPr>
      </w:pPr>
      <w:r w:rsidRPr="00610904">
        <w:rPr>
          <w:rFonts w:cs="Arial"/>
          <w:noProof w:val="0"/>
          <w:szCs w:val="20"/>
          <w:lang w:val="en-US"/>
        </w:rPr>
        <w:t xml:space="preserve">The Regional Deputy </w:t>
      </w:r>
      <w:r w:rsidR="009F3D78" w:rsidRPr="00610904">
        <w:rPr>
          <w:rFonts w:cs="Arial"/>
          <w:noProof w:val="0"/>
          <w:szCs w:val="20"/>
          <w:lang w:val="en-US"/>
        </w:rPr>
        <w:t>Secretary</w:t>
      </w:r>
      <w:r w:rsidR="00022F5E" w:rsidRPr="00610904">
        <w:rPr>
          <w:rFonts w:cs="Arial"/>
          <w:noProof w:val="0"/>
          <w:szCs w:val="20"/>
          <w:lang w:val="en-US"/>
        </w:rPr>
        <w:t xml:space="preserve"> </w:t>
      </w:r>
      <w:r w:rsidRPr="00610904">
        <w:rPr>
          <w:rFonts w:cs="Arial"/>
          <w:noProof w:val="0"/>
          <w:szCs w:val="20"/>
          <w:lang w:val="en-US"/>
        </w:rPr>
        <w:t xml:space="preserve">also added that: “the director of the school and the teacher ha[d] acted until the corresponding medical tests ha[d] been performed that </w:t>
      </w:r>
      <w:r w:rsidR="00827892" w:rsidRPr="00610904">
        <w:rPr>
          <w:rFonts w:cs="Arial"/>
          <w:noProof w:val="0"/>
          <w:szCs w:val="20"/>
          <w:lang w:val="en-US"/>
        </w:rPr>
        <w:t xml:space="preserve">would </w:t>
      </w:r>
      <w:r w:rsidRPr="00610904">
        <w:rPr>
          <w:rFonts w:cs="Arial"/>
          <w:noProof w:val="0"/>
          <w:szCs w:val="20"/>
          <w:lang w:val="en-US"/>
        </w:rPr>
        <w:t xml:space="preserve">guarantee that [Talía would] not transmit her unfortunate illness to the other children and employees </w:t>
      </w:r>
      <w:r w:rsidR="00827892" w:rsidRPr="00610904">
        <w:rPr>
          <w:rFonts w:cs="Arial"/>
          <w:noProof w:val="0"/>
          <w:szCs w:val="20"/>
          <w:lang w:val="en-US"/>
        </w:rPr>
        <w:t>who [we</w:t>
      </w:r>
      <w:r w:rsidRPr="00610904">
        <w:rPr>
          <w:rFonts w:cs="Arial"/>
          <w:noProof w:val="0"/>
          <w:szCs w:val="20"/>
          <w:lang w:val="en-US"/>
        </w:rPr>
        <w:t>re</w:t>
      </w:r>
      <w:r w:rsidR="00827892" w:rsidRPr="00610904">
        <w:rPr>
          <w:rFonts w:cs="Arial"/>
          <w:noProof w:val="0"/>
          <w:szCs w:val="20"/>
          <w:lang w:val="en-US"/>
        </w:rPr>
        <w:t>]</w:t>
      </w:r>
      <w:r w:rsidRPr="00610904">
        <w:rPr>
          <w:rFonts w:cs="Arial"/>
          <w:noProof w:val="0"/>
          <w:szCs w:val="20"/>
          <w:lang w:val="en-US"/>
        </w:rPr>
        <w:t xml:space="preserve"> in contact with her, [because] although she [was] a beneficiary of constitutional guarantees</w:t>
      </w:r>
      <w:r w:rsidR="00827892" w:rsidRPr="00610904">
        <w:rPr>
          <w:rFonts w:cs="Arial"/>
          <w:noProof w:val="0"/>
          <w:szCs w:val="20"/>
          <w:lang w:val="en-US"/>
        </w:rPr>
        <w:t>,</w:t>
      </w:r>
      <w:r w:rsidRPr="00610904">
        <w:rPr>
          <w:rFonts w:cs="Arial"/>
          <w:noProof w:val="0"/>
          <w:szCs w:val="20"/>
          <w:lang w:val="en-US"/>
        </w:rPr>
        <w:t xml:space="preserve"> […] the majority of the children studying in that educational establishment should also enjoy those constitutional guarantees and rights.</w:t>
      </w:r>
      <w:r w:rsidR="00022F5E" w:rsidRPr="00610904">
        <w:rPr>
          <w:rFonts w:cs="Arial"/>
          <w:noProof w:val="0"/>
          <w:szCs w:val="20"/>
          <w:lang w:val="en-US"/>
        </w:rPr>
        <w:t>”</w:t>
      </w:r>
      <w:r w:rsidR="00022F5E" w:rsidRPr="00610904">
        <w:rPr>
          <w:rStyle w:val="FootnoteReference"/>
          <w:noProof w:val="0"/>
          <w:lang w:val="en-US"/>
        </w:rPr>
        <w:footnoteReference w:id="158"/>
      </w:r>
      <w:r w:rsidR="00022F5E" w:rsidRPr="00610904">
        <w:rPr>
          <w:rFonts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9463F6" w:rsidP="00610904">
      <w:pPr>
        <w:numPr>
          <w:ilvl w:val="0"/>
          <w:numId w:val="1"/>
        </w:numPr>
        <w:rPr>
          <w:noProof w:val="0"/>
          <w:lang w:val="en-US"/>
        </w:rPr>
      </w:pPr>
      <w:r w:rsidRPr="00610904">
        <w:rPr>
          <w:rFonts w:cs="Arial"/>
          <w:noProof w:val="0"/>
          <w:szCs w:val="20"/>
          <w:lang w:val="en-US"/>
        </w:rPr>
        <w:t>During</w:t>
      </w:r>
      <w:r w:rsidR="00022F5E" w:rsidRPr="00610904">
        <w:rPr>
          <w:rFonts w:cs="Arial"/>
          <w:noProof w:val="0"/>
          <w:szCs w:val="20"/>
          <w:lang w:val="en-US"/>
        </w:rPr>
        <w:t xml:space="preserve"> </w:t>
      </w:r>
      <w:r w:rsidR="00AD687D" w:rsidRPr="00610904">
        <w:rPr>
          <w:rFonts w:cs="Arial"/>
          <w:noProof w:val="0"/>
          <w:szCs w:val="20"/>
          <w:lang w:val="en-US"/>
        </w:rPr>
        <w:t>the public hearing</w:t>
      </w:r>
      <w:r w:rsidRPr="00610904">
        <w:rPr>
          <w:rFonts w:cs="Arial"/>
          <w:noProof w:val="0"/>
          <w:szCs w:val="20"/>
          <w:lang w:val="en-US"/>
        </w:rPr>
        <w:t xml:space="preserve">, the director of the </w:t>
      </w:r>
      <w:r w:rsidR="00535633" w:rsidRPr="00610904">
        <w:rPr>
          <w:rFonts w:cs="Arial"/>
          <w:noProof w:val="0"/>
          <w:szCs w:val="20"/>
          <w:lang w:val="en-US"/>
        </w:rPr>
        <w:t>Zoila Aurora Palacios</w:t>
      </w:r>
      <w:r w:rsidR="009F3D78" w:rsidRPr="00610904">
        <w:rPr>
          <w:rFonts w:cs="Arial"/>
          <w:noProof w:val="0"/>
          <w:szCs w:val="20"/>
          <w:lang w:val="en-US"/>
        </w:rPr>
        <w:t xml:space="preserve"> </w:t>
      </w:r>
      <w:r w:rsidRPr="00610904">
        <w:rPr>
          <w:rFonts w:cs="Arial"/>
          <w:noProof w:val="0"/>
          <w:szCs w:val="20"/>
          <w:lang w:val="en-US"/>
        </w:rPr>
        <w:t xml:space="preserve">School also testified and indicated that they had taken </w:t>
      </w:r>
      <w:r w:rsidR="00827892" w:rsidRPr="00610904">
        <w:rPr>
          <w:rFonts w:cs="Arial"/>
          <w:noProof w:val="0"/>
          <w:szCs w:val="20"/>
          <w:lang w:val="en-US"/>
        </w:rPr>
        <w:t xml:space="preserve">the </w:t>
      </w:r>
      <w:r w:rsidRPr="00610904">
        <w:rPr>
          <w:rFonts w:cs="Arial"/>
          <w:noProof w:val="0"/>
          <w:szCs w:val="20"/>
          <w:lang w:val="en-US"/>
        </w:rPr>
        <w:t xml:space="preserve">decision to </w:t>
      </w:r>
      <w:r w:rsidR="00827892" w:rsidRPr="00610904">
        <w:rPr>
          <w:rFonts w:cs="Arial"/>
          <w:noProof w:val="0"/>
          <w:szCs w:val="20"/>
          <w:lang w:val="en-US"/>
        </w:rPr>
        <w:t>safeguard</w:t>
      </w:r>
      <w:r w:rsidRPr="00610904">
        <w:rPr>
          <w:rFonts w:cs="Arial"/>
          <w:noProof w:val="0"/>
          <w:szCs w:val="20"/>
          <w:lang w:val="en-US"/>
        </w:rPr>
        <w:t xml:space="preserve"> the health of the children enrolled at the first level of basic education. The director also declared that he had based himself “on the requirements that [Talía] should have presented in order to </w:t>
      </w:r>
      <w:r w:rsidR="00856968" w:rsidRPr="00610904">
        <w:rPr>
          <w:rFonts w:cs="Arial"/>
          <w:noProof w:val="0"/>
          <w:szCs w:val="20"/>
          <w:lang w:val="en-US"/>
        </w:rPr>
        <w:t>enroll</w:t>
      </w:r>
      <w:r w:rsidRPr="00610904">
        <w:rPr>
          <w:rFonts w:cs="Arial"/>
          <w:noProof w:val="0"/>
          <w:szCs w:val="20"/>
          <w:lang w:val="en-US"/>
        </w:rPr>
        <w:t xml:space="preserve"> in the school, one of which [was] a medical certificate that the </w:t>
      </w:r>
      <w:r w:rsidR="00827892" w:rsidRPr="00610904">
        <w:rPr>
          <w:rFonts w:cs="Arial"/>
          <w:noProof w:val="0"/>
          <w:szCs w:val="20"/>
          <w:lang w:val="en-US"/>
        </w:rPr>
        <w:t xml:space="preserve">child [did] </w:t>
      </w:r>
      <w:r w:rsidRPr="00610904">
        <w:rPr>
          <w:rFonts w:cs="Arial"/>
          <w:noProof w:val="0"/>
          <w:szCs w:val="20"/>
          <w:lang w:val="en-US"/>
        </w:rPr>
        <w:t xml:space="preserve">not suffer from any </w:t>
      </w:r>
      <w:r w:rsidRPr="00610904">
        <w:rPr>
          <w:noProof w:val="0"/>
          <w:lang w:val="en-US"/>
        </w:rPr>
        <w:t>in</w:t>
      </w:r>
      <w:r w:rsidRPr="00610904">
        <w:rPr>
          <w:bCs/>
          <w:noProof w:val="0"/>
          <w:lang w:val="en-US"/>
        </w:rPr>
        <w:t xml:space="preserve">fectious or contagious disease.” </w:t>
      </w:r>
      <w:r w:rsidRPr="00610904">
        <w:rPr>
          <w:rFonts w:cs="Arial"/>
          <w:noProof w:val="0"/>
          <w:szCs w:val="20"/>
          <w:lang w:val="en-US"/>
        </w:rPr>
        <w:t>Lastly, the</w:t>
      </w:r>
      <w:r w:rsidR="00022F5E" w:rsidRPr="00610904">
        <w:rPr>
          <w:rFonts w:cs="Arial"/>
          <w:noProof w:val="0"/>
          <w:szCs w:val="20"/>
          <w:lang w:val="en-US"/>
        </w:rPr>
        <w:t xml:space="preserve"> director </w:t>
      </w:r>
      <w:r w:rsidRPr="00610904">
        <w:rPr>
          <w:rFonts w:cs="Arial"/>
          <w:noProof w:val="0"/>
          <w:szCs w:val="20"/>
          <w:lang w:val="en-US"/>
        </w:rPr>
        <w:t>indicated that</w:t>
      </w:r>
      <w:r w:rsidR="00827892" w:rsidRPr="00610904">
        <w:rPr>
          <w:rFonts w:cs="Arial"/>
          <w:noProof w:val="0"/>
          <w:szCs w:val="20"/>
          <w:lang w:val="en-US"/>
        </w:rPr>
        <w:t>,</w:t>
      </w:r>
      <w:r w:rsidR="00022F5E" w:rsidRPr="00610904">
        <w:rPr>
          <w:rFonts w:cs="Arial"/>
          <w:noProof w:val="0"/>
          <w:szCs w:val="20"/>
          <w:lang w:val="en-US"/>
        </w:rPr>
        <w:t xml:space="preserve"> “</w:t>
      </w:r>
      <w:r w:rsidR="00827892" w:rsidRPr="00610904">
        <w:rPr>
          <w:rFonts w:cs="Arial"/>
          <w:noProof w:val="0"/>
          <w:szCs w:val="20"/>
          <w:lang w:val="en-US"/>
        </w:rPr>
        <w:t>while at</w:t>
      </w:r>
      <w:r w:rsidRPr="00610904">
        <w:rPr>
          <w:rFonts w:cs="Arial"/>
          <w:noProof w:val="0"/>
          <w:szCs w:val="20"/>
          <w:lang w:val="en-US"/>
        </w:rPr>
        <w:t xml:space="preserve"> school,</w:t>
      </w:r>
      <w:r w:rsidR="00022F5E" w:rsidRPr="00610904">
        <w:rPr>
          <w:rFonts w:cs="Arial"/>
          <w:noProof w:val="0"/>
          <w:szCs w:val="20"/>
          <w:lang w:val="en-US"/>
        </w:rPr>
        <w:t xml:space="preserve"> [Talía] </w:t>
      </w:r>
      <w:r w:rsidRPr="00610904">
        <w:rPr>
          <w:rFonts w:cs="Arial"/>
          <w:noProof w:val="0"/>
          <w:szCs w:val="20"/>
          <w:lang w:val="en-US"/>
        </w:rPr>
        <w:t xml:space="preserve">had several hemorrhages due to an illness called idiopathic </w:t>
      </w:r>
      <w:r w:rsidRPr="00610904">
        <w:rPr>
          <w:bCs/>
          <w:noProof w:val="0"/>
          <w:lang w:val="en-US"/>
        </w:rPr>
        <w:t>thrombocytopenic</w:t>
      </w:r>
      <w:r w:rsidR="00022F5E" w:rsidRPr="00610904">
        <w:rPr>
          <w:rFonts w:cs="Arial"/>
          <w:noProof w:val="0"/>
          <w:szCs w:val="20"/>
          <w:lang w:val="en-US"/>
        </w:rPr>
        <w:t xml:space="preserve"> purpura</w:t>
      </w:r>
      <w:r w:rsidRPr="00610904">
        <w:rPr>
          <w:rFonts w:cs="Arial"/>
          <w:noProof w:val="0"/>
          <w:szCs w:val="20"/>
          <w:lang w:val="en-US"/>
        </w:rPr>
        <w:t>; this illness meant that the risk</w:t>
      </w:r>
      <w:r w:rsidR="00827892" w:rsidRPr="00610904">
        <w:rPr>
          <w:rFonts w:cs="Arial"/>
          <w:noProof w:val="0"/>
          <w:szCs w:val="20"/>
          <w:lang w:val="en-US"/>
        </w:rPr>
        <w:t xml:space="preserve"> of transmission [was</w:t>
      </w:r>
      <w:r w:rsidRPr="00610904">
        <w:rPr>
          <w:rFonts w:cs="Arial"/>
          <w:noProof w:val="0"/>
          <w:szCs w:val="20"/>
          <w:lang w:val="en-US"/>
        </w:rPr>
        <w:t xml:space="preserve">] greater, because </w:t>
      </w:r>
      <w:r w:rsidR="00022F5E" w:rsidRPr="00610904">
        <w:rPr>
          <w:rFonts w:cs="Arial"/>
          <w:noProof w:val="0"/>
          <w:szCs w:val="20"/>
          <w:lang w:val="en-US"/>
        </w:rPr>
        <w:t xml:space="preserve">[Talía] </w:t>
      </w:r>
      <w:r w:rsidRPr="00610904">
        <w:rPr>
          <w:rFonts w:cs="Arial"/>
          <w:noProof w:val="0"/>
          <w:szCs w:val="20"/>
          <w:lang w:val="en-US"/>
        </w:rPr>
        <w:t xml:space="preserve">was enrolled in the first year of basic education where the children work with </w:t>
      </w:r>
      <w:r w:rsidR="00966854" w:rsidRPr="00610904">
        <w:rPr>
          <w:rFonts w:cs="Arial"/>
          <w:noProof w:val="0"/>
          <w:szCs w:val="20"/>
          <w:lang w:val="en-US"/>
        </w:rPr>
        <w:t>sharp objects.</w:t>
      </w:r>
      <w:r w:rsidR="00022F5E" w:rsidRPr="00610904">
        <w:rPr>
          <w:rFonts w:cs="Arial"/>
          <w:noProof w:val="0"/>
          <w:szCs w:val="20"/>
          <w:lang w:val="en-US"/>
        </w:rPr>
        <w:t>”</w:t>
      </w:r>
      <w:r w:rsidR="00022F5E" w:rsidRPr="00610904">
        <w:rPr>
          <w:rStyle w:val="FootnoteReference"/>
          <w:noProof w:val="0"/>
          <w:lang w:val="en-US"/>
        </w:rPr>
        <w:footnoteReference w:id="159"/>
      </w:r>
      <w:r w:rsidR="00022F5E" w:rsidRPr="00610904">
        <w:rPr>
          <w:rFonts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827892" w:rsidP="00610904">
      <w:pPr>
        <w:numPr>
          <w:ilvl w:val="0"/>
          <w:numId w:val="1"/>
        </w:numPr>
        <w:rPr>
          <w:noProof w:val="0"/>
          <w:lang w:val="en-US"/>
        </w:rPr>
      </w:pPr>
      <w:r w:rsidRPr="00610904">
        <w:rPr>
          <w:rFonts w:cs="Arial"/>
          <w:noProof w:val="0"/>
          <w:szCs w:val="20"/>
          <w:lang w:val="en-US"/>
        </w:rPr>
        <w:t>The teacher</w:t>
      </w:r>
      <w:r w:rsidR="00022F5E" w:rsidRPr="00610904">
        <w:rPr>
          <w:rFonts w:cs="Arial"/>
          <w:noProof w:val="0"/>
          <w:szCs w:val="20"/>
          <w:lang w:val="en-US"/>
        </w:rPr>
        <w:t xml:space="preserve"> APA</w:t>
      </w:r>
      <w:r w:rsidR="00966854" w:rsidRPr="00610904">
        <w:rPr>
          <w:rFonts w:cs="Arial"/>
          <w:noProof w:val="0"/>
          <w:szCs w:val="20"/>
          <w:lang w:val="en-US"/>
        </w:rPr>
        <w:t xml:space="preserve"> also gave testimony during </w:t>
      </w:r>
      <w:r w:rsidR="00AD687D" w:rsidRPr="00610904">
        <w:rPr>
          <w:rFonts w:cs="Arial"/>
          <w:noProof w:val="0"/>
          <w:szCs w:val="20"/>
          <w:lang w:val="en-US"/>
        </w:rPr>
        <w:t>the public hearing</w:t>
      </w:r>
      <w:r w:rsidR="009F3D78" w:rsidRPr="00610904">
        <w:rPr>
          <w:rFonts w:cs="Arial"/>
          <w:noProof w:val="0"/>
          <w:szCs w:val="20"/>
          <w:lang w:val="en-US"/>
        </w:rPr>
        <w:t xml:space="preserve"> and </w:t>
      </w:r>
      <w:r w:rsidR="00966854" w:rsidRPr="00610904">
        <w:rPr>
          <w:rFonts w:cs="Arial"/>
          <w:noProof w:val="0"/>
          <w:szCs w:val="20"/>
          <w:lang w:val="en-US"/>
        </w:rPr>
        <w:t xml:space="preserve">stated that she had asked Talía’s doctor, who had made a presentation on HIV “to all the teaching staff” of the </w:t>
      </w:r>
      <w:r w:rsidR="00535633" w:rsidRPr="00610904">
        <w:rPr>
          <w:rFonts w:cs="Arial"/>
          <w:noProof w:val="0"/>
          <w:szCs w:val="20"/>
          <w:lang w:val="en-US"/>
        </w:rPr>
        <w:t>Zoila Aurora Palacios</w:t>
      </w:r>
      <w:r w:rsidR="00966854" w:rsidRPr="00610904">
        <w:rPr>
          <w:rFonts w:cs="Arial"/>
          <w:noProof w:val="0"/>
          <w:szCs w:val="20"/>
          <w:lang w:val="en-US"/>
        </w:rPr>
        <w:t xml:space="preserve"> School</w:t>
      </w:r>
      <w:r w:rsidR="00022F5E" w:rsidRPr="00610904">
        <w:rPr>
          <w:rFonts w:cs="Arial"/>
          <w:noProof w:val="0"/>
          <w:szCs w:val="20"/>
          <w:lang w:val="en-US"/>
        </w:rPr>
        <w:t xml:space="preserve">, </w:t>
      </w:r>
      <w:r w:rsidR="00966854" w:rsidRPr="00610904">
        <w:rPr>
          <w:rFonts w:cs="Arial"/>
          <w:noProof w:val="0"/>
          <w:szCs w:val="20"/>
          <w:lang w:val="en-US"/>
        </w:rPr>
        <w:t>whether there was any risk for Talia’s companions</w:t>
      </w:r>
      <w:r w:rsidRPr="00610904">
        <w:rPr>
          <w:rFonts w:cs="Arial"/>
          <w:noProof w:val="0"/>
          <w:szCs w:val="20"/>
          <w:lang w:val="en-US"/>
        </w:rPr>
        <w:t>,</w:t>
      </w:r>
      <w:r w:rsidR="00966854" w:rsidRPr="00610904">
        <w:rPr>
          <w:rFonts w:cs="Arial"/>
          <w:noProof w:val="0"/>
          <w:szCs w:val="20"/>
          <w:lang w:val="en-US"/>
        </w:rPr>
        <w:t xml:space="preserve"> and that the doctor had answered that “yes, there [was] a risk, but</w:t>
      </w:r>
      <w:r w:rsidRPr="00610904">
        <w:rPr>
          <w:rFonts w:cs="Arial"/>
          <w:noProof w:val="0"/>
          <w:szCs w:val="20"/>
          <w:lang w:val="en-US"/>
        </w:rPr>
        <w:t xml:space="preserve"> a very small one.” The teacher APA</w:t>
      </w:r>
      <w:r w:rsidR="00966854" w:rsidRPr="00610904">
        <w:rPr>
          <w:rFonts w:cs="Arial"/>
          <w:noProof w:val="0"/>
          <w:szCs w:val="20"/>
          <w:lang w:val="en-US"/>
        </w:rPr>
        <w:t xml:space="preserve"> also sta</w:t>
      </w:r>
      <w:r w:rsidRPr="00610904">
        <w:rPr>
          <w:rFonts w:cs="Arial"/>
          <w:noProof w:val="0"/>
          <w:szCs w:val="20"/>
          <w:lang w:val="en-US"/>
        </w:rPr>
        <w:t>ted that she “ha[d] witnesses to [Talía’s] hem</w:t>
      </w:r>
      <w:r w:rsidR="00966854" w:rsidRPr="00610904">
        <w:rPr>
          <w:rFonts w:cs="Arial"/>
          <w:noProof w:val="0"/>
          <w:szCs w:val="20"/>
          <w:lang w:val="en-US"/>
        </w:rPr>
        <w:t>o</w:t>
      </w:r>
      <w:r w:rsidRPr="00610904">
        <w:rPr>
          <w:rFonts w:cs="Arial"/>
          <w:noProof w:val="0"/>
          <w:szCs w:val="20"/>
          <w:lang w:val="en-US"/>
        </w:rPr>
        <w:t>r</w:t>
      </w:r>
      <w:r w:rsidR="00966854" w:rsidRPr="00610904">
        <w:rPr>
          <w:rFonts w:cs="Arial"/>
          <w:noProof w:val="0"/>
          <w:szCs w:val="20"/>
          <w:lang w:val="en-US"/>
        </w:rPr>
        <w:t xml:space="preserve">rhages [and that] in view of those risks, </w:t>
      </w:r>
      <w:r w:rsidRPr="00610904">
        <w:rPr>
          <w:rFonts w:cs="Arial"/>
          <w:noProof w:val="0"/>
          <w:szCs w:val="20"/>
          <w:lang w:val="en-US"/>
        </w:rPr>
        <w:t>[she ha</w:t>
      </w:r>
      <w:r w:rsidR="00966854" w:rsidRPr="00610904">
        <w:rPr>
          <w:rFonts w:cs="Arial"/>
          <w:noProof w:val="0"/>
          <w:szCs w:val="20"/>
          <w:lang w:val="en-US"/>
        </w:rPr>
        <w:t>d</w:t>
      </w:r>
      <w:r w:rsidRPr="00610904">
        <w:rPr>
          <w:rFonts w:cs="Arial"/>
          <w:noProof w:val="0"/>
          <w:szCs w:val="20"/>
          <w:lang w:val="en-US"/>
        </w:rPr>
        <w:t>] followed the correct path;</w:t>
      </w:r>
      <w:r w:rsidR="00966854" w:rsidRPr="00610904">
        <w:rPr>
          <w:rFonts w:cs="Arial"/>
          <w:noProof w:val="0"/>
          <w:szCs w:val="20"/>
          <w:lang w:val="en-US"/>
        </w:rPr>
        <w:t xml:space="preserve"> not to cause [Talía] moral and psychological</w:t>
      </w:r>
      <w:r w:rsidRPr="00610904">
        <w:rPr>
          <w:rFonts w:cs="Arial"/>
          <w:noProof w:val="0"/>
          <w:szCs w:val="20"/>
          <w:lang w:val="en-US"/>
        </w:rPr>
        <w:t xml:space="preserve"> harm, but rather because [she </w:t>
      </w:r>
      <w:r w:rsidR="00966854" w:rsidRPr="00610904">
        <w:rPr>
          <w:rFonts w:cs="Arial"/>
          <w:noProof w:val="0"/>
          <w:szCs w:val="20"/>
          <w:lang w:val="en-US"/>
        </w:rPr>
        <w:t>was</w:t>
      </w:r>
      <w:r w:rsidRPr="00610904">
        <w:rPr>
          <w:rFonts w:cs="Arial"/>
          <w:noProof w:val="0"/>
          <w:szCs w:val="20"/>
          <w:lang w:val="en-US"/>
        </w:rPr>
        <w:t>]</w:t>
      </w:r>
      <w:r w:rsidR="00966854" w:rsidRPr="00610904">
        <w:rPr>
          <w:rFonts w:cs="Arial"/>
          <w:noProof w:val="0"/>
          <w:szCs w:val="20"/>
          <w:lang w:val="en-US"/>
        </w:rPr>
        <w:t xml:space="preserve"> responsible for a group of 31 children.</w:t>
      </w:r>
      <w:r w:rsidR="00022F5E" w:rsidRPr="00610904">
        <w:rPr>
          <w:rFonts w:cs="Arial"/>
          <w:noProof w:val="0"/>
          <w:szCs w:val="20"/>
          <w:lang w:val="en-US"/>
        </w:rPr>
        <w:t>”</w:t>
      </w:r>
      <w:r w:rsidR="00022F5E" w:rsidRPr="00610904">
        <w:rPr>
          <w:rStyle w:val="FootnoteReference"/>
          <w:noProof w:val="0"/>
          <w:lang w:val="en-US"/>
        </w:rPr>
        <w:footnoteReference w:id="160"/>
      </w:r>
    </w:p>
    <w:p w:rsidR="00022F5E" w:rsidRPr="00610904" w:rsidRDefault="00022F5E" w:rsidP="00610904">
      <w:pPr>
        <w:rPr>
          <w:noProof w:val="0"/>
          <w:szCs w:val="22"/>
          <w:lang w:val="en-US"/>
        </w:rPr>
      </w:pPr>
    </w:p>
    <w:p w:rsidR="00022F5E" w:rsidRPr="00610904" w:rsidRDefault="00966854" w:rsidP="00610904">
      <w:pPr>
        <w:numPr>
          <w:ilvl w:val="0"/>
          <w:numId w:val="1"/>
        </w:numPr>
        <w:rPr>
          <w:noProof w:val="0"/>
          <w:lang w:val="en-US"/>
        </w:rPr>
      </w:pPr>
      <w:r w:rsidRPr="00610904">
        <w:rPr>
          <w:noProof w:val="0"/>
          <w:szCs w:val="22"/>
          <w:lang w:val="en-US"/>
        </w:rPr>
        <w:t>On February 10,</w:t>
      </w:r>
      <w:r w:rsidR="00022F5E" w:rsidRPr="00610904">
        <w:rPr>
          <w:noProof w:val="0"/>
          <w:szCs w:val="22"/>
          <w:lang w:val="en-US"/>
        </w:rPr>
        <w:t xml:space="preserve"> 20</w:t>
      </w:r>
      <w:r w:rsidR="00827892" w:rsidRPr="00610904">
        <w:rPr>
          <w:noProof w:val="0"/>
          <w:szCs w:val="22"/>
          <w:lang w:val="en-US"/>
        </w:rPr>
        <w:t>0</w:t>
      </w:r>
      <w:r w:rsidR="00022F5E" w:rsidRPr="00610904">
        <w:rPr>
          <w:noProof w:val="0"/>
          <w:szCs w:val="22"/>
          <w:lang w:val="en-US"/>
        </w:rPr>
        <w:t>0</w:t>
      </w:r>
      <w:r w:rsidRPr="00610904">
        <w:rPr>
          <w:noProof w:val="0"/>
          <w:szCs w:val="22"/>
          <w:lang w:val="en-US"/>
        </w:rPr>
        <w:t>,</w:t>
      </w:r>
      <w:r w:rsidR="00022F5E" w:rsidRPr="00610904">
        <w:rPr>
          <w:noProof w:val="0"/>
          <w:szCs w:val="22"/>
          <w:lang w:val="en-US"/>
        </w:rPr>
        <w:t xml:space="preserve"> </w:t>
      </w:r>
      <w:r w:rsidR="00D80BC2" w:rsidRPr="00610904">
        <w:rPr>
          <w:noProof w:val="0"/>
          <w:szCs w:val="22"/>
          <w:lang w:val="en-US"/>
        </w:rPr>
        <w:t xml:space="preserve">the </w:t>
      </w:r>
      <w:r w:rsidR="008E668D" w:rsidRPr="00610904">
        <w:rPr>
          <w:noProof w:val="0"/>
          <w:szCs w:val="22"/>
          <w:lang w:val="en-US"/>
        </w:rPr>
        <w:t>Ombudsman</w:t>
      </w:r>
      <w:r w:rsidR="00827892" w:rsidRPr="00610904">
        <w:rPr>
          <w:noProof w:val="0"/>
          <w:szCs w:val="22"/>
          <w:lang w:val="en-US"/>
        </w:rPr>
        <w:t>’s C</w:t>
      </w:r>
      <w:r w:rsidRPr="00610904">
        <w:rPr>
          <w:noProof w:val="0"/>
          <w:szCs w:val="22"/>
          <w:lang w:val="en-US"/>
        </w:rPr>
        <w:t xml:space="preserve">ommissioner for Azuay asked that the certificate </w:t>
      </w:r>
      <w:r w:rsidR="00827892" w:rsidRPr="00610904">
        <w:rPr>
          <w:noProof w:val="0"/>
          <w:szCs w:val="22"/>
          <w:lang w:val="en-US"/>
        </w:rPr>
        <w:t>on Talía’s condition prepared by</w:t>
      </w:r>
      <w:r w:rsidRPr="00610904">
        <w:rPr>
          <w:noProof w:val="0"/>
          <w:szCs w:val="22"/>
          <w:lang w:val="en-US"/>
        </w:rPr>
        <w:t xml:space="preserve"> the infectologist of the </w:t>
      </w:r>
      <w:r w:rsidR="00CB55C4" w:rsidRPr="00610904">
        <w:rPr>
          <w:noProof w:val="0"/>
          <w:szCs w:val="22"/>
          <w:lang w:val="en-US"/>
        </w:rPr>
        <w:t>Vicente Corral Moscoso</w:t>
      </w:r>
      <w:r w:rsidRPr="00610904">
        <w:rPr>
          <w:noProof w:val="0"/>
          <w:szCs w:val="22"/>
          <w:lang w:val="en-US"/>
        </w:rPr>
        <w:t xml:space="preserve"> Regional Teaching Hospital be incorporated into the case file; also the certificate </w:t>
      </w:r>
      <w:r w:rsidR="00827892" w:rsidRPr="00610904">
        <w:rPr>
          <w:noProof w:val="0"/>
          <w:szCs w:val="22"/>
          <w:lang w:val="en-US"/>
        </w:rPr>
        <w:t>on Talía’s hematological condition by</w:t>
      </w:r>
      <w:r w:rsidRPr="00610904">
        <w:rPr>
          <w:noProof w:val="0"/>
          <w:szCs w:val="22"/>
          <w:lang w:val="en-US"/>
        </w:rPr>
        <w:t xml:space="preserve"> the doctor of the </w:t>
      </w:r>
      <w:r w:rsidR="00827892" w:rsidRPr="00610904">
        <w:rPr>
          <w:noProof w:val="0"/>
          <w:szCs w:val="22"/>
          <w:lang w:val="en-US"/>
        </w:rPr>
        <w:t>Santa Ana</w:t>
      </w:r>
      <w:r w:rsidR="00022F5E" w:rsidRPr="00610904">
        <w:rPr>
          <w:noProof w:val="0"/>
          <w:szCs w:val="22"/>
          <w:lang w:val="en-US"/>
        </w:rPr>
        <w:t xml:space="preserve"> </w:t>
      </w:r>
      <w:r w:rsidRPr="00610904">
        <w:rPr>
          <w:noProof w:val="0"/>
          <w:szCs w:val="22"/>
          <w:lang w:val="en-US"/>
        </w:rPr>
        <w:t xml:space="preserve">Clinic, and the report of the Coordinator of the HIV/AIDS-STD Prevention Counselling Program of the Azuay Provincial Health Directorate on the visit of a technical health team to the </w:t>
      </w:r>
      <w:r w:rsidR="00535633" w:rsidRPr="00610904">
        <w:rPr>
          <w:noProof w:val="0"/>
          <w:szCs w:val="22"/>
          <w:lang w:val="en-US"/>
        </w:rPr>
        <w:t>Zoila Aurora Palacios</w:t>
      </w:r>
      <w:r w:rsidRPr="00610904">
        <w:rPr>
          <w:noProof w:val="0"/>
          <w:szCs w:val="22"/>
          <w:lang w:val="en-US"/>
        </w:rPr>
        <w:t xml:space="preserve"> School in relation to Talía’s case.</w:t>
      </w:r>
      <w:r w:rsidR="00022F5E" w:rsidRPr="00610904">
        <w:rPr>
          <w:rStyle w:val="FootnoteReference"/>
          <w:noProof w:val="0"/>
          <w:szCs w:val="22"/>
          <w:lang w:val="en-US"/>
        </w:rPr>
        <w:footnoteReference w:id="161"/>
      </w:r>
    </w:p>
    <w:p w:rsidR="00022F5E" w:rsidRPr="00610904" w:rsidRDefault="00022F5E" w:rsidP="00610904">
      <w:pPr>
        <w:rPr>
          <w:rFonts w:cs="Arial"/>
          <w:noProof w:val="0"/>
          <w:szCs w:val="20"/>
          <w:lang w:val="en-US"/>
        </w:rPr>
      </w:pPr>
    </w:p>
    <w:p w:rsidR="00022F5E" w:rsidRPr="00610904" w:rsidRDefault="00966854" w:rsidP="00610904">
      <w:pPr>
        <w:numPr>
          <w:ilvl w:val="0"/>
          <w:numId w:val="1"/>
        </w:numPr>
        <w:rPr>
          <w:noProof w:val="0"/>
          <w:lang w:val="en-US"/>
        </w:rPr>
      </w:pPr>
      <w:r w:rsidRPr="00610904">
        <w:rPr>
          <w:rFonts w:cs="Arial"/>
          <w:noProof w:val="0"/>
          <w:szCs w:val="20"/>
          <w:lang w:val="en-US"/>
        </w:rPr>
        <w:t>On February</w:t>
      </w:r>
      <w:r w:rsidR="008E668D" w:rsidRPr="00610904">
        <w:rPr>
          <w:rFonts w:cs="Arial"/>
          <w:noProof w:val="0"/>
          <w:szCs w:val="20"/>
          <w:lang w:val="en-US"/>
        </w:rPr>
        <w:t xml:space="preserve"> 11,</w:t>
      </w:r>
      <w:r w:rsidR="00022F5E" w:rsidRPr="00610904">
        <w:rPr>
          <w:rFonts w:cs="Arial"/>
          <w:noProof w:val="0"/>
          <w:szCs w:val="20"/>
          <w:lang w:val="en-US"/>
        </w:rPr>
        <w:t xml:space="preserve"> 2000, </w:t>
      </w:r>
      <w:r w:rsidRPr="00610904">
        <w:rPr>
          <w:rFonts w:cs="Arial"/>
          <w:noProof w:val="0"/>
          <w:szCs w:val="20"/>
          <w:lang w:val="en-US"/>
        </w:rPr>
        <w:t xml:space="preserve">the Third </w:t>
      </w:r>
      <w:r w:rsidR="008E668D" w:rsidRPr="00610904">
        <w:rPr>
          <w:rFonts w:cs="Arial"/>
          <w:noProof w:val="0"/>
          <w:szCs w:val="20"/>
          <w:lang w:val="en-US"/>
        </w:rPr>
        <w:t>Contentious Administrative District Court</w:t>
      </w:r>
      <w:r w:rsidR="00022F5E" w:rsidRPr="00610904">
        <w:rPr>
          <w:rFonts w:cs="Arial"/>
          <w:noProof w:val="0"/>
          <w:szCs w:val="20"/>
          <w:lang w:val="en-US"/>
        </w:rPr>
        <w:t xml:space="preserve"> declar</w:t>
      </w:r>
      <w:r w:rsidRPr="00610904">
        <w:rPr>
          <w:rFonts w:cs="Arial"/>
          <w:noProof w:val="0"/>
          <w:szCs w:val="20"/>
          <w:lang w:val="en-US"/>
        </w:rPr>
        <w:t xml:space="preserve">ed the remedy of </w:t>
      </w:r>
      <w:r w:rsidR="00852A2E" w:rsidRPr="00610904">
        <w:rPr>
          <w:rFonts w:cs="Arial"/>
          <w:noProof w:val="0"/>
          <w:szCs w:val="20"/>
          <w:lang w:val="en-US"/>
        </w:rPr>
        <w:t>constitutional protection</w:t>
      </w:r>
      <w:r w:rsidRPr="00610904">
        <w:rPr>
          <w:rFonts w:cs="Arial"/>
          <w:noProof w:val="0"/>
          <w:szCs w:val="20"/>
          <w:lang w:val="en-US"/>
        </w:rPr>
        <w:t xml:space="preserve"> inadmissible, considering that “there [was] a conflict of interests between the individual rights and guarantees of </w:t>
      </w:r>
      <w:r w:rsidR="00022F5E" w:rsidRPr="00610904">
        <w:rPr>
          <w:rFonts w:cs="Arial"/>
          <w:noProof w:val="0"/>
          <w:szCs w:val="20"/>
          <w:lang w:val="en-US"/>
        </w:rPr>
        <w:t xml:space="preserve">[Talía] </w:t>
      </w:r>
      <w:r w:rsidRPr="00610904">
        <w:rPr>
          <w:rFonts w:cs="Arial"/>
          <w:noProof w:val="0"/>
          <w:szCs w:val="20"/>
          <w:lang w:val="en-US"/>
        </w:rPr>
        <w:t>and the interests of a group of students, a conf</w:t>
      </w:r>
      <w:r w:rsidR="008E38B6" w:rsidRPr="00610904">
        <w:rPr>
          <w:rFonts w:cs="Arial"/>
          <w:noProof w:val="0"/>
          <w:szCs w:val="20"/>
          <w:lang w:val="en-US"/>
        </w:rPr>
        <w:t>lict that mean[t] that the societa</w:t>
      </w:r>
      <w:r w:rsidRPr="00610904">
        <w:rPr>
          <w:rFonts w:cs="Arial"/>
          <w:noProof w:val="0"/>
          <w:szCs w:val="20"/>
          <w:lang w:val="en-US"/>
        </w:rPr>
        <w:t>l or collective interests, such as the right to life</w:t>
      </w:r>
      <w:r w:rsidR="00827892" w:rsidRPr="00610904">
        <w:rPr>
          <w:rFonts w:cs="Arial"/>
          <w:noProof w:val="0"/>
          <w:szCs w:val="20"/>
          <w:lang w:val="en-US"/>
        </w:rPr>
        <w:t>,</w:t>
      </w:r>
      <w:r w:rsidR="008E38B6" w:rsidRPr="00610904">
        <w:rPr>
          <w:rFonts w:cs="Arial"/>
          <w:noProof w:val="0"/>
          <w:szCs w:val="20"/>
          <w:lang w:val="en-US"/>
        </w:rPr>
        <w:t xml:space="preserve"> </w:t>
      </w:r>
      <w:r w:rsidRPr="00610904">
        <w:rPr>
          <w:rFonts w:cs="Arial"/>
          <w:noProof w:val="0"/>
          <w:szCs w:val="20"/>
          <w:lang w:val="en-US"/>
        </w:rPr>
        <w:t>outweigh</w:t>
      </w:r>
      <w:r w:rsidR="008E38B6" w:rsidRPr="00610904">
        <w:rPr>
          <w:rFonts w:cs="Arial"/>
          <w:noProof w:val="0"/>
          <w:szCs w:val="20"/>
          <w:lang w:val="en-US"/>
        </w:rPr>
        <w:t>ed</w:t>
      </w:r>
      <w:r w:rsidRPr="00610904">
        <w:rPr>
          <w:rFonts w:cs="Arial"/>
          <w:noProof w:val="0"/>
          <w:szCs w:val="20"/>
          <w:lang w:val="en-US"/>
        </w:rPr>
        <w:t xml:space="preserve"> the right to education.</w:t>
      </w:r>
      <w:r w:rsidR="00022F5E" w:rsidRPr="00610904">
        <w:rPr>
          <w:rFonts w:cs="Arial"/>
          <w:noProof w:val="0"/>
          <w:szCs w:val="20"/>
          <w:lang w:val="en-US"/>
        </w:rPr>
        <w:t>”</w:t>
      </w:r>
      <w:r w:rsidR="00022F5E" w:rsidRPr="00610904">
        <w:rPr>
          <w:rStyle w:val="FootnoteReference"/>
          <w:noProof w:val="0"/>
          <w:lang w:val="en-US"/>
        </w:rPr>
        <w:footnoteReference w:id="162"/>
      </w:r>
    </w:p>
    <w:p w:rsidR="00022F5E" w:rsidRPr="00610904" w:rsidRDefault="00022F5E" w:rsidP="00610904">
      <w:pPr>
        <w:rPr>
          <w:rFonts w:cs="Arial"/>
          <w:noProof w:val="0"/>
          <w:szCs w:val="20"/>
          <w:lang w:val="en-US"/>
        </w:rPr>
      </w:pPr>
    </w:p>
    <w:p w:rsidR="00022F5E" w:rsidRPr="00610904" w:rsidRDefault="009F3D78" w:rsidP="00610904">
      <w:pPr>
        <w:numPr>
          <w:ilvl w:val="0"/>
          <w:numId w:val="1"/>
        </w:numPr>
        <w:rPr>
          <w:noProof w:val="0"/>
          <w:lang w:val="en-US"/>
        </w:rPr>
      </w:pPr>
      <w:r w:rsidRPr="00610904">
        <w:rPr>
          <w:rFonts w:cs="Arial"/>
          <w:noProof w:val="0"/>
          <w:szCs w:val="20"/>
          <w:lang w:val="en-US"/>
        </w:rPr>
        <w:t xml:space="preserve">The </w:t>
      </w:r>
      <w:r w:rsidR="00966854" w:rsidRPr="00610904">
        <w:rPr>
          <w:rFonts w:cs="Arial"/>
          <w:noProof w:val="0"/>
          <w:szCs w:val="20"/>
          <w:lang w:val="en-US"/>
        </w:rPr>
        <w:t xml:space="preserve">District </w:t>
      </w:r>
      <w:r w:rsidRPr="00610904">
        <w:rPr>
          <w:rFonts w:cs="Arial"/>
          <w:noProof w:val="0"/>
          <w:szCs w:val="20"/>
          <w:lang w:val="en-US"/>
        </w:rPr>
        <w:t>Court</w:t>
      </w:r>
      <w:r w:rsidR="00022F5E" w:rsidRPr="00610904">
        <w:rPr>
          <w:rFonts w:cs="Arial"/>
          <w:noProof w:val="0"/>
          <w:szCs w:val="20"/>
          <w:lang w:val="en-US"/>
        </w:rPr>
        <w:t xml:space="preserve"> </w:t>
      </w:r>
      <w:r w:rsidR="00966854" w:rsidRPr="00610904">
        <w:rPr>
          <w:rFonts w:cs="Arial"/>
          <w:noProof w:val="0"/>
          <w:szCs w:val="20"/>
          <w:lang w:val="en-US"/>
        </w:rPr>
        <w:t>considered that “if the educational authorities and the establishment had not acted as they did, they ran the risk of infringing constitutional principles […] in relation to the other persons in the establishment by not preventing the</w:t>
      </w:r>
      <w:r w:rsidR="00827892" w:rsidRPr="00610904">
        <w:rPr>
          <w:rFonts w:cs="Arial"/>
          <w:noProof w:val="0"/>
          <w:szCs w:val="20"/>
          <w:lang w:val="en-US"/>
        </w:rPr>
        <w:t xml:space="preserve"> threat to health </w:t>
      </w:r>
      <w:r w:rsidR="00966854" w:rsidRPr="00610904">
        <w:rPr>
          <w:rFonts w:cs="Arial"/>
          <w:noProof w:val="0"/>
          <w:szCs w:val="20"/>
          <w:lang w:val="en-US"/>
        </w:rPr>
        <w:t xml:space="preserve">of a real or supposed </w:t>
      </w:r>
      <w:r w:rsidR="00827892" w:rsidRPr="00610904">
        <w:rPr>
          <w:rFonts w:cs="Arial"/>
          <w:noProof w:val="0"/>
          <w:szCs w:val="20"/>
          <w:lang w:val="en-US"/>
        </w:rPr>
        <w:t>infection</w:t>
      </w:r>
      <w:r w:rsidR="00966854" w:rsidRPr="00610904">
        <w:rPr>
          <w:rFonts w:cs="Arial"/>
          <w:noProof w:val="0"/>
          <w:szCs w:val="20"/>
          <w:lang w:val="en-US"/>
        </w:rPr>
        <w:t>.</w:t>
      </w:r>
      <w:r w:rsidR="00022F5E" w:rsidRPr="00610904">
        <w:rPr>
          <w:rFonts w:cs="Arial"/>
          <w:noProof w:val="0"/>
          <w:szCs w:val="20"/>
          <w:lang w:val="en-US"/>
        </w:rPr>
        <w:t>”</w:t>
      </w:r>
      <w:r w:rsidR="00022F5E" w:rsidRPr="00610904">
        <w:rPr>
          <w:rStyle w:val="FootnoteReference"/>
          <w:noProof w:val="0"/>
          <w:lang w:val="en-US"/>
        </w:rPr>
        <w:footnoteReference w:id="163"/>
      </w:r>
      <w:r w:rsidR="00022F5E" w:rsidRPr="00610904">
        <w:rPr>
          <w:rFonts w:cs="Arial"/>
          <w:noProof w:val="0"/>
          <w:szCs w:val="20"/>
          <w:lang w:val="en-US"/>
        </w:rPr>
        <w:t xml:space="preserve"> </w:t>
      </w:r>
    </w:p>
    <w:p w:rsidR="00022F5E" w:rsidRPr="00610904" w:rsidRDefault="00022F5E" w:rsidP="00610904">
      <w:pPr>
        <w:rPr>
          <w:rFonts w:cs="Arial"/>
          <w:noProof w:val="0"/>
          <w:szCs w:val="20"/>
          <w:lang w:val="en-US"/>
        </w:rPr>
      </w:pPr>
    </w:p>
    <w:p w:rsidR="00022F5E" w:rsidRPr="00610904" w:rsidRDefault="00966854" w:rsidP="00610904">
      <w:pPr>
        <w:numPr>
          <w:ilvl w:val="0"/>
          <w:numId w:val="1"/>
        </w:numPr>
        <w:rPr>
          <w:noProof w:val="0"/>
          <w:lang w:val="en-US"/>
        </w:rPr>
      </w:pPr>
      <w:r w:rsidRPr="00610904">
        <w:rPr>
          <w:rFonts w:cs="Arial"/>
          <w:noProof w:val="0"/>
          <w:szCs w:val="20"/>
          <w:lang w:val="en-US"/>
        </w:rPr>
        <w:t xml:space="preserve">Based on the foregoing, the court considered that “the educational authorities [had] proceeded in keeping with the law,” taking into account that Talía’s illness “entail[ed] a possible risk of infecting the other students at the school”; thus it affirmed that “in view of [that] conflict, it </w:t>
      </w:r>
      <w:r w:rsidR="00827892" w:rsidRPr="00610904">
        <w:rPr>
          <w:rFonts w:cs="Arial"/>
          <w:noProof w:val="0"/>
          <w:szCs w:val="20"/>
          <w:lang w:val="en-US"/>
        </w:rPr>
        <w:t>obviously had</w:t>
      </w:r>
      <w:r w:rsidRPr="00610904">
        <w:rPr>
          <w:rFonts w:cs="Arial"/>
          <w:noProof w:val="0"/>
          <w:szCs w:val="20"/>
          <w:lang w:val="en-US"/>
        </w:rPr>
        <w:t xml:space="preserve"> to </w:t>
      </w:r>
      <w:r w:rsidR="00827892" w:rsidRPr="00610904">
        <w:rPr>
          <w:rFonts w:cs="Arial"/>
          <w:noProof w:val="0"/>
          <w:szCs w:val="20"/>
          <w:lang w:val="en-US"/>
        </w:rPr>
        <w:t>point out</w:t>
      </w:r>
      <w:r w:rsidRPr="00610904">
        <w:rPr>
          <w:rFonts w:cs="Arial"/>
          <w:noProof w:val="0"/>
          <w:szCs w:val="20"/>
          <w:lang w:val="en-US"/>
        </w:rPr>
        <w:t xml:space="preserve"> that the right of the majority prevails over an individual case.</w:t>
      </w:r>
      <w:r w:rsidR="00022F5E" w:rsidRPr="00610904">
        <w:rPr>
          <w:rFonts w:cs="Arial"/>
          <w:noProof w:val="0"/>
          <w:szCs w:val="20"/>
          <w:lang w:val="en-US"/>
        </w:rPr>
        <w:t>”</w:t>
      </w:r>
      <w:r w:rsidR="00022F5E" w:rsidRPr="00610904">
        <w:rPr>
          <w:rStyle w:val="FootnoteReference"/>
          <w:noProof w:val="0"/>
          <w:lang w:val="en-US"/>
        </w:rPr>
        <w:footnoteReference w:id="164"/>
      </w:r>
      <w:r w:rsidR="00022F5E" w:rsidRPr="00610904">
        <w:rPr>
          <w:rFonts w:cs="Arial"/>
          <w:noProof w:val="0"/>
          <w:szCs w:val="20"/>
          <w:lang w:val="en-US"/>
        </w:rPr>
        <w:t xml:space="preserve"> </w:t>
      </w:r>
    </w:p>
    <w:p w:rsidR="00022F5E" w:rsidRPr="00610904" w:rsidRDefault="00022F5E" w:rsidP="00610904">
      <w:pPr>
        <w:rPr>
          <w:noProof w:val="0"/>
          <w:lang w:val="en-US"/>
        </w:rPr>
      </w:pPr>
    </w:p>
    <w:p w:rsidR="00022F5E" w:rsidRPr="00610904" w:rsidRDefault="00966854" w:rsidP="00610904">
      <w:pPr>
        <w:numPr>
          <w:ilvl w:val="0"/>
          <w:numId w:val="1"/>
        </w:numPr>
        <w:rPr>
          <w:noProof w:val="0"/>
          <w:lang w:val="en-US"/>
        </w:rPr>
      </w:pPr>
      <w:r w:rsidRPr="00610904">
        <w:rPr>
          <w:rFonts w:cs="Arial"/>
          <w:noProof w:val="0"/>
          <w:szCs w:val="20"/>
          <w:lang w:val="en-US"/>
        </w:rPr>
        <w:t xml:space="preserve">Lastly, that court considered that </w:t>
      </w:r>
      <w:r w:rsidR="00022F5E" w:rsidRPr="00610904">
        <w:rPr>
          <w:rFonts w:cs="Arial"/>
          <w:noProof w:val="0"/>
          <w:szCs w:val="20"/>
          <w:lang w:val="en-US"/>
        </w:rPr>
        <w:t xml:space="preserve">Talía </w:t>
      </w:r>
      <w:r w:rsidRPr="00610904">
        <w:rPr>
          <w:rFonts w:cs="Arial"/>
          <w:noProof w:val="0"/>
          <w:szCs w:val="20"/>
          <w:lang w:val="en-US"/>
        </w:rPr>
        <w:t>could exercise her</w:t>
      </w:r>
      <w:r w:rsidR="00022F5E" w:rsidRPr="00610904">
        <w:rPr>
          <w:rFonts w:cs="Arial"/>
          <w:noProof w:val="0"/>
          <w:szCs w:val="20"/>
          <w:lang w:val="en-US"/>
        </w:rPr>
        <w:t xml:space="preserve"> </w:t>
      </w:r>
      <w:r w:rsidR="007D72DC" w:rsidRPr="00610904">
        <w:rPr>
          <w:rFonts w:cs="Arial"/>
          <w:noProof w:val="0"/>
          <w:szCs w:val="20"/>
          <w:lang w:val="en-US"/>
        </w:rPr>
        <w:t>right to education</w:t>
      </w:r>
      <w:r w:rsidR="00022F5E" w:rsidRPr="00610904">
        <w:rPr>
          <w:rFonts w:cs="Arial"/>
          <w:noProof w:val="0"/>
          <w:szCs w:val="20"/>
          <w:lang w:val="en-US"/>
        </w:rPr>
        <w:t>, “</w:t>
      </w:r>
      <w:r w:rsidRPr="00610904">
        <w:rPr>
          <w:rFonts w:cs="Arial"/>
          <w:noProof w:val="0"/>
          <w:szCs w:val="20"/>
          <w:lang w:val="en-US"/>
        </w:rPr>
        <w:t>by individual</w:t>
      </w:r>
      <w:r w:rsidR="00827892" w:rsidRPr="00610904">
        <w:rPr>
          <w:rFonts w:cs="Arial"/>
          <w:noProof w:val="0"/>
          <w:szCs w:val="20"/>
          <w:lang w:val="en-US"/>
        </w:rPr>
        <w:t>ized</w:t>
      </w:r>
      <w:r w:rsidRPr="00610904">
        <w:rPr>
          <w:rFonts w:cs="Arial"/>
          <w:noProof w:val="0"/>
          <w:szCs w:val="20"/>
          <w:lang w:val="en-US"/>
        </w:rPr>
        <w:t xml:space="preserve"> and distance education.</w:t>
      </w:r>
      <w:r w:rsidR="00022F5E" w:rsidRPr="00610904">
        <w:rPr>
          <w:rFonts w:cs="Arial"/>
          <w:noProof w:val="0"/>
          <w:szCs w:val="20"/>
          <w:lang w:val="en-US"/>
        </w:rPr>
        <w:t>”</w:t>
      </w:r>
      <w:r w:rsidR="00022F5E" w:rsidRPr="00610904">
        <w:rPr>
          <w:rStyle w:val="FootnoteReference"/>
          <w:noProof w:val="0"/>
          <w:lang w:val="en-US"/>
        </w:rPr>
        <w:footnoteReference w:id="165"/>
      </w:r>
      <w:r w:rsidRPr="00610904">
        <w:rPr>
          <w:rFonts w:cs="Arial"/>
          <w:noProof w:val="0"/>
          <w:szCs w:val="20"/>
          <w:lang w:val="en-US"/>
        </w:rPr>
        <w:t xml:space="preserve"> The judgment of the Third </w:t>
      </w:r>
      <w:r w:rsidR="008E668D" w:rsidRPr="00610904">
        <w:rPr>
          <w:rFonts w:cs="Arial"/>
          <w:noProof w:val="0"/>
          <w:szCs w:val="20"/>
          <w:lang w:val="en-US"/>
        </w:rPr>
        <w:t>Contentious Administrative District Court</w:t>
      </w:r>
      <w:r w:rsidRPr="00610904">
        <w:rPr>
          <w:rFonts w:cs="Arial"/>
          <w:noProof w:val="0"/>
          <w:szCs w:val="20"/>
          <w:lang w:val="en-US"/>
        </w:rPr>
        <w:t xml:space="preserve"> was not contested.</w:t>
      </w:r>
    </w:p>
    <w:p w:rsidR="00022F5E" w:rsidRPr="00610904" w:rsidRDefault="00022F5E" w:rsidP="00610904">
      <w:pPr>
        <w:rPr>
          <w:noProof w:val="0"/>
          <w:lang w:val="en-US"/>
        </w:rPr>
      </w:pPr>
    </w:p>
    <w:p w:rsidR="00022F5E" w:rsidRPr="00610904" w:rsidRDefault="00966854" w:rsidP="00610904">
      <w:pPr>
        <w:pStyle w:val="Heading2"/>
        <w:rPr>
          <w:noProof w:val="0"/>
          <w:lang w:val="en-US"/>
        </w:rPr>
      </w:pPr>
      <w:bookmarkStart w:id="90" w:name="_Toc443399096"/>
      <w:r w:rsidRPr="00610904">
        <w:rPr>
          <w:noProof w:val="0"/>
          <w:lang w:val="en-US"/>
        </w:rPr>
        <w:t>Facts related to the health care and treatment received by</w:t>
      </w:r>
      <w:r w:rsidR="00022F5E" w:rsidRPr="00610904">
        <w:rPr>
          <w:noProof w:val="0"/>
          <w:lang w:val="en-US"/>
        </w:rPr>
        <w:t xml:space="preserve"> </w:t>
      </w:r>
      <w:r w:rsidR="00022F5E" w:rsidRPr="00610904">
        <w:rPr>
          <w:rFonts w:cs="Arial"/>
          <w:noProof w:val="0"/>
          <w:lang w:val="en-US"/>
        </w:rPr>
        <w:t>Talía Gonzales Lluy</w:t>
      </w:r>
      <w:bookmarkEnd w:id="90"/>
    </w:p>
    <w:p w:rsidR="00022F5E" w:rsidRPr="00610904" w:rsidRDefault="00022F5E" w:rsidP="00610904">
      <w:pPr>
        <w:rPr>
          <w:noProof w:val="0"/>
          <w:lang w:val="en-US"/>
        </w:rPr>
      </w:pPr>
    </w:p>
    <w:p w:rsidR="00022F5E" w:rsidRPr="00610904" w:rsidRDefault="009F3D78" w:rsidP="00610904">
      <w:pPr>
        <w:numPr>
          <w:ilvl w:val="0"/>
          <w:numId w:val="1"/>
        </w:numPr>
        <w:autoSpaceDE w:val="0"/>
        <w:autoSpaceDN w:val="0"/>
        <w:adjustRightInd w:val="0"/>
        <w:contextualSpacing/>
        <w:rPr>
          <w:rFonts w:cs="Arial"/>
          <w:noProof w:val="0"/>
          <w:spacing w:val="-2"/>
          <w:szCs w:val="20"/>
          <w:lang w:val="en-US"/>
        </w:rPr>
      </w:pPr>
      <w:r w:rsidRPr="00610904">
        <w:rPr>
          <w:noProof w:val="0"/>
          <w:lang w:val="en-US"/>
        </w:rPr>
        <w:t>The State</w:t>
      </w:r>
      <w:r w:rsidR="00022F5E" w:rsidRPr="00610904">
        <w:rPr>
          <w:noProof w:val="0"/>
          <w:lang w:val="en-US"/>
        </w:rPr>
        <w:t xml:space="preserve"> ha</w:t>
      </w:r>
      <w:r w:rsidR="00966854" w:rsidRPr="00610904">
        <w:rPr>
          <w:noProof w:val="0"/>
          <w:lang w:val="en-US"/>
        </w:rPr>
        <w:t xml:space="preserve">s provided the Court with information on the programs it has established on education and treatment with regard to </w:t>
      </w:r>
      <w:r w:rsidR="00A8072E" w:rsidRPr="00610904">
        <w:rPr>
          <w:noProof w:val="0"/>
          <w:lang w:val="en-US"/>
        </w:rPr>
        <w:t>HIV</w:t>
      </w:r>
      <w:r w:rsidR="00022F5E" w:rsidRPr="00610904">
        <w:rPr>
          <w:noProof w:val="0"/>
          <w:lang w:val="en-US"/>
        </w:rPr>
        <w:t>/</w:t>
      </w:r>
      <w:r w:rsidR="00A8072E" w:rsidRPr="00610904">
        <w:rPr>
          <w:noProof w:val="0"/>
          <w:lang w:val="en-US"/>
        </w:rPr>
        <w:t>AIDS</w:t>
      </w:r>
      <w:r w:rsidR="00022F5E" w:rsidRPr="00610904">
        <w:rPr>
          <w:noProof w:val="0"/>
          <w:lang w:val="en-US"/>
        </w:rPr>
        <w:t xml:space="preserve"> </w:t>
      </w:r>
      <w:r w:rsidR="00966854" w:rsidRPr="00610904">
        <w:rPr>
          <w:noProof w:val="0"/>
          <w:lang w:val="en-US"/>
        </w:rPr>
        <w:t xml:space="preserve">in order to provide all its citizens with </w:t>
      </w:r>
      <w:r w:rsidR="00827892" w:rsidRPr="00610904">
        <w:rPr>
          <w:noProof w:val="0"/>
          <w:lang w:val="en-US"/>
        </w:rPr>
        <w:t>appropriate</w:t>
      </w:r>
      <w:r w:rsidR="00966854" w:rsidRPr="00610904">
        <w:rPr>
          <w:noProof w:val="0"/>
          <w:lang w:val="en-US"/>
        </w:rPr>
        <w:t xml:space="preserve"> and unprejudiced information on </w:t>
      </w:r>
      <w:r w:rsidR="00A8072E" w:rsidRPr="00610904">
        <w:rPr>
          <w:noProof w:val="0"/>
          <w:lang w:val="en-US"/>
        </w:rPr>
        <w:t>HIV</w:t>
      </w:r>
      <w:r w:rsidR="00022F5E" w:rsidRPr="00610904">
        <w:rPr>
          <w:noProof w:val="0"/>
          <w:lang w:val="en-US"/>
        </w:rPr>
        <w:t>/</w:t>
      </w:r>
      <w:r w:rsidR="00A8072E" w:rsidRPr="00610904">
        <w:rPr>
          <w:noProof w:val="0"/>
          <w:lang w:val="en-US"/>
        </w:rPr>
        <w:t>AIDS</w:t>
      </w:r>
      <w:r w:rsidR="00022F5E" w:rsidRPr="00610904">
        <w:rPr>
          <w:noProof w:val="0"/>
          <w:lang w:val="en-US"/>
        </w:rPr>
        <w:t xml:space="preserve">. </w:t>
      </w:r>
      <w:r w:rsidR="00966854" w:rsidRPr="00610904">
        <w:rPr>
          <w:noProof w:val="0"/>
          <w:lang w:val="en-US"/>
        </w:rPr>
        <w:t>In this regard, at the time of the facts of this case, article 43 of the 1998 Constitution</w:t>
      </w:r>
      <w:r w:rsidR="00022F5E" w:rsidRPr="00610904">
        <w:rPr>
          <w:rStyle w:val="FootnoteReference"/>
          <w:noProof w:val="0"/>
          <w:lang w:val="en-US"/>
        </w:rPr>
        <w:footnoteReference w:id="166"/>
      </w:r>
      <w:r w:rsidR="00022F5E" w:rsidRPr="00610904">
        <w:rPr>
          <w:noProof w:val="0"/>
          <w:lang w:val="en-US"/>
        </w:rPr>
        <w:t xml:space="preserve"> establ</w:t>
      </w:r>
      <w:r w:rsidR="00966854" w:rsidRPr="00610904">
        <w:rPr>
          <w:noProof w:val="0"/>
          <w:lang w:val="en-US"/>
        </w:rPr>
        <w:t>ished that p</w:t>
      </w:r>
      <w:r w:rsidR="00827892" w:rsidRPr="00610904">
        <w:rPr>
          <w:noProof w:val="0"/>
          <w:lang w:val="en-US"/>
        </w:rPr>
        <w:t>ublic health programs and action</w:t>
      </w:r>
      <w:r w:rsidR="00966854" w:rsidRPr="00610904">
        <w:rPr>
          <w:noProof w:val="0"/>
          <w:lang w:val="en-US"/>
        </w:rPr>
        <w:t xml:space="preserve">s were free for everyone. Also, other relevant norms on access to health care and information are the 1995 </w:t>
      </w:r>
      <w:r w:rsidR="0016209E" w:rsidRPr="00610904">
        <w:rPr>
          <w:noProof w:val="0"/>
          <w:lang w:val="en-US"/>
        </w:rPr>
        <w:t xml:space="preserve">Law on Patients’ </w:t>
      </w:r>
      <w:r w:rsidR="00966854" w:rsidRPr="00610904">
        <w:rPr>
          <w:noProof w:val="0"/>
          <w:lang w:val="en-US"/>
        </w:rPr>
        <w:t>Rights and Protection;</w:t>
      </w:r>
      <w:r w:rsidR="00022F5E" w:rsidRPr="00610904">
        <w:rPr>
          <w:rStyle w:val="FootnoteReference"/>
          <w:noProof w:val="0"/>
          <w:lang w:val="en-US"/>
        </w:rPr>
        <w:footnoteReference w:id="167"/>
      </w:r>
      <w:r w:rsidR="00966854" w:rsidRPr="00610904">
        <w:rPr>
          <w:rFonts w:cs="Arial"/>
          <w:noProof w:val="0"/>
          <w:shd w:val="clear" w:color="auto" w:fill="FFFFFF"/>
          <w:lang w:val="en-US"/>
        </w:rPr>
        <w:t xml:space="preserve"> the 2006 Organic Health Act;</w:t>
      </w:r>
      <w:r w:rsidR="00022F5E" w:rsidRPr="00610904">
        <w:rPr>
          <w:rStyle w:val="FootnoteReference"/>
          <w:noProof w:val="0"/>
          <w:lang w:val="en-US"/>
        </w:rPr>
        <w:footnoteReference w:id="168"/>
      </w:r>
      <w:r w:rsidR="00966854" w:rsidRPr="00610904">
        <w:rPr>
          <w:noProof w:val="0"/>
          <w:lang w:val="en-US"/>
        </w:rPr>
        <w:t xml:space="preserve"> the</w:t>
      </w:r>
      <w:r w:rsidR="00064B21" w:rsidRPr="00610904">
        <w:rPr>
          <w:noProof w:val="0"/>
          <w:lang w:val="en-US"/>
        </w:rPr>
        <w:t xml:space="preserve"> 1998 </w:t>
      </w:r>
      <w:r w:rsidR="0016209E" w:rsidRPr="00610904">
        <w:rPr>
          <w:noProof w:val="0"/>
          <w:lang w:val="en-US"/>
        </w:rPr>
        <w:t xml:space="preserve">Law for </w:t>
      </w:r>
      <w:r w:rsidR="00064B21" w:rsidRPr="00610904">
        <w:rPr>
          <w:bCs/>
          <w:noProof w:val="0"/>
          <w:lang w:val="en-US"/>
        </w:rPr>
        <w:t>Edu</w:t>
      </w:r>
      <w:r w:rsidR="0016209E" w:rsidRPr="00610904">
        <w:rPr>
          <w:bCs/>
          <w:noProof w:val="0"/>
          <w:lang w:val="en-US"/>
        </w:rPr>
        <w:t>cation on Sexuality and Love</w:t>
      </w:r>
      <w:r w:rsidR="00022F5E" w:rsidRPr="00610904">
        <w:rPr>
          <w:noProof w:val="0"/>
          <w:lang w:val="en-US"/>
        </w:rPr>
        <w:t xml:space="preserve">; </w:t>
      </w:r>
      <w:r w:rsidR="00064B21" w:rsidRPr="00610904">
        <w:rPr>
          <w:noProof w:val="0"/>
          <w:lang w:val="en-US"/>
        </w:rPr>
        <w:t>Ministerial Decision 403 of 2006; Ministerial Decision 436 of</w:t>
      </w:r>
      <w:r w:rsidR="00022F5E" w:rsidRPr="00610904">
        <w:rPr>
          <w:noProof w:val="0"/>
          <w:lang w:val="en-US"/>
        </w:rPr>
        <w:t xml:space="preserve"> 2008,</w:t>
      </w:r>
      <w:r w:rsidRPr="00610904">
        <w:rPr>
          <w:noProof w:val="0"/>
          <w:lang w:val="en-US"/>
        </w:rPr>
        <w:t xml:space="preserve"> and </w:t>
      </w:r>
      <w:r w:rsidR="00064B21" w:rsidRPr="00610904">
        <w:rPr>
          <w:noProof w:val="0"/>
          <w:lang w:val="en-US"/>
        </w:rPr>
        <w:t xml:space="preserve">CONESUP </w:t>
      </w:r>
      <w:r w:rsidR="00064B21" w:rsidRPr="00610904">
        <w:rPr>
          <w:noProof w:val="0"/>
          <w:szCs w:val="20"/>
          <w:lang w:val="en-US"/>
        </w:rPr>
        <w:t>Resolution 166 of</w:t>
      </w:r>
      <w:r w:rsidR="00022F5E" w:rsidRPr="00610904">
        <w:rPr>
          <w:noProof w:val="0"/>
          <w:szCs w:val="20"/>
          <w:lang w:val="en-US"/>
        </w:rPr>
        <w:t xml:space="preserve"> 2009</w:t>
      </w:r>
      <w:r w:rsidR="00022F5E" w:rsidRPr="00610904">
        <w:rPr>
          <w:rFonts w:cs="Arial"/>
          <w:noProof w:val="0"/>
          <w:szCs w:val="20"/>
          <w:shd w:val="clear" w:color="auto" w:fill="FFFFFF"/>
          <w:lang w:val="en-US"/>
        </w:rPr>
        <w:t xml:space="preserve">. </w:t>
      </w:r>
      <w:r w:rsidR="00064B21" w:rsidRPr="00610904">
        <w:rPr>
          <w:noProof w:val="0"/>
          <w:szCs w:val="20"/>
          <w:lang w:val="en-US"/>
        </w:rPr>
        <w:t>Additionally, in 2000, the HIV Prevention</w:t>
      </w:r>
      <w:r w:rsidR="00B53B66" w:rsidRPr="00610904">
        <w:rPr>
          <w:noProof w:val="0"/>
          <w:szCs w:val="20"/>
          <w:lang w:val="en-US"/>
        </w:rPr>
        <w:t xml:space="preserve"> and Comprehensive Assistance Law</w:t>
      </w:r>
      <w:r w:rsidR="00B53B66" w:rsidRPr="00610904">
        <w:rPr>
          <w:rStyle w:val="FootnoteReference"/>
          <w:noProof w:val="0"/>
          <w:lang w:val="en-US"/>
        </w:rPr>
        <w:footnoteReference w:id="169"/>
      </w:r>
      <w:r w:rsidR="00B53B66" w:rsidRPr="00610904">
        <w:rPr>
          <w:noProof w:val="0"/>
          <w:szCs w:val="20"/>
          <w:lang w:val="en-US"/>
        </w:rPr>
        <w:t xml:space="preserve"> </w:t>
      </w:r>
      <w:proofErr w:type="gramStart"/>
      <w:r w:rsidR="00064B21" w:rsidRPr="00610904">
        <w:rPr>
          <w:noProof w:val="0"/>
          <w:szCs w:val="20"/>
          <w:lang w:val="en-US"/>
        </w:rPr>
        <w:t>was</w:t>
      </w:r>
      <w:proofErr w:type="gramEnd"/>
      <w:r w:rsidR="00B53B66" w:rsidRPr="00610904">
        <w:rPr>
          <w:noProof w:val="0"/>
          <w:szCs w:val="20"/>
          <w:lang w:val="en-US"/>
        </w:rPr>
        <w:t xml:space="preserve"> promulgated, complemented by the 2002 Regulations for the Treatment of Persons living with HIV/AIDS.</w:t>
      </w:r>
      <w:r w:rsidR="00B53B66" w:rsidRPr="00610904">
        <w:rPr>
          <w:rStyle w:val="FootnoteReference"/>
          <w:noProof w:val="0"/>
          <w:lang w:val="en-US"/>
        </w:rPr>
        <w:footnoteReference w:id="170"/>
      </w:r>
      <w:r w:rsidR="00B53B66" w:rsidRPr="00610904">
        <w:rPr>
          <w:noProof w:val="0"/>
          <w:szCs w:val="20"/>
          <w:lang w:val="en-US"/>
        </w:rPr>
        <w:t xml:space="preserve"> </w:t>
      </w:r>
      <w:r w:rsidR="0016209E" w:rsidRPr="00610904">
        <w:rPr>
          <w:noProof w:val="0"/>
          <w:szCs w:val="20"/>
          <w:lang w:val="en-US"/>
        </w:rPr>
        <w:t>There is also</w:t>
      </w:r>
      <w:r w:rsidR="00064B21" w:rsidRPr="00610904">
        <w:rPr>
          <w:noProof w:val="0"/>
          <w:szCs w:val="20"/>
          <w:lang w:val="en-US"/>
        </w:rPr>
        <w:t xml:space="preserve"> a National Public Health Strategy for </w:t>
      </w:r>
      <w:r w:rsidR="00A8072E" w:rsidRPr="00610904">
        <w:rPr>
          <w:noProof w:val="0"/>
          <w:szCs w:val="20"/>
          <w:lang w:val="en-US"/>
        </w:rPr>
        <w:t>HIV</w:t>
      </w:r>
      <w:r w:rsidR="00022F5E" w:rsidRPr="00610904">
        <w:rPr>
          <w:noProof w:val="0"/>
          <w:szCs w:val="20"/>
          <w:lang w:val="en-US"/>
        </w:rPr>
        <w:t>/</w:t>
      </w:r>
      <w:r w:rsidR="00A8072E" w:rsidRPr="00610904">
        <w:rPr>
          <w:noProof w:val="0"/>
          <w:szCs w:val="20"/>
          <w:lang w:val="en-US"/>
        </w:rPr>
        <w:t>AIDS</w:t>
      </w:r>
      <w:r w:rsidR="00064B21" w:rsidRPr="00610904">
        <w:rPr>
          <w:noProof w:val="0"/>
          <w:szCs w:val="20"/>
          <w:lang w:val="en-US"/>
        </w:rPr>
        <w:t>-STD.</w:t>
      </w:r>
      <w:r w:rsidR="00022F5E" w:rsidRPr="00610904">
        <w:rPr>
          <w:rStyle w:val="FootnoteReference"/>
          <w:noProof w:val="0"/>
          <w:lang w:val="en-US"/>
        </w:rPr>
        <w:footnoteReference w:id="171"/>
      </w:r>
    </w:p>
    <w:p w:rsidR="00022F5E" w:rsidRPr="00610904" w:rsidRDefault="00022F5E" w:rsidP="00610904">
      <w:pPr>
        <w:autoSpaceDE w:val="0"/>
        <w:autoSpaceDN w:val="0"/>
        <w:adjustRightInd w:val="0"/>
        <w:rPr>
          <w:rFonts w:cs="Arial"/>
          <w:noProof w:val="0"/>
          <w:spacing w:val="-2"/>
          <w:szCs w:val="20"/>
          <w:lang w:val="en-US"/>
        </w:rPr>
      </w:pPr>
    </w:p>
    <w:p w:rsidR="00022F5E" w:rsidRPr="00610904" w:rsidRDefault="00064B21" w:rsidP="00610904">
      <w:pPr>
        <w:numPr>
          <w:ilvl w:val="0"/>
          <w:numId w:val="1"/>
        </w:numPr>
        <w:autoSpaceDE w:val="0"/>
        <w:autoSpaceDN w:val="0"/>
        <w:adjustRightInd w:val="0"/>
        <w:contextualSpacing/>
        <w:rPr>
          <w:rFonts w:cs="Arial"/>
          <w:noProof w:val="0"/>
          <w:spacing w:val="-2"/>
          <w:lang w:val="en-US"/>
        </w:rPr>
      </w:pPr>
      <w:r w:rsidRPr="00610904">
        <w:rPr>
          <w:noProof w:val="0"/>
          <w:lang w:val="en-US"/>
        </w:rPr>
        <w:lastRenderedPageBreak/>
        <w:t>The Court also r</w:t>
      </w:r>
      <w:r w:rsidR="00CB55C4" w:rsidRPr="00610904">
        <w:rPr>
          <w:noProof w:val="0"/>
          <w:lang w:val="en-US"/>
        </w:rPr>
        <w:t xml:space="preserve">eceived expert opinions on the </w:t>
      </w:r>
      <w:r w:rsidR="00856968" w:rsidRPr="00610904">
        <w:rPr>
          <w:noProof w:val="0"/>
          <w:lang w:val="en-US"/>
        </w:rPr>
        <w:t>Definition</w:t>
      </w:r>
      <w:r w:rsidR="00CB55C4" w:rsidRPr="00610904">
        <w:rPr>
          <w:noProof w:val="0"/>
          <w:lang w:val="en-US"/>
        </w:rPr>
        <w:t xml:space="preserve"> of p</w:t>
      </w:r>
      <w:r w:rsidRPr="00610904">
        <w:rPr>
          <w:noProof w:val="0"/>
          <w:lang w:val="en-US"/>
        </w:rPr>
        <w:t xml:space="preserve">ublic policy on free treatment and the provisions of services to patients with HIV in </w:t>
      </w:r>
      <w:r w:rsidRPr="00610904">
        <w:rPr>
          <w:rFonts w:cs="Arial"/>
          <w:noProof w:val="0"/>
          <w:spacing w:val="-2"/>
          <w:lang w:val="en-US"/>
        </w:rPr>
        <w:t>Ecuador;</w:t>
      </w:r>
      <w:r w:rsidR="00022F5E" w:rsidRPr="00610904">
        <w:rPr>
          <w:rStyle w:val="FootnoteReference"/>
          <w:noProof w:val="0"/>
          <w:lang w:val="en-US"/>
        </w:rPr>
        <w:footnoteReference w:id="172"/>
      </w:r>
      <w:r w:rsidRPr="00610904">
        <w:rPr>
          <w:noProof w:val="0"/>
          <w:lang w:val="en-US"/>
        </w:rPr>
        <w:t xml:space="preserve"> the 2007-2015 Multi-sectoral public policy of national response to </w:t>
      </w:r>
      <w:r w:rsidR="00A8072E" w:rsidRPr="00610904">
        <w:rPr>
          <w:noProof w:val="0"/>
          <w:lang w:val="en-US"/>
        </w:rPr>
        <w:t>HIV</w:t>
      </w:r>
      <w:r w:rsidR="00022F5E" w:rsidRPr="00610904">
        <w:rPr>
          <w:noProof w:val="0"/>
          <w:lang w:val="en-US"/>
        </w:rPr>
        <w:t>/</w:t>
      </w:r>
      <w:r w:rsidR="00A8072E" w:rsidRPr="00610904">
        <w:rPr>
          <w:noProof w:val="0"/>
          <w:lang w:val="en-US"/>
        </w:rPr>
        <w:t>AIDS</w:t>
      </w:r>
      <w:r w:rsidR="00022F5E" w:rsidRPr="00610904">
        <w:rPr>
          <w:noProof w:val="0"/>
          <w:lang w:val="en-US"/>
        </w:rPr>
        <w:t xml:space="preserve">, </w:t>
      </w:r>
      <w:r w:rsidRPr="00610904">
        <w:rPr>
          <w:noProof w:val="0"/>
          <w:lang w:val="en-US"/>
        </w:rPr>
        <w:t xml:space="preserve">with special emphasis on the comprehensive and multi-sectoral management of this chronic infectious disease (including a detailed </w:t>
      </w:r>
      <w:r w:rsidR="0056398E" w:rsidRPr="00610904">
        <w:rPr>
          <w:noProof w:val="0"/>
          <w:lang w:val="en-US"/>
        </w:rPr>
        <w:t>description</w:t>
      </w:r>
      <w:r w:rsidRPr="00610904">
        <w:rPr>
          <w:noProof w:val="0"/>
          <w:lang w:val="en-US"/>
        </w:rPr>
        <w:t xml:space="preserve"> of the multi-sectoral policies of several local governments and the plans for priority groups);</w:t>
      </w:r>
      <w:r w:rsidR="00022F5E" w:rsidRPr="00610904">
        <w:rPr>
          <w:rStyle w:val="FootnoteReference"/>
          <w:noProof w:val="0"/>
          <w:lang w:val="en-US"/>
        </w:rPr>
        <w:footnoteReference w:id="173"/>
      </w:r>
      <w:r w:rsidRPr="00610904">
        <w:rPr>
          <w:noProof w:val="0"/>
          <w:lang w:val="en-US"/>
        </w:rPr>
        <w:t xml:space="preserve"> the</w:t>
      </w:r>
      <w:r w:rsidR="00022F5E" w:rsidRPr="00610904">
        <w:rPr>
          <w:noProof w:val="0"/>
          <w:lang w:val="en-US"/>
        </w:rPr>
        <w:t xml:space="preserve"> Experienc</w:t>
      </w:r>
      <w:r w:rsidRPr="00610904">
        <w:rPr>
          <w:noProof w:val="0"/>
          <w:lang w:val="en-US"/>
        </w:rPr>
        <w:t xml:space="preserve">e of public policy for the comprehensive treatment of adults and adolescents infected with </w:t>
      </w:r>
      <w:r w:rsidR="00A8072E" w:rsidRPr="00610904">
        <w:rPr>
          <w:noProof w:val="0"/>
          <w:lang w:val="en-US"/>
        </w:rPr>
        <w:t>HIV</w:t>
      </w:r>
      <w:r w:rsidR="00022F5E" w:rsidRPr="00610904">
        <w:rPr>
          <w:noProof w:val="0"/>
          <w:lang w:val="en-US"/>
        </w:rPr>
        <w:t>/</w:t>
      </w:r>
      <w:r w:rsidR="00A8072E" w:rsidRPr="00610904">
        <w:rPr>
          <w:noProof w:val="0"/>
          <w:lang w:val="en-US"/>
        </w:rPr>
        <w:t>AIDS</w:t>
      </w:r>
      <w:r w:rsidRPr="00610904">
        <w:rPr>
          <w:noProof w:val="0"/>
          <w:lang w:val="en-US"/>
        </w:rPr>
        <w:t>,</w:t>
      </w:r>
      <w:r w:rsidR="009F3D78" w:rsidRPr="00610904">
        <w:rPr>
          <w:noProof w:val="0"/>
          <w:lang w:val="en-US"/>
        </w:rPr>
        <w:t xml:space="preserve"> and </w:t>
      </w:r>
      <w:r w:rsidRPr="00610904">
        <w:rPr>
          <w:noProof w:val="0"/>
          <w:lang w:val="en-US"/>
        </w:rPr>
        <w:t xml:space="preserve">the application of the Manual for the Prevention and Control of Mother to Child Transmission of </w:t>
      </w:r>
      <w:r w:rsidR="00A8072E" w:rsidRPr="00610904">
        <w:rPr>
          <w:noProof w:val="0"/>
          <w:lang w:val="en-US"/>
        </w:rPr>
        <w:t>HIV</w:t>
      </w:r>
      <w:r w:rsidRPr="00610904">
        <w:rPr>
          <w:noProof w:val="0"/>
          <w:lang w:val="en-US"/>
        </w:rPr>
        <w:t>,</w:t>
      </w:r>
      <w:r w:rsidR="00022F5E" w:rsidRPr="00610904">
        <w:rPr>
          <w:rStyle w:val="FootnoteReference"/>
          <w:noProof w:val="0"/>
          <w:lang w:val="en-US"/>
        </w:rPr>
        <w:footnoteReference w:id="174"/>
      </w:r>
      <w:r w:rsidR="009F3D78" w:rsidRPr="00610904">
        <w:rPr>
          <w:noProof w:val="0"/>
          <w:lang w:val="en-US"/>
        </w:rPr>
        <w:t xml:space="preserve"> and </w:t>
      </w:r>
      <w:r w:rsidR="00CB55C4" w:rsidRPr="00610904">
        <w:rPr>
          <w:noProof w:val="0"/>
          <w:lang w:val="en-US"/>
        </w:rPr>
        <w:t xml:space="preserve">on </w:t>
      </w:r>
      <w:r w:rsidRPr="00610904">
        <w:rPr>
          <w:noProof w:val="0"/>
          <w:lang w:val="en-US"/>
        </w:rPr>
        <w:t>the mental health programs and the network of comprehensive services applied to the monitoring and treatment of catastrophic illnesses.</w:t>
      </w:r>
      <w:r w:rsidR="00022F5E" w:rsidRPr="00610904">
        <w:rPr>
          <w:rStyle w:val="FootnoteReference"/>
          <w:noProof w:val="0"/>
          <w:lang w:val="en-US"/>
        </w:rPr>
        <w:footnoteReference w:id="175"/>
      </w:r>
    </w:p>
    <w:p w:rsidR="00A31E5C" w:rsidRPr="00610904" w:rsidRDefault="00A31E5C" w:rsidP="00610904">
      <w:pPr>
        <w:pStyle w:val="ListParagraph"/>
        <w:rPr>
          <w:rFonts w:cs="Arial"/>
          <w:noProof w:val="0"/>
          <w:spacing w:val="-2"/>
          <w:lang w:val="en-US"/>
        </w:rPr>
      </w:pPr>
    </w:p>
    <w:p w:rsidR="00022F5E" w:rsidRPr="00610904" w:rsidRDefault="00064B21" w:rsidP="00610904">
      <w:pPr>
        <w:numPr>
          <w:ilvl w:val="0"/>
          <w:numId w:val="1"/>
        </w:numPr>
        <w:autoSpaceDE w:val="0"/>
        <w:autoSpaceDN w:val="0"/>
        <w:adjustRightInd w:val="0"/>
        <w:contextualSpacing/>
        <w:rPr>
          <w:rFonts w:cs="Arial"/>
          <w:noProof w:val="0"/>
          <w:spacing w:val="-2"/>
          <w:lang w:val="en-US"/>
        </w:rPr>
      </w:pPr>
      <w:r w:rsidRPr="00610904">
        <w:rPr>
          <w:noProof w:val="0"/>
          <w:shd w:val="clear" w:color="auto" w:fill="FFFFFF"/>
          <w:lang w:val="en-US"/>
        </w:rPr>
        <w:t xml:space="preserve">In the case file before the Court, the evidence on the health care received by Talía is mostly contained in her statements and those of her family, certifications and documents related to her medical </w:t>
      </w:r>
      <w:r w:rsidR="00A31E5C" w:rsidRPr="00610904">
        <w:rPr>
          <w:noProof w:val="0"/>
          <w:shd w:val="clear" w:color="auto" w:fill="FFFFFF"/>
          <w:lang w:val="en-US"/>
        </w:rPr>
        <w:t>record</w:t>
      </w:r>
      <w:r w:rsidRPr="00610904">
        <w:rPr>
          <w:noProof w:val="0"/>
          <w:shd w:val="clear" w:color="auto" w:fill="FFFFFF"/>
          <w:lang w:val="en-US"/>
        </w:rPr>
        <w:t xml:space="preserve"> and expert opinions. The proven facts include: that Talía’s first </w:t>
      </w:r>
      <w:r w:rsidR="00CB55C4" w:rsidRPr="00610904">
        <w:rPr>
          <w:noProof w:val="0"/>
          <w:shd w:val="clear" w:color="auto" w:fill="FFFFFF"/>
          <w:lang w:val="en-US"/>
        </w:rPr>
        <w:t>blood</w:t>
      </w:r>
      <w:r w:rsidRPr="00610904">
        <w:rPr>
          <w:noProof w:val="0"/>
          <w:shd w:val="clear" w:color="auto" w:fill="FFFFFF"/>
          <w:lang w:val="en-US"/>
        </w:rPr>
        <w:t xml:space="preserve"> tests were performed by the Cuenca </w:t>
      </w:r>
      <w:r w:rsidR="00022F5E" w:rsidRPr="00610904">
        <w:rPr>
          <w:noProof w:val="0"/>
          <w:lang w:val="en-US"/>
        </w:rPr>
        <w:t>Laborator</w:t>
      </w:r>
      <w:r w:rsidR="00CB55C4" w:rsidRPr="00610904">
        <w:rPr>
          <w:noProof w:val="0"/>
          <w:lang w:val="en-US"/>
        </w:rPr>
        <w:t>y of the</w:t>
      </w:r>
      <w:r w:rsidR="00022F5E" w:rsidRPr="00610904">
        <w:rPr>
          <w:noProof w:val="0"/>
          <w:lang w:val="en-US"/>
        </w:rPr>
        <w:t xml:space="preserve"> Leopoldo Izquieta Pérez</w:t>
      </w:r>
      <w:r w:rsidRPr="00610904">
        <w:rPr>
          <w:noProof w:val="0"/>
          <w:lang w:val="en-US"/>
        </w:rPr>
        <w:t xml:space="preserve"> Institute of Hygiene and Tropical Medicine where, on July 27, </w:t>
      </w:r>
      <w:r w:rsidR="00022F5E" w:rsidRPr="00610904">
        <w:rPr>
          <w:noProof w:val="0"/>
          <w:lang w:val="en-US"/>
        </w:rPr>
        <w:t>1998</w:t>
      </w:r>
      <w:r w:rsidRPr="00610904">
        <w:rPr>
          <w:noProof w:val="0"/>
          <w:lang w:val="en-US"/>
        </w:rPr>
        <w:t>, it was diagnosed that</w:t>
      </w:r>
      <w:r w:rsidR="00022F5E" w:rsidRPr="00610904">
        <w:rPr>
          <w:noProof w:val="0"/>
          <w:lang w:val="en-US"/>
        </w:rPr>
        <w:t xml:space="preserve"> </w:t>
      </w:r>
      <w:r w:rsidR="00022F5E" w:rsidRPr="00610904">
        <w:rPr>
          <w:rFonts w:cs="Arial"/>
          <w:noProof w:val="0"/>
          <w:szCs w:val="20"/>
          <w:lang w:val="en-US"/>
        </w:rPr>
        <w:t xml:space="preserve">Talía </w:t>
      </w:r>
      <w:r w:rsidRPr="00610904">
        <w:rPr>
          <w:noProof w:val="0"/>
          <w:lang w:val="en-US"/>
        </w:rPr>
        <w:t>had</w:t>
      </w:r>
      <w:r w:rsidR="00022F5E" w:rsidRPr="00610904">
        <w:rPr>
          <w:noProof w:val="0"/>
          <w:lang w:val="en-US"/>
        </w:rPr>
        <w:t xml:space="preserve"> </w:t>
      </w:r>
      <w:r w:rsidR="00A8072E" w:rsidRPr="00610904">
        <w:rPr>
          <w:noProof w:val="0"/>
          <w:lang w:val="en-US"/>
        </w:rPr>
        <w:t>HIV</w:t>
      </w:r>
      <w:r w:rsidRPr="00610904">
        <w:rPr>
          <w:noProof w:val="0"/>
          <w:lang w:val="en-US"/>
        </w:rPr>
        <w:t>,</w:t>
      </w:r>
      <w:r w:rsidR="00022F5E" w:rsidRPr="00610904">
        <w:rPr>
          <w:rStyle w:val="FootnoteReference"/>
          <w:noProof w:val="0"/>
          <w:lang w:val="en-US"/>
        </w:rPr>
        <w:footnoteReference w:id="176"/>
      </w:r>
      <w:r w:rsidRPr="00610904">
        <w:rPr>
          <w:noProof w:val="0"/>
          <w:lang w:val="en-US"/>
        </w:rPr>
        <w:t xml:space="preserve"> this was followed by different specialized tests to confirm that diagnosis.</w:t>
      </w:r>
      <w:r w:rsidR="00022F5E" w:rsidRPr="00610904">
        <w:rPr>
          <w:rStyle w:val="FootnoteReference"/>
          <w:noProof w:val="0"/>
          <w:lang w:val="en-US"/>
        </w:rPr>
        <w:footnoteReference w:id="177"/>
      </w:r>
      <w:r w:rsidR="00022F5E" w:rsidRPr="00610904">
        <w:rPr>
          <w:noProof w:val="0"/>
          <w:lang w:val="en-US"/>
        </w:rPr>
        <w:t xml:space="preserve"> </w:t>
      </w:r>
      <w:r w:rsidRPr="00610904">
        <w:rPr>
          <w:noProof w:val="0"/>
          <w:lang w:val="en-US"/>
        </w:rPr>
        <w:t xml:space="preserve">In addition, </w:t>
      </w:r>
      <w:r w:rsidR="00022F5E" w:rsidRPr="00610904">
        <w:rPr>
          <w:rFonts w:cs="Arial"/>
          <w:noProof w:val="0"/>
          <w:szCs w:val="20"/>
          <w:lang w:val="en-US"/>
        </w:rPr>
        <w:t xml:space="preserve">Talía </w:t>
      </w:r>
      <w:r w:rsidRPr="00610904">
        <w:rPr>
          <w:rFonts w:cs="Arial"/>
          <w:noProof w:val="0"/>
          <w:szCs w:val="20"/>
          <w:lang w:val="en-US"/>
        </w:rPr>
        <w:t xml:space="preserve">was treated in the </w:t>
      </w:r>
      <w:r w:rsidR="00022F5E" w:rsidRPr="00610904">
        <w:rPr>
          <w:noProof w:val="0"/>
          <w:lang w:val="en-US"/>
        </w:rPr>
        <w:t xml:space="preserve">Vicente Corral Moscoso </w:t>
      </w:r>
      <w:r w:rsidRPr="00610904">
        <w:rPr>
          <w:noProof w:val="0"/>
          <w:lang w:val="en-US"/>
        </w:rPr>
        <w:t xml:space="preserve">Hospital from </w:t>
      </w:r>
      <w:r w:rsidR="00022F5E" w:rsidRPr="00610904">
        <w:rPr>
          <w:noProof w:val="0"/>
          <w:lang w:val="en-US"/>
        </w:rPr>
        <w:t xml:space="preserve">1999 </w:t>
      </w:r>
      <w:r w:rsidR="00856968" w:rsidRPr="00610904">
        <w:rPr>
          <w:noProof w:val="0"/>
          <w:lang w:val="en-US"/>
        </w:rPr>
        <w:t>until 2003</w:t>
      </w:r>
      <w:r w:rsidR="00022F5E" w:rsidRPr="00610904">
        <w:rPr>
          <w:rStyle w:val="FootnoteReference"/>
          <w:noProof w:val="0"/>
          <w:lang w:val="en-US"/>
        </w:rPr>
        <w:footnoteReference w:id="178"/>
      </w:r>
      <w:r w:rsidR="00CB55C4" w:rsidRPr="00610904">
        <w:rPr>
          <w:noProof w:val="0"/>
          <w:lang w:val="en-US"/>
        </w:rPr>
        <w:t xml:space="preserve"> </w:t>
      </w:r>
      <w:r w:rsidRPr="00610904">
        <w:rPr>
          <w:noProof w:val="0"/>
          <w:lang w:val="en-US"/>
        </w:rPr>
        <w:t>and</w:t>
      </w:r>
      <w:r w:rsidR="00856968" w:rsidRPr="00610904">
        <w:rPr>
          <w:noProof w:val="0"/>
          <w:lang w:val="en-US"/>
        </w:rPr>
        <w:t>, in</w:t>
      </w:r>
      <w:r w:rsidRPr="00610904">
        <w:rPr>
          <w:noProof w:val="0"/>
          <w:lang w:val="en-US"/>
        </w:rPr>
        <w:t xml:space="preserve"> </w:t>
      </w:r>
      <w:r w:rsidR="00022F5E" w:rsidRPr="00610904">
        <w:rPr>
          <w:noProof w:val="0"/>
          <w:lang w:val="en-US"/>
        </w:rPr>
        <w:t>2003</w:t>
      </w:r>
      <w:r w:rsidR="009F3D78" w:rsidRPr="00610904">
        <w:rPr>
          <w:noProof w:val="0"/>
          <w:lang w:val="en-US"/>
        </w:rPr>
        <w:t xml:space="preserve"> and </w:t>
      </w:r>
      <w:r w:rsidR="00022F5E" w:rsidRPr="00610904">
        <w:rPr>
          <w:noProof w:val="0"/>
          <w:lang w:val="en-US"/>
        </w:rPr>
        <w:t>2014</w:t>
      </w:r>
      <w:r w:rsidR="00CB55C4" w:rsidRPr="00610904">
        <w:rPr>
          <w:noProof w:val="0"/>
          <w:lang w:val="en-US"/>
        </w:rPr>
        <w:t>,</w:t>
      </w:r>
      <w:r w:rsidR="00022F5E" w:rsidRPr="00610904">
        <w:rPr>
          <w:noProof w:val="0"/>
          <w:lang w:val="en-US"/>
        </w:rPr>
        <w:t xml:space="preserve"> </w:t>
      </w:r>
      <w:r w:rsidRPr="00610904">
        <w:rPr>
          <w:noProof w:val="0"/>
          <w:lang w:val="en-US"/>
        </w:rPr>
        <w:t xml:space="preserve">by the hematologist NV, as noted in the certification issued by the latter on April 22, </w:t>
      </w:r>
      <w:r w:rsidR="00022F5E" w:rsidRPr="00610904">
        <w:rPr>
          <w:noProof w:val="0"/>
          <w:lang w:val="en-US"/>
        </w:rPr>
        <w:t>2014</w:t>
      </w:r>
      <w:r w:rsidRPr="00610904">
        <w:rPr>
          <w:noProof w:val="0"/>
          <w:lang w:val="en-US"/>
        </w:rPr>
        <w:t>.</w:t>
      </w:r>
      <w:r w:rsidR="00022F5E" w:rsidRPr="00610904">
        <w:rPr>
          <w:rStyle w:val="FootnoteReference"/>
          <w:noProof w:val="0"/>
          <w:lang w:val="en-US"/>
        </w:rPr>
        <w:footnoteReference w:id="179"/>
      </w:r>
      <w:r w:rsidRPr="00610904">
        <w:rPr>
          <w:noProof w:val="0"/>
          <w:lang w:val="en-US"/>
        </w:rPr>
        <w:t xml:space="preserve"> Also, since 2004, she has been treated in the General </w:t>
      </w:r>
      <w:r w:rsidRPr="00610904">
        <w:rPr>
          <w:noProof w:val="0"/>
          <w:szCs w:val="20"/>
          <w:lang w:val="en-US"/>
        </w:rPr>
        <w:t xml:space="preserve">Hospital of the Armed Forces No. 1 by internists, allergologists and infectologists and was admitted to this institution </w:t>
      </w:r>
      <w:r w:rsidR="004016D9" w:rsidRPr="00610904">
        <w:rPr>
          <w:noProof w:val="0"/>
          <w:szCs w:val="20"/>
          <w:lang w:val="en-US"/>
        </w:rPr>
        <w:t>on June 20,</w:t>
      </w:r>
      <w:r w:rsidR="00022F5E" w:rsidRPr="00610904">
        <w:rPr>
          <w:noProof w:val="0"/>
          <w:szCs w:val="20"/>
          <w:lang w:val="en-US"/>
        </w:rPr>
        <w:t xml:space="preserve"> 2005</w:t>
      </w:r>
      <w:r w:rsidRPr="00610904">
        <w:rPr>
          <w:noProof w:val="0"/>
          <w:szCs w:val="20"/>
          <w:lang w:val="en-US"/>
        </w:rPr>
        <w:t>,</w:t>
      </w:r>
      <w:r w:rsidR="00022F5E" w:rsidRPr="00610904">
        <w:rPr>
          <w:rStyle w:val="FootnoteReference"/>
          <w:noProof w:val="0"/>
          <w:lang w:val="en-US"/>
        </w:rPr>
        <w:footnoteReference w:id="180"/>
      </w:r>
      <w:r w:rsidR="00022F5E" w:rsidRPr="00610904">
        <w:rPr>
          <w:noProof w:val="0"/>
          <w:szCs w:val="20"/>
          <w:lang w:val="en-US"/>
        </w:rPr>
        <w:t xml:space="preserve"> </w:t>
      </w:r>
      <w:r w:rsidR="00CB55C4" w:rsidRPr="00610904">
        <w:rPr>
          <w:noProof w:val="0"/>
          <w:szCs w:val="20"/>
          <w:lang w:val="en-US"/>
        </w:rPr>
        <w:t>when she began</w:t>
      </w:r>
      <w:r w:rsidRPr="00610904">
        <w:rPr>
          <w:noProof w:val="0"/>
          <w:szCs w:val="20"/>
          <w:lang w:val="en-US"/>
        </w:rPr>
        <w:t xml:space="preserve"> </w:t>
      </w:r>
      <w:r w:rsidR="00A31E5C" w:rsidRPr="00610904">
        <w:rPr>
          <w:noProof w:val="0"/>
          <w:szCs w:val="20"/>
          <w:lang w:val="en-US"/>
        </w:rPr>
        <w:t xml:space="preserve">treatment with </w:t>
      </w:r>
      <w:r w:rsidR="00A31E5C" w:rsidRPr="00610904">
        <w:rPr>
          <w:rFonts w:eastAsia="Times New Roman" w:cs="Times New Roman"/>
          <w:noProof w:val="0"/>
          <w:szCs w:val="20"/>
          <w:lang w:val="en-US"/>
        </w:rPr>
        <w:t>antiretroviral drugs.</w:t>
      </w:r>
      <w:r w:rsidR="00022F5E" w:rsidRPr="00610904">
        <w:rPr>
          <w:rStyle w:val="FootnoteReference"/>
          <w:noProof w:val="0"/>
          <w:lang w:val="en-US"/>
        </w:rPr>
        <w:footnoteReference w:id="181"/>
      </w:r>
      <w:r w:rsidR="00A31E5C" w:rsidRPr="00610904">
        <w:rPr>
          <w:noProof w:val="0"/>
          <w:szCs w:val="20"/>
          <w:lang w:val="en-US"/>
        </w:rPr>
        <w:t xml:space="preserve"> On May 15, 2014</w:t>
      </w:r>
      <w:r w:rsidR="00022F5E" w:rsidRPr="00610904">
        <w:rPr>
          <w:rFonts w:eastAsia="Times New Roman"/>
          <w:noProof w:val="0"/>
          <w:color w:val="000000"/>
          <w:szCs w:val="20"/>
          <w:lang w:val="en-US"/>
        </w:rPr>
        <w:t xml:space="preserve">, </w:t>
      </w:r>
      <w:r w:rsidR="00022F5E" w:rsidRPr="00610904">
        <w:rPr>
          <w:rFonts w:cs="Arial"/>
          <w:noProof w:val="0"/>
          <w:szCs w:val="20"/>
          <w:lang w:val="en-US"/>
        </w:rPr>
        <w:t xml:space="preserve">Talía </w:t>
      </w:r>
      <w:r w:rsidR="00022F5E" w:rsidRPr="00610904">
        <w:rPr>
          <w:rFonts w:eastAsia="Times New Roman"/>
          <w:noProof w:val="0"/>
          <w:color w:val="000000"/>
          <w:szCs w:val="20"/>
          <w:lang w:val="en-US"/>
        </w:rPr>
        <w:t>visit</w:t>
      </w:r>
      <w:r w:rsidR="00A31E5C" w:rsidRPr="00610904">
        <w:rPr>
          <w:rFonts w:eastAsia="Times New Roman"/>
          <w:noProof w:val="0"/>
          <w:color w:val="000000"/>
          <w:szCs w:val="20"/>
          <w:lang w:val="en-US"/>
        </w:rPr>
        <w:t xml:space="preserve">ed the Cuenca Comprehensive Health Care Unit in the </w:t>
      </w:r>
      <w:r w:rsidR="00022F5E" w:rsidRPr="00610904">
        <w:rPr>
          <w:rFonts w:eastAsia="Times New Roman"/>
          <w:noProof w:val="0"/>
          <w:color w:val="000000"/>
          <w:szCs w:val="20"/>
          <w:lang w:val="en-US"/>
        </w:rPr>
        <w:t>Vicente Corral Moscoso</w:t>
      </w:r>
      <w:r w:rsidR="00A31E5C" w:rsidRPr="00610904">
        <w:rPr>
          <w:rFonts w:eastAsia="Times New Roman"/>
          <w:noProof w:val="0"/>
          <w:color w:val="000000"/>
          <w:szCs w:val="20"/>
          <w:lang w:val="en-US"/>
        </w:rPr>
        <w:t xml:space="preserve"> Hospital</w:t>
      </w:r>
      <w:r w:rsidR="00022F5E" w:rsidRPr="00610904">
        <w:rPr>
          <w:rStyle w:val="FootnoteReference"/>
          <w:noProof w:val="0"/>
          <w:color w:val="000000"/>
          <w:lang w:val="en-US"/>
        </w:rPr>
        <w:footnoteReference w:id="182"/>
      </w:r>
      <w:r w:rsidR="00022F5E" w:rsidRPr="00610904">
        <w:rPr>
          <w:rFonts w:eastAsia="Times New Roman"/>
          <w:noProof w:val="0"/>
          <w:color w:val="000000"/>
          <w:szCs w:val="20"/>
          <w:lang w:val="en-US"/>
        </w:rPr>
        <w:t xml:space="preserve"> </w:t>
      </w:r>
      <w:r w:rsidR="00A31E5C" w:rsidRPr="00610904">
        <w:rPr>
          <w:rFonts w:eastAsia="Times New Roman"/>
          <w:noProof w:val="0"/>
          <w:color w:val="000000"/>
          <w:szCs w:val="20"/>
          <w:lang w:val="en-US"/>
        </w:rPr>
        <w:t xml:space="preserve">in order to receive the treatment offered to her by the State in compliance with the recommendations </w:t>
      </w:r>
      <w:r w:rsidR="003309BE" w:rsidRPr="00610904">
        <w:rPr>
          <w:rFonts w:eastAsia="Times New Roman"/>
          <w:noProof w:val="0"/>
          <w:color w:val="000000"/>
          <w:szCs w:val="20"/>
          <w:lang w:val="en-US"/>
        </w:rPr>
        <w:t xml:space="preserve">of the </w:t>
      </w:r>
      <w:r w:rsidR="002F5BBA" w:rsidRPr="00610904">
        <w:rPr>
          <w:rFonts w:eastAsia="Times New Roman"/>
          <w:noProof w:val="0"/>
          <w:color w:val="000000"/>
          <w:szCs w:val="20"/>
          <w:lang w:val="en-US"/>
        </w:rPr>
        <w:t>Inter-American Commission</w:t>
      </w:r>
      <w:r w:rsidR="00022F5E" w:rsidRPr="00610904">
        <w:rPr>
          <w:rFonts w:eastAsia="Times New Roman"/>
          <w:noProof w:val="0"/>
          <w:color w:val="000000"/>
          <w:szCs w:val="20"/>
          <w:lang w:val="en-US"/>
        </w:rPr>
        <w:t>.</w:t>
      </w:r>
    </w:p>
    <w:p w:rsidR="00022F5E" w:rsidRPr="00610904" w:rsidRDefault="00022F5E" w:rsidP="00610904">
      <w:pPr>
        <w:autoSpaceDE w:val="0"/>
        <w:autoSpaceDN w:val="0"/>
        <w:adjustRightInd w:val="0"/>
        <w:rPr>
          <w:noProof w:val="0"/>
          <w:lang w:val="en-US"/>
        </w:rPr>
      </w:pPr>
    </w:p>
    <w:p w:rsidR="00022F5E" w:rsidRPr="00610904" w:rsidRDefault="00A31E5C" w:rsidP="00610904">
      <w:pPr>
        <w:numPr>
          <w:ilvl w:val="0"/>
          <w:numId w:val="1"/>
        </w:numPr>
        <w:autoSpaceDE w:val="0"/>
        <w:autoSpaceDN w:val="0"/>
        <w:adjustRightInd w:val="0"/>
        <w:contextualSpacing/>
        <w:rPr>
          <w:noProof w:val="0"/>
          <w:lang w:val="en-US"/>
        </w:rPr>
      </w:pPr>
      <w:r w:rsidRPr="00610904">
        <w:rPr>
          <w:noProof w:val="0"/>
          <w:lang w:val="en-US"/>
        </w:rPr>
        <w:t>E</w:t>
      </w:r>
      <w:r w:rsidR="00A8072E" w:rsidRPr="00610904">
        <w:rPr>
          <w:noProof w:val="0"/>
          <w:lang w:val="en-US"/>
        </w:rPr>
        <w:t>xpert witness</w:t>
      </w:r>
      <w:r w:rsidR="00022F5E" w:rsidRPr="00610904">
        <w:rPr>
          <w:noProof w:val="0"/>
          <w:lang w:val="en-US"/>
        </w:rPr>
        <w:t xml:space="preserve"> Diana Molina </w:t>
      </w:r>
      <w:r w:rsidRPr="00610904">
        <w:rPr>
          <w:noProof w:val="0"/>
          <w:lang w:val="en-US"/>
        </w:rPr>
        <w:t>informed</w:t>
      </w:r>
      <w:r w:rsidR="00D630C7" w:rsidRPr="00610904">
        <w:rPr>
          <w:noProof w:val="0"/>
          <w:lang w:val="en-US"/>
        </w:rPr>
        <w:t xml:space="preserve"> </w:t>
      </w:r>
      <w:r w:rsidR="009F3D78" w:rsidRPr="00610904">
        <w:rPr>
          <w:noProof w:val="0"/>
          <w:lang w:val="en-US"/>
        </w:rPr>
        <w:t>the Court</w:t>
      </w:r>
      <w:r w:rsidR="00D630C7" w:rsidRPr="00610904">
        <w:rPr>
          <w:noProof w:val="0"/>
          <w:lang w:val="en-US"/>
        </w:rPr>
        <w:t xml:space="preserve"> </w:t>
      </w:r>
      <w:r w:rsidRPr="00610904">
        <w:rPr>
          <w:noProof w:val="0"/>
          <w:lang w:val="en-US"/>
        </w:rPr>
        <w:t xml:space="preserve">that, since Talía was the </w:t>
      </w:r>
      <w:r w:rsidR="00856968" w:rsidRPr="00610904">
        <w:rPr>
          <w:noProof w:val="0"/>
          <w:lang w:val="en-US"/>
        </w:rPr>
        <w:t>daughter</w:t>
      </w:r>
      <w:r w:rsidRPr="00610904">
        <w:rPr>
          <w:noProof w:val="0"/>
          <w:lang w:val="en-US"/>
        </w:rPr>
        <w:t xml:space="preserve"> of a an affiliate of th</w:t>
      </w:r>
      <w:r w:rsidR="00531028" w:rsidRPr="00610904">
        <w:rPr>
          <w:noProof w:val="0"/>
          <w:lang w:val="en-US"/>
        </w:rPr>
        <w:t>e Armed Forces</w:t>
      </w:r>
      <w:r w:rsidRPr="00610904">
        <w:rPr>
          <w:noProof w:val="0"/>
          <w:lang w:val="en-US"/>
        </w:rPr>
        <w:t xml:space="preserve"> Social Security Institute (ISSFA), she had received specialized medical care in the HG-1 Military Hospital in Quito</w:t>
      </w:r>
      <w:r w:rsidR="00CB55C4" w:rsidRPr="00610904">
        <w:rPr>
          <w:noProof w:val="0"/>
          <w:lang w:val="en-US"/>
        </w:rPr>
        <w:t xml:space="preserve"> for 10 years</w:t>
      </w:r>
      <w:r w:rsidRPr="00610904">
        <w:rPr>
          <w:noProof w:val="0"/>
          <w:lang w:val="en-US"/>
        </w:rPr>
        <w:t>,</w:t>
      </w:r>
      <w:r w:rsidR="00CB55C4" w:rsidRPr="00610904">
        <w:rPr>
          <w:noProof w:val="0"/>
          <w:lang w:val="en-US"/>
        </w:rPr>
        <w:t xml:space="preserve"> including the</w:t>
      </w:r>
      <w:r w:rsidR="00404EE1" w:rsidRPr="00610904">
        <w:rPr>
          <w:noProof w:val="0"/>
          <w:lang w:val="en-US"/>
        </w:rPr>
        <w:t xml:space="preserve"> antiretroviral drugs without having to make any payment to the hospital.</w:t>
      </w:r>
      <w:r w:rsidR="00404EE1" w:rsidRPr="00610904">
        <w:rPr>
          <w:rStyle w:val="FootnoteReference"/>
          <w:noProof w:val="0"/>
          <w:lang w:val="en-US"/>
        </w:rPr>
        <w:footnoteReference w:id="183"/>
      </w:r>
      <w:r w:rsidRPr="00610904">
        <w:rPr>
          <w:noProof w:val="0"/>
          <w:lang w:val="en-US"/>
        </w:rPr>
        <w:t xml:space="preserve"> According to the</w:t>
      </w:r>
      <w:r w:rsidR="00022F5E" w:rsidRPr="00610904">
        <w:rPr>
          <w:noProof w:val="0"/>
          <w:lang w:val="en-US"/>
        </w:rPr>
        <w:t xml:space="preserve"> </w:t>
      </w:r>
      <w:r w:rsidR="00A8072E" w:rsidRPr="00610904">
        <w:rPr>
          <w:noProof w:val="0"/>
          <w:lang w:val="en-US"/>
        </w:rPr>
        <w:lastRenderedPageBreak/>
        <w:t>expert witness</w:t>
      </w:r>
      <w:r w:rsidR="00022F5E" w:rsidRPr="00610904">
        <w:rPr>
          <w:noProof w:val="0"/>
          <w:lang w:val="en-US"/>
        </w:rPr>
        <w:t xml:space="preserve">, </w:t>
      </w:r>
      <w:r w:rsidRPr="00610904">
        <w:rPr>
          <w:noProof w:val="0"/>
          <w:lang w:val="en-US"/>
        </w:rPr>
        <w:t xml:space="preserve">in view of the good condition of Talía’s health from 1998 to 2004, it was not necessary to begin the </w:t>
      </w:r>
      <w:r w:rsidR="00856968" w:rsidRPr="00610904">
        <w:rPr>
          <w:noProof w:val="0"/>
          <w:lang w:val="en-US"/>
        </w:rPr>
        <w:t>antiretroviral</w:t>
      </w:r>
      <w:r w:rsidRPr="00610904">
        <w:rPr>
          <w:noProof w:val="0"/>
          <w:lang w:val="en-US"/>
        </w:rPr>
        <w:t xml:space="preserve"> therapy earlier. The </w:t>
      </w:r>
      <w:r w:rsidR="00A8072E" w:rsidRPr="00610904">
        <w:rPr>
          <w:noProof w:val="0"/>
          <w:lang w:val="en-US"/>
        </w:rPr>
        <w:t>expert witness</w:t>
      </w:r>
      <w:r w:rsidR="00022F5E" w:rsidRPr="00610904">
        <w:rPr>
          <w:noProof w:val="0"/>
          <w:lang w:val="en-US"/>
        </w:rPr>
        <w:t xml:space="preserve"> </w:t>
      </w:r>
      <w:r w:rsidRPr="00610904">
        <w:rPr>
          <w:noProof w:val="0"/>
          <w:lang w:val="en-US"/>
        </w:rPr>
        <w:t>explained that</w:t>
      </w:r>
      <w:r w:rsidR="00022F5E" w:rsidRPr="00610904">
        <w:rPr>
          <w:noProof w:val="0"/>
          <w:lang w:val="en-US"/>
        </w:rPr>
        <w:t>:</w:t>
      </w:r>
    </w:p>
    <w:p w:rsidR="00022F5E" w:rsidRPr="00610904" w:rsidRDefault="00022F5E" w:rsidP="00610904">
      <w:pPr>
        <w:rPr>
          <w:noProof w:val="0"/>
          <w:lang w:val="en-US"/>
        </w:rPr>
      </w:pPr>
    </w:p>
    <w:p w:rsidR="00022F5E" w:rsidRPr="00610904" w:rsidRDefault="00022F5E" w:rsidP="00610904">
      <w:pPr>
        <w:autoSpaceDE w:val="0"/>
        <w:autoSpaceDN w:val="0"/>
        <w:adjustRightInd w:val="0"/>
        <w:ind w:left="567" w:right="835"/>
        <w:rPr>
          <w:noProof w:val="0"/>
          <w:sz w:val="16"/>
          <w:szCs w:val="16"/>
          <w:lang w:val="en-US"/>
        </w:rPr>
      </w:pPr>
      <w:r w:rsidRPr="00610904">
        <w:rPr>
          <w:noProof w:val="0"/>
          <w:sz w:val="16"/>
          <w:szCs w:val="16"/>
          <w:lang w:val="en-US"/>
        </w:rPr>
        <w:t>“</w:t>
      </w:r>
      <w:r w:rsidR="00A31E5C" w:rsidRPr="00610904">
        <w:rPr>
          <w:noProof w:val="0"/>
          <w:sz w:val="16"/>
          <w:szCs w:val="16"/>
          <w:lang w:val="en-US"/>
        </w:rPr>
        <w:t xml:space="preserve">Continued access to </w:t>
      </w:r>
      <w:r w:rsidR="00856968" w:rsidRPr="00610904">
        <w:rPr>
          <w:noProof w:val="0"/>
          <w:sz w:val="16"/>
          <w:szCs w:val="16"/>
          <w:lang w:val="en-US"/>
        </w:rPr>
        <w:t>antiretroviral</w:t>
      </w:r>
      <w:r w:rsidR="00A31E5C" w:rsidRPr="00610904">
        <w:rPr>
          <w:noProof w:val="0"/>
          <w:sz w:val="16"/>
          <w:szCs w:val="16"/>
          <w:lang w:val="en-US"/>
        </w:rPr>
        <w:t xml:space="preserve"> drugs, free of charge, even though it was not an explicit public policy dur</w:t>
      </w:r>
      <w:r w:rsidR="00CB55C4" w:rsidRPr="00610904">
        <w:rPr>
          <w:noProof w:val="0"/>
          <w:sz w:val="16"/>
          <w:szCs w:val="16"/>
          <w:lang w:val="en-US"/>
        </w:rPr>
        <w:t>ing that decade; however, it should</w:t>
      </w:r>
      <w:r w:rsidR="00A31E5C" w:rsidRPr="00610904">
        <w:rPr>
          <w:noProof w:val="0"/>
          <w:sz w:val="16"/>
          <w:szCs w:val="16"/>
          <w:lang w:val="en-US"/>
        </w:rPr>
        <w:t xml:space="preserve"> be said that the [Public Health Ministry] had allocated a budget for specialized care and the purchase of antiretroviral drugs since 1990. In addition, among the public insurance systems, those affiliated to social security systems, such as the IESS and the ISSFA, </w:t>
      </w:r>
      <w:r w:rsidR="00CB55C4" w:rsidRPr="00610904">
        <w:rPr>
          <w:noProof w:val="0"/>
          <w:sz w:val="16"/>
          <w:szCs w:val="16"/>
          <w:lang w:val="en-US"/>
        </w:rPr>
        <w:t>had</w:t>
      </w:r>
      <w:r w:rsidR="00A31E5C" w:rsidRPr="00610904">
        <w:rPr>
          <w:noProof w:val="0"/>
          <w:sz w:val="16"/>
          <w:szCs w:val="16"/>
          <w:lang w:val="en-US"/>
        </w:rPr>
        <w:t xml:space="preserve"> these services. In the HG-1 Military Hospital in Quito, treatment of HIV+ patients, including with antiretroviral drugs, began in 1996, and the “HIV/AIDS Clinic” was established in the hospital in October 1998; this is why, since [Talía] was the </w:t>
      </w:r>
      <w:r w:rsidR="00856968" w:rsidRPr="00610904">
        <w:rPr>
          <w:noProof w:val="0"/>
          <w:sz w:val="16"/>
          <w:szCs w:val="16"/>
          <w:lang w:val="en-US"/>
        </w:rPr>
        <w:t>daughter</w:t>
      </w:r>
      <w:r w:rsidR="00A31E5C" w:rsidRPr="00610904">
        <w:rPr>
          <w:noProof w:val="0"/>
          <w:sz w:val="16"/>
          <w:szCs w:val="16"/>
          <w:lang w:val="en-US"/>
        </w:rPr>
        <w:t xml:space="preserve"> of an affiliate of the ISSFA, she received specialized medical care for 10 years (2004-2013), including antiretroviral drugs, without having to make any payment to the </w:t>
      </w:r>
      <w:r w:rsidR="00D630C7" w:rsidRPr="00610904">
        <w:rPr>
          <w:noProof w:val="0"/>
          <w:sz w:val="16"/>
          <w:szCs w:val="16"/>
          <w:lang w:val="en-US"/>
        </w:rPr>
        <w:t>h</w:t>
      </w:r>
      <w:r w:rsidRPr="00610904">
        <w:rPr>
          <w:noProof w:val="0"/>
          <w:sz w:val="16"/>
          <w:szCs w:val="16"/>
          <w:lang w:val="en-US"/>
        </w:rPr>
        <w:t>ospital</w:t>
      </w:r>
      <w:r w:rsidR="00A31E5C" w:rsidRPr="00610904">
        <w:rPr>
          <w:noProof w:val="0"/>
          <w:sz w:val="16"/>
          <w:szCs w:val="16"/>
          <w:lang w:val="en-US"/>
        </w:rPr>
        <w:t>.”</w:t>
      </w:r>
    </w:p>
    <w:p w:rsidR="00022F5E" w:rsidRPr="00610904" w:rsidRDefault="00022F5E" w:rsidP="00610904">
      <w:pPr>
        <w:autoSpaceDE w:val="0"/>
        <w:autoSpaceDN w:val="0"/>
        <w:adjustRightInd w:val="0"/>
        <w:rPr>
          <w:noProof w:val="0"/>
          <w:lang w:val="en-US"/>
        </w:rPr>
      </w:pPr>
    </w:p>
    <w:p w:rsidR="00022F5E" w:rsidRPr="00610904" w:rsidRDefault="00A31E5C" w:rsidP="00610904">
      <w:pPr>
        <w:numPr>
          <w:ilvl w:val="0"/>
          <w:numId w:val="1"/>
        </w:numPr>
        <w:autoSpaceDE w:val="0"/>
        <w:autoSpaceDN w:val="0"/>
        <w:adjustRightInd w:val="0"/>
        <w:contextualSpacing/>
        <w:rPr>
          <w:noProof w:val="0"/>
          <w:lang w:val="en-US"/>
        </w:rPr>
      </w:pPr>
      <w:r w:rsidRPr="00610904">
        <w:rPr>
          <w:noProof w:val="0"/>
          <w:lang w:val="en-US"/>
        </w:rPr>
        <w:t>According to the</w:t>
      </w:r>
      <w:r w:rsidR="00022F5E" w:rsidRPr="00610904">
        <w:rPr>
          <w:noProof w:val="0"/>
          <w:lang w:val="en-US"/>
        </w:rPr>
        <w:t xml:space="preserve"> </w:t>
      </w:r>
      <w:r w:rsidR="00A8072E" w:rsidRPr="00610904">
        <w:rPr>
          <w:noProof w:val="0"/>
          <w:lang w:val="en-US"/>
        </w:rPr>
        <w:t>expert witness</w:t>
      </w:r>
      <w:r w:rsidR="00022F5E" w:rsidRPr="00610904">
        <w:rPr>
          <w:noProof w:val="0"/>
          <w:lang w:val="en-US"/>
        </w:rPr>
        <w:t xml:space="preserve">, </w:t>
      </w:r>
      <w:r w:rsidRPr="00610904">
        <w:rPr>
          <w:noProof w:val="0"/>
          <w:lang w:val="en-US"/>
        </w:rPr>
        <w:t>during those years,</w:t>
      </w:r>
      <w:r w:rsidR="00022F5E" w:rsidRPr="00610904">
        <w:rPr>
          <w:noProof w:val="0"/>
          <w:lang w:val="en-US"/>
        </w:rPr>
        <w:t xml:space="preserve"> “</w:t>
      </w:r>
      <w:r w:rsidRPr="00610904">
        <w:rPr>
          <w:noProof w:val="0"/>
          <w:lang w:val="en-US"/>
        </w:rPr>
        <w:t>it was even possible to change the institution providing services, and to continue receiving the benefits of free treatment.” She added that, “if specialized</w:t>
      </w:r>
      <w:r w:rsidR="00CB55C4" w:rsidRPr="00610904">
        <w:rPr>
          <w:noProof w:val="0"/>
          <w:lang w:val="en-US"/>
        </w:rPr>
        <w:t xml:space="preserve"> laboratory tests were required</w:t>
      </w:r>
      <w:r w:rsidRPr="00610904">
        <w:rPr>
          <w:noProof w:val="0"/>
          <w:lang w:val="en-US"/>
        </w:rPr>
        <w:t xml:space="preserve"> that were only available in the private sector, these were paid </w:t>
      </w:r>
      <w:r w:rsidR="00CB55C4" w:rsidRPr="00610904">
        <w:rPr>
          <w:noProof w:val="0"/>
          <w:lang w:val="en-US"/>
        </w:rPr>
        <w:t xml:space="preserve">for </w:t>
      </w:r>
      <w:r w:rsidRPr="00610904">
        <w:rPr>
          <w:noProof w:val="0"/>
          <w:lang w:val="en-US"/>
        </w:rPr>
        <w:t>by the public insurance institute:</w:t>
      </w:r>
    </w:p>
    <w:p w:rsidR="00022F5E" w:rsidRPr="00610904" w:rsidRDefault="00022F5E" w:rsidP="00610904">
      <w:pPr>
        <w:autoSpaceDE w:val="0"/>
        <w:autoSpaceDN w:val="0"/>
        <w:adjustRightInd w:val="0"/>
        <w:rPr>
          <w:noProof w:val="0"/>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I</w:t>
      </w:r>
      <w:r w:rsidR="00D630C7" w:rsidRPr="00610904">
        <w:rPr>
          <w:noProof w:val="0"/>
          <w:sz w:val="16"/>
          <w:szCs w:val="16"/>
          <w:lang w:val="en-US"/>
        </w:rPr>
        <w:t xml:space="preserve">n </w:t>
      </w:r>
      <w:r w:rsidRPr="00610904">
        <w:rPr>
          <w:noProof w:val="0"/>
          <w:sz w:val="16"/>
          <w:szCs w:val="16"/>
          <w:lang w:val="en-US"/>
        </w:rPr>
        <w:t>the Vicente Corral Moscoso Hospital</w:t>
      </w:r>
      <w:r w:rsidR="00022F5E" w:rsidRPr="00610904">
        <w:rPr>
          <w:noProof w:val="0"/>
          <w:sz w:val="16"/>
          <w:szCs w:val="16"/>
          <w:lang w:val="en-US"/>
        </w:rPr>
        <w:t xml:space="preserve">, </w:t>
      </w:r>
      <w:r w:rsidRPr="00610904">
        <w:rPr>
          <w:noProof w:val="0"/>
          <w:sz w:val="16"/>
          <w:szCs w:val="16"/>
          <w:lang w:val="en-US"/>
        </w:rPr>
        <w:t xml:space="preserve">a Cuenca public hospital, the minor </w:t>
      </w:r>
      <w:r w:rsidR="00022F5E" w:rsidRPr="00610904">
        <w:rPr>
          <w:noProof w:val="0"/>
          <w:sz w:val="16"/>
          <w:szCs w:val="16"/>
          <w:lang w:val="en-US"/>
        </w:rPr>
        <w:t xml:space="preserve">[Talía] </w:t>
      </w:r>
      <w:r w:rsidRPr="00610904">
        <w:rPr>
          <w:noProof w:val="0"/>
          <w:sz w:val="16"/>
          <w:szCs w:val="16"/>
          <w:lang w:val="en-US"/>
        </w:rPr>
        <w:t xml:space="preserve">began to receive specialized medical treatment in 1999 with a multi-disciplinary team composed of an infectologist, a dermatologist, a hematologist, and a </w:t>
      </w:r>
      <w:r w:rsidR="00856968" w:rsidRPr="00610904">
        <w:rPr>
          <w:noProof w:val="0"/>
          <w:sz w:val="16"/>
          <w:szCs w:val="16"/>
          <w:lang w:val="en-US"/>
        </w:rPr>
        <w:t>clinical</w:t>
      </w:r>
      <w:r w:rsidRPr="00610904">
        <w:rPr>
          <w:noProof w:val="0"/>
          <w:sz w:val="16"/>
          <w:szCs w:val="16"/>
          <w:lang w:val="en-US"/>
        </w:rPr>
        <w:t xml:space="preserve"> psychologist, as well as the services of the social work department.</w:t>
      </w:r>
      <w:r w:rsidR="00022F5E" w:rsidRPr="00610904">
        <w:rPr>
          <w:rStyle w:val="FootnoteReference"/>
          <w:noProof w:val="0"/>
          <w:sz w:val="16"/>
          <w:szCs w:val="16"/>
          <w:lang w:val="en-US"/>
        </w:rPr>
        <w:footnoteReference w:id="184"/>
      </w:r>
      <w:r w:rsidR="00022F5E" w:rsidRPr="00610904">
        <w:rPr>
          <w:noProof w:val="0"/>
          <w:sz w:val="16"/>
          <w:szCs w:val="16"/>
          <w:lang w:val="en-US"/>
        </w:rPr>
        <w:t xml:space="preserve"> </w:t>
      </w:r>
      <w:r w:rsidRPr="00610904">
        <w:rPr>
          <w:noProof w:val="0"/>
          <w:sz w:val="16"/>
          <w:szCs w:val="16"/>
          <w:lang w:val="en-US"/>
        </w:rPr>
        <w:t>From</w:t>
      </w:r>
      <w:r w:rsidR="00022F5E" w:rsidRPr="00610904">
        <w:rPr>
          <w:noProof w:val="0"/>
          <w:sz w:val="16"/>
          <w:szCs w:val="16"/>
          <w:lang w:val="en-US"/>
        </w:rPr>
        <w:t xml:space="preserve"> 1999 </w:t>
      </w:r>
      <w:r w:rsidRPr="00610904">
        <w:rPr>
          <w:noProof w:val="0"/>
          <w:sz w:val="16"/>
          <w:szCs w:val="16"/>
          <w:lang w:val="en-US"/>
        </w:rPr>
        <w:t>until</w:t>
      </w:r>
      <w:r w:rsidR="00022F5E" w:rsidRPr="00610904">
        <w:rPr>
          <w:noProof w:val="0"/>
          <w:sz w:val="16"/>
          <w:szCs w:val="16"/>
          <w:lang w:val="en-US"/>
        </w:rPr>
        <w:t xml:space="preserve"> 2003</w:t>
      </w:r>
      <w:r w:rsidR="00CB55C4" w:rsidRPr="00610904">
        <w:rPr>
          <w:noProof w:val="0"/>
          <w:sz w:val="16"/>
          <w:szCs w:val="16"/>
          <w:lang w:val="en-US"/>
        </w:rPr>
        <w:t>,</w:t>
      </w:r>
      <w:r w:rsidRPr="00610904">
        <w:rPr>
          <w:noProof w:val="0"/>
          <w:sz w:val="16"/>
          <w:szCs w:val="16"/>
          <w:lang w:val="en-US"/>
        </w:rPr>
        <w:t xml:space="preserve"> the specialized treatment was controlling her </w:t>
      </w:r>
      <w:r w:rsidR="00404EE1" w:rsidRPr="00610904">
        <w:rPr>
          <w:noProof w:val="0"/>
          <w:sz w:val="16"/>
          <w:szCs w:val="16"/>
          <w:lang w:val="en-US"/>
        </w:rPr>
        <w:t>health status</w:t>
      </w:r>
      <w:r w:rsidRPr="00610904">
        <w:rPr>
          <w:noProof w:val="0"/>
          <w:sz w:val="16"/>
          <w:szCs w:val="16"/>
          <w:lang w:val="en-US"/>
        </w:rPr>
        <w:t>. […] The minor was covered by the State during these years, as indicated in the 2015 HVCM Epidemiolo</w:t>
      </w:r>
      <w:r w:rsidR="00CB55C4" w:rsidRPr="00610904">
        <w:rPr>
          <w:noProof w:val="0"/>
          <w:sz w:val="16"/>
          <w:szCs w:val="16"/>
          <w:lang w:val="en-US"/>
        </w:rPr>
        <w:t>g</w:t>
      </w:r>
      <w:r w:rsidRPr="00610904">
        <w:rPr>
          <w:noProof w:val="0"/>
          <w:sz w:val="16"/>
          <w:szCs w:val="16"/>
          <w:lang w:val="en-US"/>
        </w:rPr>
        <w:t>ical Memorandum</w:t>
      </w:r>
      <w:r w:rsidR="00022F5E" w:rsidRPr="00610904">
        <w:rPr>
          <w:noProof w:val="0"/>
          <w:sz w:val="16"/>
          <w:szCs w:val="16"/>
          <w:lang w:val="en-US"/>
        </w:rPr>
        <w:t xml:space="preserve">. </w:t>
      </w:r>
      <w:r w:rsidRPr="00610904">
        <w:rPr>
          <w:noProof w:val="0"/>
          <w:sz w:val="16"/>
          <w:szCs w:val="16"/>
          <w:lang w:val="en-US"/>
        </w:rPr>
        <w:t xml:space="preserve">In </w:t>
      </w:r>
      <w:r w:rsidR="00CB55C4" w:rsidRPr="00610904">
        <w:rPr>
          <w:noProof w:val="0"/>
          <w:sz w:val="16"/>
          <w:szCs w:val="16"/>
          <w:lang w:val="en-US"/>
        </w:rPr>
        <w:t>2003, when she was told that</w:t>
      </w:r>
      <w:r w:rsidRPr="00610904">
        <w:rPr>
          <w:noProof w:val="0"/>
          <w:sz w:val="16"/>
          <w:szCs w:val="16"/>
          <w:lang w:val="en-US"/>
        </w:rPr>
        <w:t xml:space="preserve"> [Talía] should commence antiretroviral treatment, her mother advised</w:t>
      </w:r>
      <w:r w:rsidR="00CB55C4" w:rsidRPr="00610904">
        <w:rPr>
          <w:noProof w:val="0"/>
          <w:sz w:val="16"/>
          <w:szCs w:val="16"/>
          <w:lang w:val="en-US"/>
        </w:rPr>
        <w:t xml:space="preserve"> that she had decided to take the child</w:t>
      </w:r>
      <w:r w:rsidRPr="00610904">
        <w:rPr>
          <w:noProof w:val="0"/>
          <w:sz w:val="16"/>
          <w:szCs w:val="16"/>
          <w:lang w:val="en-US"/>
        </w:rPr>
        <w:t xml:space="preserve"> to the Military Hospital in Quito for treatment.</w:t>
      </w:r>
    </w:p>
    <w:p w:rsidR="00022F5E" w:rsidRPr="00610904" w:rsidRDefault="00022F5E" w:rsidP="00610904">
      <w:pPr>
        <w:autoSpaceDE w:val="0"/>
        <w:autoSpaceDN w:val="0"/>
        <w:adjustRightInd w:val="0"/>
        <w:ind w:left="720" w:right="655"/>
        <w:rPr>
          <w:noProof w:val="0"/>
          <w:sz w:val="16"/>
          <w:szCs w:val="16"/>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Since 1998, in the</w:t>
      </w:r>
      <w:r w:rsidR="00D630C7" w:rsidRPr="00610904">
        <w:rPr>
          <w:noProof w:val="0"/>
          <w:sz w:val="16"/>
          <w:szCs w:val="16"/>
          <w:lang w:val="en-US"/>
        </w:rPr>
        <w:t xml:space="preserve"> </w:t>
      </w:r>
      <w:r w:rsidR="00022F5E" w:rsidRPr="00610904">
        <w:rPr>
          <w:noProof w:val="0"/>
          <w:sz w:val="16"/>
          <w:szCs w:val="16"/>
          <w:lang w:val="en-US"/>
        </w:rPr>
        <w:t>HG-1</w:t>
      </w:r>
      <w:r w:rsidRPr="00610904">
        <w:rPr>
          <w:noProof w:val="0"/>
          <w:sz w:val="16"/>
          <w:szCs w:val="16"/>
          <w:lang w:val="en-US"/>
        </w:rPr>
        <w:t xml:space="preserve"> </w:t>
      </w:r>
      <w:r w:rsidR="00856968" w:rsidRPr="00610904">
        <w:rPr>
          <w:noProof w:val="0"/>
          <w:sz w:val="16"/>
          <w:szCs w:val="16"/>
          <w:lang w:val="en-US"/>
        </w:rPr>
        <w:t>Military</w:t>
      </w:r>
      <w:r w:rsidRPr="00610904">
        <w:rPr>
          <w:noProof w:val="0"/>
          <w:sz w:val="16"/>
          <w:szCs w:val="16"/>
          <w:lang w:val="en-US"/>
        </w:rPr>
        <w:t xml:space="preserve"> Hospital in</w:t>
      </w:r>
      <w:r w:rsidR="00022F5E" w:rsidRPr="00610904">
        <w:rPr>
          <w:noProof w:val="0"/>
          <w:sz w:val="16"/>
          <w:szCs w:val="16"/>
          <w:lang w:val="en-US"/>
        </w:rPr>
        <w:t xml:space="preserve"> Quito, </w:t>
      </w:r>
      <w:r w:rsidRPr="00610904">
        <w:rPr>
          <w:noProof w:val="0"/>
          <w:sz w:val="16"/>
          <w:szCs w:val="16"/>
          <w:lang w:val="en-US"/>
        </w:rPr>
        <w:t xml:space="preserve">[…] the financing of the costs of the medical services, which include </w:t>
      </w:r>
      <w:r w:rsidR="00CB55C4" w:rsidRPr="00610904">
        <w:rPr>
          <w:noProof w:val="0"/>
          <w:sz w:val="16"/>
          <w:szCs w:val="16"/>
          <w:lang w:val="en-US"/>
        </w:rPr>
        <w:t>treatment by</w:t>
      </w:r>
      <w:r w:rsidRPr="00610904">
        <w:rPr>
          <w:noProof w:val="0"/>
          <w:sz w:val="16"/>
          <w:szCs w:val="16"/>
          <w:lang w:val="en-US"/>
        </w:rPr>
        <w:t xml:space="preserve"> the </w:t>
      </w:r>
      <w:r w:rsidR="00CB55C4" w:rsidRPr="00610904">
        <w:rPr>
          <w:noProof w:val="0"/>
          <w:sz w:val="16"/>
          <w:szCs w:val="16"/>
          <w:lang w:val="en-US"/>
        </w:rPr>
        <w:t xml:space="preserve">whole team of professionals, laboratory tests, </w:t>
      </w:r>
      <w:r w:rsidRPr="00610904">
        <w:rPr>
          <w:noProof w:val="0"/>
          <w:sz w:val="16"/>
          <w:szCs w:val="16"/>
          <w:lang w:val="en-US"/>
        </w:rPr>
        <w:t xml:space="preserve">special and regular medicines, has been from funds of the </w:t>
      </w:r>
      <w:r w:rsidR="00CB55C4" w:rsidRPr="00610904">
        <w:rPr>
          <w:noProof w:val="0"/>
          <w:sz w:val="16"/>
          <w:szCs w:val="16"/>
          <w:lang w:val="en-US"/>
        </w:rPr>
        <w:t>A</w:t>
      </w:r>
      <w:r w:rsidRPr="00610904">
        <w:rPr>
          <w:noProof w:val="0"/>
          <w:sz w:val="16"/>
          <w:szCs w:val="16"/>
          <w:lang w:val="en-US"/>
        </w:rPr>
        <w:t>rmed Forces Social Security Institute (ISSFA). In the case of the minor [Talía], it [was] reported that she started treatment in January 2004 and, throughout that year, was monitored with specialized tests. The services of private laboratories were used for the laboratory tests.”</w:t>
      </w:r>
      <w:r w:rsidR="00022F5E" w:rsidRPr="00610904">
        <w:rPr>
          <w:noProof w:val="0"/>
          <w:sz w:val="16"/>
          <w:szCs w:val="16"/>
          <w:lang w:val="en-US"/>
        </w:rPr>
        <w:t xml:space="preserve"> […]</w:t>
      </w:r>
    </w:p>
    <w:p w:rsidR="00022F5E" w:rsidRPr="00610904" w:rsidRDefault="00022F5E" w:rsidP="00610904">
      <w:pPr>
        <w:autoSpaceDE w:val="0"/>
        <w:autoSpaceDN w:val="0"/>
        <w:adjustRightInd w:val="0"/>
        <w:ind w:right="655"/>
        <w:rPr>
          <w:noProof w:val="0"/>
          <w:sz w:val="16"/>
          <w:szCs w:val="16"/>
          <w:lang w:val="en-US"/>
        </w:rPr>
      </w:pPr>
    </w:p>
    <w:p w:rsidR="00022F5E" w:rsidRPr="00610904" w:rsidRDefault="00531028" w:rsidP="00610904">
      <w:pPr>
        <w:numPr>
          <w:ilvl w:val="0"/>
          <w:numId w:val="1"/>
        </w:numPr>
        <w:autoSpaceDE w:val="0"/>
        <w:autoSpaceDN w:val="0"/>
        <w:adjustRightInd w:val="0"/>
        <w:contextualSpacing/>
        <w:rPr>
          <w:noProof w:val="0"/>
          <w:lang w:val="en-US"/>
        </w:rPr>
      </w:pPr>
      <w:r w:rsidRPr="00610904">
        <w:rPr>
          <w:noProof w:val="0"/>
          <w:lang w:val="en-US"/>
        </w:rPr>
        <w:t>The</w:t>
      </w:r>
      <w:r w:rsidR="00022F5E" w:rsidRPr="00610904">
        <w:rPr>
          <w:noProof w:val="0"/>
          <w:lang w:val="en-US"/>
        </w:rPr>
        <w:t xml:space="preserve"> </w:t>
      </w:r>
      <w:r w:rsidR="00A8072E" w:rsidRPr="00610904">
        <w:rPr>
          <w:noProof w:val="0"/>
          <w:lang w:val="en-US"/>
        </w:rPr>
        <w:t>expert witness</w:t>
      </w:r>
      <w:r w:rsidR="00022F5E" w:rsidRPr="00610904">
        <w:rPr>
          <w:noProof w:val="0"/>
          <w:lang w:val="en-US"/>
        </w:rPr>
        <w:t xml:space="preserve"> </w:t>
      </w:r>
      <w:r w:rsidRPr="00610904">
        <w:rPr>
          <w:noProof w:val="0"/>
          <w:lang w:val="en-US"/>
        </w:rPr>
        <w:t xml:space="preserve">added that, up until </w:t>
      </w:r>
      <w:r w:rsidR="00022F5E" w:rsidRPr="00610904">
        <w:rPr>
          <w:noProof w:val="0"/>
          <w:lang w:val="en-US"/>
        </w:rPr>
        <w:t>2004</w:t>
      </w:r>
      <w:r w:rsidRPr="00610904">
        <w:rPr>
          <w:noProof w:val="0"/>
          <w:lang w:val="en-US"/>
        </w:rPr>
        <w:t>,</w:t>
      </w:r>
      <w:r w:rsidR="00022F5E" w:rsidRPr="00610904">
        <w:rPr>
          <w:noProof w:val="0"/>
          <w:lang w:val="en-US"/>
        </w:rPr>
        <w:t xml:space="preserve"> Talía </w:t>
      </w:r>
      <w:r w:rsidRPr="00610904">
        <w:rPr>
          <w:noProof w:val="0"/>
          <w:lang w:val="en-US"/>
        </w:rPr>
        <w:t xml:space="preserve">had not needed to begin antiretroviral therapy, as mentioned by the State’s expert witness: </w:t>
      </w:r>
    </w:p>
    <w:p w:rsidR="00022F5E" w:rsidRPr="00610904" w:rsidRDefault="00022F5E" w:rsidP="00610904">
      <w:pPr>
        <w:autoSpaceDE w:val="0"/>
        <w:autoSpaceDN w:val="0"/>
        <w:adjustRightInd w:val="0"/>
        <w:ind w:right="655"/>
        <w:rPr>
          <w:noProof w:val="0"/>
          <w:sz w:val="16"/>
          <w:szCs w:val="16"/>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 xml:space="preserve">Owing to her good health, she never </w:t>
      </w:r>
      <w:r w:rsidR="0051351F">
        <w:rPr>
          <w:noProof w:val="0"/>
          <w:sz w:val="16"/>
          <w:szCs w:val="16"/>
          <w:lang w:val="en-US"/>
        </w:rPr>
        <w:t xml:space="preserve">had </w:t>
      </w:r>
      <w:r w:rsidRPr="00610904">
        <w:rPr>
          <w:noProof w:val="0"/>
          <w:sz w:val="16"/>
          <w:szCs w:val="16"/>
          <w:lang w:val="en-US"/>
        </w:rPr>
        <w:t>to begin the antiretroviral drugs</w:t>
      </w:r>
      <w:r w:rsidR="00CB55C4" w:rsidRPr="00610904">
        <w:rPr>
          <w:noProof w:val="0"/>
          <w:sz w:val="16"/>
          <w:szCs w:val="16"/>
          <w:lang w:val="en-US"/>
        </w:rPr>
        <w:t xml:space="preserve"> during that year [2004]</w:t>
      </w:r>
      <w:r w:rsidRPr="00610904">
        <w:rPr>
          <w:noProof w:val="0"/>
          <w:sz w:val="16"/>
          <w:szCs w:val="16"/>
          <w:lang w:val="en-US"/>
        </w:rPr>
        <w:t xml:space="preserve">, and </w:t>
      </w:r>
      <w:r w:rsidR="00CB55C4" w:rsidRPr="00610904">
        <w:rPr>
          <w:noProof w:val="0"/>
          <w:sz w:val="16"/>
          <w:szCs w:val="16"/>
          <w:lang w:val="en-US"/>
        </w:rPr>
        <w:t>started</w:t>
      </w:r>
      <w:r w:rsidRPr="00610904">
        <w:rPr>
          <w:noProof w:val="0"/>
          <w:sz w:val="16"/>
          <w:szCs w:val="16"/>
          <w:lang w:val="en-US"/>
        </w:rPr>
        <w:t xml:space="preserve"> that treatment in June 2005; owing to the protocol at the time, this required hospitalization.</w:t>
      </w:r>
      <w:r w:rsidR="00022F5E" w:rsidRPr="00610904">
        <w:rPr>
          <w:rStyle w:val="FootnoteReference"/>
          <w:noProof w:val="0"/>
          <w:sz w:val="16"/>
          <w:szCs w:val="16"/>
          <w:lang w:val="en-US"/>
        </w:rPr>
        <w:footnoteReference w:id="185"/>
      </w:r>
      <w:r w:rsidR="00022F5E" w:rsidRPr="00610904">
        <w:rPr>
          <w:noProof w:val="0"/>
          <w:sz w:val="16"/>
          <w:szCs w:val="16"/>
          <w:lang w:val="en-US"/>
        </w:rPr>
        <w:t xml:space="preserve"> </w:t>
      </w:r>
    </w:p>
    <w:p w:rsidR="00022F5E" w:rsidRPr="00610904" w:rsidRDefault="00CB55C4" w:rsidP="00610904">
      <w:pPr>
        <w:autoSpaceDE w:val="0"/>
        <w:autoSpaceDN w:val="0"/>
        <w:adjustRightInd w:val="0"/>
        <w:ind w:left="720" w:right="655"/>
        <w:rPr>
          <w:noProof w:val="0"/>
          <w:sz w:val="16"/>
          <w:szCs w:val="16"/>
          <w:lang w:val="en-US"/>
        </w:rPr>
      </w:pPr>
      <w:r w:rsidRPr="00610904">
        <w:rPr>
          <w:noProof w:val="0"/>
          <w:sz w:val="16"/>
          <w:szCs w:val="16"/>
          <w:lang w:val="en-US"/>
        </w:rPr>
        <w:t xml:space="preserve"> </w:t>
      </w:r>
      <w:r w:rsidR="00022F5E" w:rsidRPr="00610904">
        <w:rPr>
          <w:noProof w:val="0"/>
          <w:sz w:val="16"/>
          <w:szCs w:val="16"/>
          <w:lang w:val="en-US"/>
        </w:rPr>
        <w:t>[…]</w:t>
      </w:r>
    </w:p>
    <w:p w:rsidR="00022F5E" w:rsidRPr="00610904" w:rsidRDefault="00022F5E" w:rsidP="00610904">
      <w:pPr>
        <w:autoSpaceDE w:val="0"/>
        <w:autoSpaceDN w:val="0"/>
        <w:adjustRightInd w:val="0"/>
        <w:ind w:left="720" w:right="655"/>
        <w:rPr>
          <w:noProof w:val="0"/>
          <w:sz w:val="16"/>
          <w:szCs w:val="16"/>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 xml:space="preserve">The reports of the amounts paid by </w:t>
      </w:r>
      <w:r w:rsidR="00022F5E" w:rsidRPr="00610904">
        <w:rPr>
          <w:noProof w:val="0"/>
          <w:sz w:val="16"/>
          <w:szCs w:val="16"/>
          <w:lang w:val="en-US"/>
        </w:rPr>
        <w:t>ISSFA</w:t>
      </w:r>
      <w:r w:rsidRPr="00610904">
        <w:rPr>
          <w:noProof w:val="0"/>
          <w:sz w:val="16"/>
          <w:szCs w:val="16"/>
          <w:lang w:val="en-US"/>
        </w:rPr>
        <w:t xml:space="preserve"> reveal that, from 2004 until </w:t>
      </w:r>
      <w:r w:rsidR="002A3981" w:rsidRPr="00610904">
        <w:rPr>
          <w:noProof w:val="0"/>
          <w:sz w:val="16"/>
          <w:szCs w:val="16"/>
          <w:lang w:val="en-US"/>
        </w:rPr>
        <w:t>January</w:t>
      </w:r>
      <w:r w:rsidR="008E668D" w:rsidRPr="00610904">
        <w:rPr>
          <w:noProof w:val="0"/>
          <w:sz w:val="16"/>
          <w:szCs w:val="16"/>
          <w:lang w:val="en-US"/>
        </w:rPr>
        <w:t xml:space="preserve"> 10,</w:t>
      </w:r>
      <w:r w:rsidR="00022F5E" w:rsidRPr="00610904">
        <w:rPr>
          <w:noProof w:val="0"/>
          <w:sz w:val="16"/>
          <w:szCs w:val="16"/>
          <w:lang w:val="en-US"/>
        </w:rPr>
        <w:t xml:space="preserve"> 2013, Talía [</w:t>
      </w:r>
      <w:r w:rsidRPr="00610904">
        <w:rPr>
          <w:noProof w:val="0"/>
          <w:sz w:val="16"/>
          <w:szCs w:val="16"/>
          <w:lang w:val="en-US"/>
        </w:rPr>
        <w:t>was</w:t>
      </w:r>
      <w:r w:rsidR="00022F5E" w:rsidRPr="00610904">
        <w:rPr>
          <w:noProof w:val="0"/>
          <w:sz w:val="16"/>
          <w:szCs w:val="16"/>
          <w:lang w:val="en-US"/>
        </w:rPr>
        <w:t>]</w:t>
      </w:r>
      <w:r w:rsidRPr="00610904">
        <w:rPr>
          <w:noProof w:val="0"/>
          <w:sz w:val="16"/>
          <w:szCs w:val="16"/>
          <w:lang w:val="en-US"/>
        </w:rPr>
        <w:t xml:space="preserve"> a beneficiary of public insurance and, therefore, [she was] covered by </w:t>
      </w:r>
      <w:r w:rsidR="009F3D78" w:rsidRPr="00610904">
        <w:rPr>
          <w:noProof w:val="0"/>
          <w:sz w:val="16"/>
          <w:szCs w:val="16"/>
          <w:lang w:val="en-US"/>
        </w:rPr>
        <w:t>the State</w:t>
      </w:r>
      <w:r w:rsidR="00022F5E" w:rsidRPr="00610904">
        <w:rPr>
          <w:noProof w:val="0"/>
          <w:sz w:val="16"/>
          <w:szCs w:val="16"/>
          <w:lang w:val="en-US"/>
        </w:rPr>
        <w:t xml:space="preserve">. </w:t>
      </w:r>
      <w:r w:rsidRPr="00610904">
        <w:rPr>
          <w:noProof w:val="0"/>
          <w:sz w:val="16"/>
          <w:szCs w:val="16"/>
          <w:lang w:val="en-US"/>
        </w:rPr>
        <w:t xml:space="preserve">The sum disbursed for the health of the patient </w:t>
      </w:r>
      <w:r w:rsidR="00022F5E" w:rsidRPr="00610904">
        <w:rPr>
          <w:noProof w:val="0"/>
          <w:sz w:val="16"/>
          <w:szCs w:val="16"/>
          <w:lang w:val="en-US"/>
        </w:rPr>
        <w:t xml:space="preserve">[Talía] </w:t>
      </w:r>
      <w:r w:rsidRPr="00610904">
        <w:rPr>
          <w:noProof w:val="0"/>
          <w:sz w:val="16"/>
          <w:szCs w:val="16"/>
          <w:lang w:val="en-US"/>
        </w:rPr>
        <w:t>amount</w:t>
      </w:r>
      <w:r w:rsidR="00CB55C4" w:rsidRPr="00610904">
        <w:rPr>
          <w:noProof w:val="0"/>
          <w:sz w:val="16"/>
          <w:szCs w:val="16"/>
          <w:lang w:val="en-US"/>
        </w:rPr>
        <w:t>ed</w:t>
      </w:r>
      <w:r w:rsidRPr="00610904">
        <w:rPr>
          <w:noProof w:val="0"/>
          <w:sz w:val="16"/>
          <w:szCs w:val="16"/>
          <w:lang w:val="en-US"/>
        </w:rPr>
        <w:t xml:space="preserve"> to US$19,435.</w:t>
      </w:r>
      <w:r w:rsidR="00022F5E" w:rsidRPr="00610904">
        <w:rPr>
          <w:noProof w:val="0"/>
          <w:sz w:val="16"/>
          <w:szCs w:val="16"/>
          <w:lang w:val="en-US"/>
        </w:rPr>
        <w:t>60</w:t>
      </w:r>
      <w:r w:rsidRPr="00610904">
        <w:rPr>
          <w:noProof w:val="0"/>
          <w:sz w:val="16"/>
          <w:szCs w:val="16"/>
          <w:lang w:val="en-US"/>
        </w:rPr>
        <w:t>, of which</w:t>
      </w:r>
      <w:r w:rsidR="00022F5E" w:rsidRPr="00610904">
        <w:rPr>
          <w:noProof w:val="0"/>
          <w:sz w:val="16"/>
          <w:szCs w:val="16"/>
          <w:lang w:val="en-US"/>
        </w:rPr>
        <w:t xml:space="preserve"> </w:t>
      </w:r>
      <w:r w:rsidRPr="00610904">
        <w:rPr>
          <w:noProof w:val="0"/>
          <w:sz w:val="16"/>
          <w:szCs w:val="16"/>
          <w:lang w:val="en-US"/>
        </w:rPr>
        <w:t>US$3,646.</w:t>
      </w:r>
      <w:r w:rsidR="00022F5E" w:rsidRPr="00610904">
        <w:rPr>
          <w:noProof w:val="0"/>
          <w:sz w:val="16"/>
          <w:szCs w:val="16"/>
          <w:lang w:val="en-US"/>
        </w:rPr>
        <w:t xml:space="preserve">78 </w:t>
      </w:r>
      <w:r w:rsidR="00CB55C4" w:rsidRPr="00610904">
        <w:rPr>
          <w:noProof w:val="0"/>
          <w:sz w:val="16"/>
          <w:szCs w:val="16"/>
          <w:lang w:val="en-US"/>
        </w:rPr>
        <w:t>was for</w:t>
      </w:r>
      <w:r w:rsidRPr="00610904">
        <w:rPr>
          <w:noProof w:val="0"/>
          <w:sz w:val="16"/>
          <w:szCs w:val="16"/>
          <w:lang w:val="en-US"/>
        </w:rPr>
        <w:t xml:space="preserve"> specialized laboratory tests, and US$15,788.</w:t>
      </w:r>
      <w:r w:rsidR="00022F5E" w:rsidRPr="00610904">
        <w:rPr>
          <w:noProof w:val="0"/>
          <w:sz w:val="16"/>
          <w:szCs w:val="16"/>
          <w:lang w:val="en-US"/>
        </w:rPr>
        <w:t xml:space="preserve">91 </w:t>
      </w:r>
      <w:r w:rsidR="00CB55C4" w:rsidRPr="00610904">
        <w:rPr>
          <w:noProof w:val="0"/>
          <w:sz w:val="16"/>
          <w:szCs w:val="16"/>
          <w:lang w:val="en-US"/>
        </w:rPr>
        <w:t>for</w:t>
      </w:r>
      <w:r w:rsidRPr="00610904">
        <w:rPr>
          <w:noProof w:val="0"/>
          <w:sz w:val="16"/>
          <w:szCs w:val="16"/>
          <w:lang w:val="en-US"/>
        </w:rPr>
        <w:t xml:space="preserve"> medicines.</w:t>
      </w:r>
    </w:p>
    <w:p w:rsidR="00022F5E" w:rsidRPr="00610904" w:rsidRDefault="00022F5E" w:rsidP="00610904">
      <w:pPr>
        <w:autoSpaceDE w:val="0"/>
        <w:autoSpaceDN w:val="0"/>
        <w:adjustRightInd w:val="0"/>
        <w:ind w:left="720" w:right="655"/>
        <w:rPr>
          <w:noProof w:val="0"/>
          <w:sz w:val="16"/>
          <w:szCs w:val="16"/>
          <w:lang w:val="en-US"/>
        </w:rPr>
      </w:pPr>
      <w:r w:rsidRPr="00610904">
        <w:rPr>
          <w:noProof w:val="0"/>
          <w:sz w:val="16"/>
          <w:szCs w:val="16"/>
          <w:lang w:val="en-US"/>
        </w:rPr>
        <w:t>[…]</w:t>
      </w:r>
    </w:p>
    <w:p w:rsidR="00022F5E" w:rsidRPr="00610904" w:rsidRDefault="00022F5E" w:rsidP="00610904">
      <w:pPr>
        <w:autoSpaceDE w:val="0"/>
        <w:autoSpaceDN w:val="0"/>
        <w:adjustRightInd w:val="0"/>
        <w:ind w:left="720" w:right="655"/>
        <w:rPr>
          <w:noProof w:val="0"/>
          <w:sz w:val="16"/>
          <w:szCs w:val="16"/>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T</w:t>
      </w:r>
      <w:r w:rsidR="009F3D78" w:rsidRPr="00610904">
        <w:rPr>
          <w:noProof w:val="0"/>
          <w:sz w:val="16"/>
          <w:szCs w:val="16"/>
          <w:lang w:val="en-US"/>
        </w:rPr>
        <w:t xml:space="preserve">he </w:t>
      </w:r>
      <w:r w:rsidRPr="00610904">
        <w:rPr>
          <w:noProof w:val="0"/>
          <w:sz w:val="16"/>
          <w:szCs w:val="16"/>
          <w:lang w:val="en-US"/>
        </w:rPr>
        <w:t xml:space="preserve">Ecuadorian </w:t>
      </w:r>
      <w:r w:rsidR="009F3D78" w:rsidRPr="00610904">
        <w:rPr>
          <w:noProof w:val="0"/>
          <w:sz w:val="16"/>
          <w:szCs w:val="16"/>
          <w:lang w:val="en-US"/>
        </w:rPr>
        <w:t>State</w:t>
      </w:r>
      <w:r w:rsidRPr="00610904">
        <w:rPr>
          <w:noProof w:val="0"/>
          <w:sz w:val="16"/>
          <w:szCs w:val="16"/>
          <w:lang w:val="en-US"/>
        </w:rPr>
        <w:t xml:space="preserve">, through </w:t>
      </w:r>
      <w:r w:rsidR="00022F5E" w:rsidRPr="00610904">
        <w:rPr>
          <w:noProof w:val="0"/>
          <w:sz w:val="16"/>
          <w:szCs w:val="16"/>
          <w:lang w:val="en-US"/>
        </w:rPr>
        <w:t>ISSFA</w:t>
      </w:r>
      <w:r w:rsidRPr="00610904">
        <w:rPr>
          <w:noProof w:val="0"/>
          <w:sz w:val="16"/>
          <w:szCs w:val="16"/>
          <w:lang w:val="en-US"/>
        </w:rPr>
        <w:t xml:space="preserve">, covered the costs of the medical care of the minor [Talía] over the period 2004-2013, with a specialized team, specialized laboratory tests, and antiretroviral treatment, as detailed in the Report sent with Note </w:t>
      </w:r>
      <w:r w:rsidR="00022F5E" w:rsidRPr="00610904">
        <w:rPr>
          <w:noProof w:val="0"/>
          <w:sz w:val="16"/>
          <w:szCs w:val="16"/>
          <w:lang w:val="en-US"/>
        </w:rPr>
        <w:t>No.  ISSFA-DSS-2015-329-OF,</w:t>
      </w:r>
      <w:r w:rsidRPr="00610904">
        <w:rPr>
          <w:noProof w:val="0"/>
          <w:sz w:val="16"/>
          <w:szCs w:val="16"/>
          <w:lang w:val="en-US"/>
        </w:rPr>
        <w:t xml:space="preserve"> </w:t>
      </w:r>
      <w:r w:rsidR="009F3D78" w:rsidRPr="00610904">
        <w:rPr>
          <w:noProof w:val="0"/>
          <w:sz w:val="16"/>
          <w:szCs w:val="16"/>
          <w:lang w:val="en-US"/>
        </w:rPr>
        <w:t xml:space="preserve">and </w:t>
      </w:r>
      <w:r w:rsidRPr="00610904">
        <w:rPr>
          <w:noProof w:val="0"/>
          <w:sz w:val="16"/>
          <w:szCs w:val="16"/>
          <w:lang w:val="en-US"/>
        </w:rPr>
        <w:t xml:space="preserve">this amounted to the sum of US$19,435.69. Furthermore, over the period </w:t>
      </w:r>
      <w:r w:rsidR="00022F5E" w:rsidRPr="00610904">
        <w:rPr>
          <w:noProof w:val="0"/>
          <w:sz w:val="16"/>
          <w:szCs w:val="16"/>
          <w:lang w:val="en-US"/>
        </w:rPr>
        <w:t>1999-2003,</w:t>
      </w:r>
      <w:r w:rsidR="009F3D78" w:rsidRPr="00610904">
        <w:rPr>
          <w:noProof w:val="0"/>
          <w:sz w:val="16"/>
          <w:szCs w:val="16"/>
          <w:lang w:val="en-US"/>
        </w:rPr>
        <w:t xml:space="preserve"> and </w:t>
      </w:r>
      <w:r w:rsidRPr="00610904">
        <w:rPr>
          <w:noProof w:val="0"/>
          <w:sz w:val="16"/>
          <w:szCs w:val="16"/>
          <w:lang w:val="en-US"/>
        </w:rPr>
        <w:t>since</w:t>
      </w:r>
      <w:r w:rsidR="00022F5E" w:rsidRPr="00610904">
        <w:rPr>
          <w:noProof w:val="0"/>
          <w:sz w:val="16"/>
          <w:szCs w:val="16"/>
          <w:lang w:val="en-US"/>
        </w:rPr>
        <w:t xml:space="preserve"> 2014, </w:t>
      </w:r>
      <w:r w:rsidR="009F3D78" w:rsidRPr="00610904">
        <w:rPr>
          <w:noProof w:val="0"/>
          <w:sz w:val="16"/>
          <w:szCs w:val="16"/>
          <w:lang w:val="en-US"/>
        </w:rPr>
        <w:t>the</w:t>
      </w:r>
      <w:r w:rsidRPr="00610904">
        <w:rPr>
          <w:noProof w:val="0"/>
          <w:sz w:val="16"/>
          <w:szCs w:val="16"/>
          <w:lang w:val="en-US"/>
        </w:rPr>
        <w:t xml:space="preserve"> Ecuadorian</w:t>
      </w:r>
      <w:r w:rsidR="009F3D78" w:rsidRPr="00610904">
        <w:rPr>
          <w:noProof w:val="0"/>
          <w:sz w:val="16"/>
          <w:szCs w:val="16"/>
          <w:lang w:val="en-US"/>
        </w:rPr>
        <w:t xml:space="preserve"> State</w:t>
      </w:r>
      <w:r w:rsidR="00022F5E" w:rsidRPr="00610904">
        <w:rPr>
          <w:noProof w:val="0"/>
          <w:sz w:val="16"/>
          <w:szCs w:val="16"/>
          <w:lang w:val="en-US"/>
        </w:rPr>
        <w:t xml:space="preserve"> </w:t>
      </w:r>
      <w:r w:rsidRPr="00610904">
        <w:rPr>
          <w:noProof w:val="0"/>
          <w:sz w:val="16"/>
          <w:szCs w:val="16"/>
          <w:lang w:val="en-US"/>
        </w:rPr>
        <w:t xml:space="preserve">has also covered the cost of the treatment requested by </w:t>
      </w:r>
      <w:r w:rsidR="00022F5E" w:rsidRPr="00610904">
        <w:rPr>
          <w:noProof w:val="0"/>
          <w:sz w:val="16"/>
          <w:szCs w:val="16"/>
          <w:lang w:val="en-US"/>
        </w:rPr>
        <w:t>[Talía</w:t>
      </w:r>
      <w:r w:rsidR="00D630C7" w:rsidRPr="00610904">
        <w:rPr>
          <w:noProof w:val="0"/>
          <w:sz w:val="16"/>
          <w:szCs w:val="16"/>
          <w:lang w:val="en-US"/>
        </w:rPr>
        <w:t xml:space="preserve">], </w:t>
      </w:r>
      <w:r w:rsidRPr="00610904">
        <w:rPr>
          <w:noProof w:val="0"/>
          <w:sz w:val="16"/>
          <w:szCs w:val="16"/>
          <w:lang w:val="en-US"/>
        </w:rPr>
        <w:t xml:space="preserve">through the </w:t>
      </w:r>
      <w:r w:rsidR="00022F5E" w:rsidRPr="00610904">
        <w:rPr>
          <w:noProof w:val="0"/>
          <w:sz w:val="16"/>
          <w:szCs w:val="16"/>
          <w:lang w:val="en-US"/>
        </w:rPr>
        <w:t>Vicente Corral Moscoso</w:t>
      </w:r>
      <w:r w:rsidR="00CB55C4" w:rsidRPr="00610904">
        <w:rPr>
          <w:noProof w:val="0"/>
          <w:sz w:val="16"/>
          <w:szCs w:val="16"/>
          <w:lang w:val="en-US"/>
        </w:rPr>
        <w:t xml:space="preserve"> Public H</w:t>
      </w:r>
      <w:r w:rsidRPr="00610904">
        <w:rPr>
          <w:noProof w:val="0"/>
          <w:sz w:val="16"/>
          <w:szCs w:val="16"/>
          <w:lang w:val="en-US"/>
        </w:rPr>
        <w:t xml:space="preserve">ospital, attached to the </w:t>
      </w:r>
      <w:r w:rsidR="00830022" w:rsidRPr="00610904">
        <w:rPr>
          <w:noProof w:val="0"/>
          <w:sz w:val="16"/>
          <w:szCs w:val="16"/>
          <w:lang w:val="en-US"/>
        </w:rPr>
        <w:t>Ministry of Public Health</w:t>
      </w:r>
      <w:r w:rsidR="00022F5E" w:rsidRPr="00610904">
        <w:rPr>
          <w:noProof w:val="0"/>
          <w:sz w:val="16"/>
          <w:szCs w:val="16"/>
          <w:lang w:val="en-US"/>
        </w:rPr>
        <w:t xml:space="preserve">, </w:t>
      </w:r>
      <w:r w:rsidRPr="00610904">
        <w:rPr>
          <w:noProof w:val="0"/>
          <w:sz w:val="16"/>
          <w:szCs w:val="16"/>
          <w:lang w:val="en-US"/>
        </w:rPr>
        <w:t xml:space="preserve">as can be observed in </w:t>
      </w:r>
      <w:r w:rsidR="00CB55C4" w:rsidRPr="00610904">
        <w:rPr>
          <w:noProof w:val="0"/>
          <w:sz w:val="16"/>
          <w:szCs w:val="16"/>
          <w:lang w:val="en-US"/>
        </w:rPr>
        <w:t>2015 HCVM Epidemiological Memorandum</w:t>
      </w:r>
      <w:r w:rsidR="00022F5E" w:rsidRPr="00610904">
        <w:rPr>
          <w:noProof w:val="0"/>
          <w:sz w:val="16"/>
          <w:szCs w:val="16"/>
          <w:lang w:val="en-US"/>
        </w:rPr>
        <w:t xml:space="preserve">. </w:t>
      </w:r>
    </w:p>
    <w:p w:rsidR="00022F5E" w:rsidRPr="00610904" w:rsidRDefault="00022F5E" w:rsidP="00610904">
      <w:pPr>
        <w:autoSpaceDE w:val="0"/>
        <w:autoSpaceDN w:val="0"/>
        <w:adjustRightInd w:val="0"/>
        <w:ind w:left="720" w:right="655"/>
        <w:rPr>
          <w:noProof w:val="0"/>
          <w:sz w:val="16"/>
          <w:szCs w:val="16"/>
          <w:lang w:val="en-US"/>
        </w:rPr>
      </w:pPr>
    </w:p>
    <w:p w:rsidR="00022F5E" w:rsidRPr="00610904" w:rsidRDefault="00022F5E" w:rsidP="00610904">
      <w:pPr>
        <w:autoSpaceDE w:val="0"/>
        <w:autoSpaceDN w:val="0"/>
        <w:adjustRightInd w:val="0"/>
        <w:ind w:left="720" w:right="655"/>
        <w:rPr>
          <w:noProof w:val="0"/>
          <w:sz w:val="16"/>
          <w:szCs w:val="16"/>
          <w:lang w:val="en-US"/>
        </w:rPr>
      </w:pPr>
      <w:r w:rsidRPr="00610904">
        <w:rPr>
          <w:noProof w:val="0"/>
          <w:sz w:val="16"/>
          <w:szCs w:val="16"/>
          <w:lang w:val="en-US"/>
        </w:rPr>
        <w:t xml:space="preserve">[…] </w:t>
      </w:r>
      <w:r w:rsidR="00531028" w:rsidRPr="00610904">
        <w:rPr>
          <w:noProof w:val="0"/>
          <w:sz w:val="16"/>
          <w:szCs w:val="16"/>
          <w:lang w:val="en-US"/>
        </w:rPr>
        <w:t>it is worth noting that patients diagnosed with HIV received counselling support in order to cope with the disease. In the case of minors, the counselling service can also be provided to the minor’s parents and/or legal representatives in order to provide the necessary support.</w:t>
      </w:r>
    </w:p>
    <w:p w:rsidR="00022F5E" w:rsidRPr="00610904" w:rsidRDefault="00022F5E" w:rsidP="00610904">
      <w:pPr>
        <w:autoSpaceDE w:val="0"/>
        <w:autoSpaceDN w:val="0"/>
        <w:adjustRightInd w:val="0"/>
        <w:rPr>
          <w:noProof w:val="0"/>
          <w:lang w:val="en-US"/>
        </w:rPr>
      </w:pPr>
    </w:p>
    <w:p w:rsidR="00022F5E" w:rsidRPr="00610904" w:rsidRDefault="00531028" w:rsidP="00610904">
      <w:pPr>
        <w:numPr>
          <w:ilvl w:val="0"/>
          <w:numId w:val="1"/>
        </w:numPr>
        <w:autoSpaceDE w:val="0"/>
        <w:autoSpaceDN w:val="0"/>
        <w:adjustRightInd w:val="0"/>
        <w:contextualSpacing/>
        <w:rPr>
          <w:noProof w:val="0"/>
          <w:lang w:val="en-US"/>
        </w:rPr>
      </w:pPr>
      <w:r w:rsidRPr="00610904">
        <w:rPr>
          <w:noProof w:val="0"/>
          <w:lang w:val="en-US"/>
        </w:rPr>
        <w:t xml:space="preserve">In answer to a question by </w:t>
      </w:r>
      <w:r w:rsidR="003309BE" w:rsidRPr="00610904">
        <w:rPr>
          <w:noProof w:val="0"/>
          <w:lang w:val="en-US"/>
        </w:rPr>
        <w:t xml:space="preserve">the </w:t>
      </w:r>
      <w:r w:rsidR="009F3D78" w:rsidRPr="00610904">
        <w:rPr>
          <w:noProof w:val="0"/>
          <w:lang w:val="en-US"/>
        </w:rPr>
        <w:t>representatives</w:t>
      </w:r>
      <w:r w:rsidR="00022F5E" w:rsidRPr="00610904">
        <w:rPr>
          <w:noProof w:val="0"/>
          <w:lang w:val="en-US"/>
        </w:rPr>
        <w:t xml:space="preserve"> re</w:t>
      </w:r>
      <w:r w:rsidRPr="00610904">
        <w:rPr>
          <w:noProof w:val="0"/>
          <w:lang w:val="en-US"/>
        </w:rPr>
        <w:t xml:space="preserve">garding whether, </w:t>
      </w:r>
      <w:r w:rsidR="00CB55C4" w:rsidRPr="00610904">
        <w:rPr>
          <w:noProof w:val="0"/>
          <w:lang w:val="en-US"/>
        </w:rPr>
        <w:t>as of</w:t>
      </w:r>
      <w:r w:rsidRPr="00610904">
        <w:rPr>
          <w:noProof w:val="0"/>
          <w:lang w:val="en-US"/>
        </w:rPr>
        <w:t xml:space="preserve"> 1998, from time to time the medicines required to treat HIV were unavailable in public hospitals, </w:t>
      </w:r>
      <w:r w:rsidR="00A8072E" w:rsidRPr="00610904">
        <w:rPr>
          <w:noProof w:val="0"/>
          <w:lang w:val="en-US"/>
        </w:rPr>
        <w:t>expert witness</w:t>
      </w:r>
      <w:r w:rsidR="00022F5E" w:rsidRPr="00610904">
        <w:rPr>
          <w:noProof w:val="0"/>
          <w:lang w:val="en-US"/>
        </w:rPr>
        <w:t xml:space="preserve"> Molina </w:t>
      </w:r>
      <w:r w:rsidRPr="00610904">
        <w:rPr>
          <w:noProof w:val="0"/>
          <w:lang w:val="en-US"/>
        </w:rPr>
        <w:t>stated that</w:t>
      </w:r>
      <w:r w:rsidR="00022F5E" w:rsidRPr="00610904">
        <w:rPr>
          <w:noProof w:val="0"/>
          <w:lang w:val="en-US"/>
        </w:rPr>
        <w:t xml:space="preserve"> “</w:t>
      </w:r>
      <w:r w:rsidRPr="00610904">
        <w:rPr>
          <w:noProof w:val="0"/>
          <w:lang w:val="en-US"/>
        </w:rPr>
        <w:t>the antiretroviral drugs have never been unavailable throug</w:t>
      </w:r>
      <w:r w:rsidR="00CB55C4" w:rsidRPr="00610904">
        <w:rPr>
          <w:noProof w:val="0"/>
          <w:lang w:val="en-US"/>
        </w:rPr>
        <w:t>h the different subsystems that</w:t>
      </w:r>
      <w:r w:rsidRPr="00610904">
        <w:rPr>
          <w:noProof w:val="0"/>
          <w:lang w:val="en-US"/>
        </w:rPr>
        <w:t xml:space="preserve"> compose the complementary public health network.”</w:t>
      </w:r>
    </w:p>
    <w:p w:rsidR="00022F5E" w:rsidRPr="00610904" w:rsidRDefault="00022F5E" w:rsidP="00610904">
      <w:pPr>
        <w:autoSpaceDE w:val="0"/>
        <w:autoSpaceDN w:val="0"/>
        <w:adjustRightInd w:val="0"/>
        <w:rPr>
          <w:noProof w:val="0"/>
          <w:lang w:val="en-US"/>
        </w:rPr>
      </w:pPr>
    </w:p>
    <w:p w:rsidR="00022F5E" w:rsidRPr="00610904" w:rsidRDefault="00531028" w:rsidP="00610904">
      <w:pPr>
        <w:numPr>
          <w:ilvl w:val="0"/>
          <w:numId w:val="1"/>
        </w:numPr>
        <w:autoSpaceDE w:val="0"/>
        <w:autoSpaceDN w:val="0"/>
        <w:adjustRightInd w:val="0"/>
        <w:contextualSpacing/>
        <w:rPr>
          <w:noProof w:val="0"/>
          <w:lang w:val="en-US"/>
        </w:rPr>
      </w:pPr>
      <w:r w:rsidRPr="00610904">
        <w:rPr>
          <w:noProof w:val="0"/>
          <w:lang w:val="en-US"/>
        </w:rPr>
        <w:t>Meanwhile,</w:t>
      </w:r>
      <w:r w:rsidR="00022F5E" w:rsidRPr="00610904">
        <w:rPr>
          <w:noProof w:val="0"/>
          <w:lang w:val="en-US"/>
        </w:rPr>
        <w:t xml:space="preserve"> </w:t>
      </w:r>
      <w:r w:rsidR="00A8072E" w:rsidRPr="00610904">
        <w:rPr>
          <w:noProof w:val="0"/>
          <w:lang w:val="en-US"/>
        </w:rPr>
        <w:t>expert witness</w:t>
      </w:r>
      <w:r w:rsidR="00022F5E" w:rsidRPr="00610904">
        <w:rPr>
          <w:noProof w:val="0"/>
          <w:lang w:val="en-US"/>
        </w:rPr>
        <w:t xml:space="preserve"> Carmen </w:t>
      </w:r>
      <w:proofErr w:type="gramStart"/>
      <w:r w:rsidR="00022F5E" w:rsidRPr="00610904">
        <w:rPr>
          <w:noProof w:val="0"/>
          <w:lang w:val="en-US"/>
        </w:rPr>
        <w:t>del</w:t>
      </w:r>
      <w:proofErr w:type="gramEnd"/>
      <w:r w:rsidR="00022F5E" w:rsidRPr="00610904">
        <w:rPr>
          <w:noProof w:val="0"/>
          <w:lang w:val="en-US"/>
        </w:rPr>
        <w:t xml:space="preserve"> Rocío Carrasco </w:t>
      </w:r>
      <w:r w:rsidRPr="00610904">
        <w:rPr>
          <w:noProof w:val="0"/>
          <w:lang w:val="en-US"/>
        </w:rPr>
        <w:t xml:space="preserve">stated that, </w:t>
      </w:r>
      <w:r w:rsidR="00B45E43" w:rsidRPr="00610904">
        <w:rPr>
          <w:noProof w:val="0"/>
          <w:lang w:val="en-US"/>
        </w:rPr>
        <w:t>in Ecuador</w:t>
      </w:r>
      <w:r w:rsidRPr="00610904">
        <w:rPr>
          <w:noProof w:val="0"/>
          <w:lang w:val="en-US"/>
        </w:rPr>
        <w:t xml:space="preserve">, the </w:t>
      </w:r>
      <w:r w:rsidR="00830022" w:rsidRPr="00610904">
        <w:rPr>
          <w:noProof w:val="0"/>
          <w:lang w:val="en-US"/>
        </w:rPr>
        <w:t>Ministry of Public Health</w:t>
      </w:r>
      <w:r w:rsidR="00022F5E" w:rsidRPr="00610904">
        <w:rPr>
          <w:noProof w:val="0"/>
          <w:lang w:val="en-US"/>
        </w:rPr>
        <w:t xml:space="preserve"> </w:t>
      </w:r>
      <w:r w:rsidRPr="00610904">
        <w:rPr>
          <w:noProof w:val="0"/>
          <w:lang w:val="en-US"/>
        </w:rPr>
        <w:t xml:space="preserve">began antiretroviral treatment for individuals with advanced HIV in </w:t>
      </w:r>
      <w:r w:rsidR="00022F5E" w:rsidRPr="00610904">
        <w:rPr>
          <w:noProof w:val="0"/>
          <w:lang w:val="en-US"/>
        </w:rPr>
        <w:t xml:space="preserve">2004. </w:t>
      </w:r>
      <w:r w:rsidRPr="00610904">
        <w:rPr>
          <w:noProof w:val="0"/>
          <w:lang w:val="en-US"/>
        </w:rPr>
        <w:t>Prior to this, other institutions, such as the Armed Forces, the Police</w:t>
      </w:r>
      <w:r w:rsidR="00FB1B4D" w:rsidRPr="00610904">
        <w:rPr>
          <w:noProof w:val="0"/>
          <w:lang w:val="en-US"/>
        </w:rPr>
        <w:t>,</w:t>
      </w:r>
      <w:r w:rsidRPr="00610904">
        <w:rPr>
          <w:noProof w:val="0"/>
          <w:lang w:val="en-US"/>
        </w:rPr>
        <w:t xml:space="preserve"> and the IESS began to provide comprehensive treatment to patients. The</w:t>
      </w:r>
      <w:r w:rsidR="00022F5E" w:rsidRPr="00610904">
        <w:rPr>
          <w:noProof w:val="0"/>
          <w:lang w:val="en-US"/>
        </w:rPr>
        <w:t xml:space="preserve"> </w:t>
      </w:r>
      <w:r w:rsidR="00A8072E" w:rsidRPr="00610904">
        <w:rPr>
          <w:noProof w:val="0"/>
          <w:lang w:val="en-US"/>
        </w:rPr>
        <w:t>expert witness</w:t>
      </w:r>
      <w:r w:rsidR="00022F5E" w:rsidRPr="00610904">
        <w:rPr>
          <w:noProof w:val="0"/>
          <w:lang w:val="en-US"/>
        </w:rPr>
        <w:t xml:space="preserve"> </w:t>
      </w:r>
      <w:r w:rsidRPr="00610904">
        <w:rPr>
          <w:noProof w:val="0"/>
          <w:lang w:val="en-US"/>
        </w:rPr>
        <w:t xml:space="preserve">stated that, in the case of </w:t>
      </w:r>
      <w:r w:rsidR="00022F5E" w:rsidRPr="00610904">
        <w:rPr>
          <w:rFonts w:cs="Arial"/>
          <w:noProof w:val="0"/>
          <w:szCs w:val="20"/>
          <w:lang w:val="en-US"/>
        </w:rPr>
        <w:t>Talía</w:t>
      </w:r>
      <w:r w:rsidRPr="00610904">
        <w:rPr>
          <w:rFonts w:cs="Arial"/>
          <w:noProof w:val="0"/>
          <w:szCs w:val="20"/>
          <w:lang w:val="en-US"/>
        </w:rPr>
        <w:t xml:space="preserve">, </w:t>
      </w:r>
      <w:r w:rsidRPr="00610904">
        <w:rPr>
          <w:noProof w:val="0"/>
          <w:lang w:val="en-US"/>
        </w:rPr>
        <w:t xml:space="preserve">“the </w:t>
      </w:r>
      <w:r w:rsidR="00022F5E" w:rsidRPr="00610904">
        <w:rPr>
          <w:noProof w:val="0"/>
          <w:lang w:val="en-US"/>
        </w:rPr>
        <w:t>2002, 2004, 2007, 2010</w:t>
      </w:r>
      <w:r w:rsidR="009F3D78" w:rsidRPr="00610904">
        <w:rPr>
          <w:noProof w:val="0"/>
          <w:lang w:val="en-US"/>
        </w:rPr>
        <w:t xml:space="preserve"> and </w:t>
      </w:r>
      <w:r w:rsidR="00022F5E" w:rsidRPr="00610904">
        <w:rPr>
          <w:noProof w:val="0"/>
          <w:lang w:val="en-US"/>
        </w:rPr>
        <w:t>2012</w:t>
      </w:r>
      <w:r w:rsidRPr="00610904">
        <w:rPr>
          <w:noProof w:val="0"/>
          <w:lang w:val="en-US"/>
        </w:rPr>
        <w:t xml:space="preserve"> Manuals</w:t>
      </w:r>
      <w:r w:rsidR="00022F5E" w:rsidRPr="00610904">
        <w:rPr>
          <w:noProof w:val="0"/>
          <w:lang w:val="en-US"/>
        </w:rPr>
        <w:t>”</w:t>
      </w:r>
      <w:r w:rsidRPr="00610904">
        <w:rPr>
          <w:noProof w:val="0"/>
          <w:lang w:val="en-US"/>
        </w:rPr>
        <w:t xml:space="preserve"> were used</w:t>
      </w:r>
      <w:r w:rsidR="00022F5E" w:rsidRPr="00610904">
        <w:rPr>
          <w:noProof w:val="0"/>
          <w:lang w:val="en-US"/>
        </w:rPr>
        <w:t>.</w:t>
      </w:r>
      <w:r w:rsidR="00022F5E" w:rsidRPr="00610904">
        <w:rPr>
          <w:b/>
          <w:noProof w:val="0"/>
          <w:lang w:val="en-US"/>
        </w:rPr>
        <w:t xml:space="preserve"> </w:t>
      </w:r>
      <w:r w:rsidRPr="00610904">
        <w:rPr>
          <w:noProof w:val="0"/>
          <w:lang w:val="en-US"/>
        </w:rPr>
        <w:t xml:space="preserve">Regarding some of the situations that occurred during the provision of health care, the </w:t>
      </w:r>
      <w:r w:rsidR="00A8072E" w:rsidRPr="00610904">
        <w:rPr>
          <w:noProof w:val="0"/>
          <w:lang w:val="en-US"/>
        </w:rPr>
        <w:t>expert witness</w:t>
      </w:r>
      <w:r w:rsidR="00022F5E" w:rsidRPr="00610904">
        <w:rPr>
          <w:noProof w:val="0"/>
          <w:lang w:val="en-US"/>
        </w:rPr>
        <w:t xml:space="preserve"> </w:t>
      </w:r>
      <w:r w:rsidRPr="00610904">
        <w:rPr>
          <w:noProof w:val="0"/>
          <w:lang w:val="en-US"/>
        </w:rPr>
        <w:t>advised that</w:t>
      </w:r>
      <w:r w:rsidR="00022F5E" w:rsidRPr="00610904">
        <w:rPr>
          <w:noProof w:val="0"/>
          <w:lang w:val="en-US"/>
        </w:rPr>
        <w:t>:</w:t>
      </w:r>
    </w:p>
    <w:p w:rsidR="00022F5E" w:rsidRPr="00610904" w:rsidRDefault="00022F5E" w:rsidP="00610904">
      <w:pPr>
        <w:rPr>
          <w:noProof w:val="0"/>
          <w:lang w:val="en-US"/>
        </w:rPr>
      </w:pPr>
    </w:p>
    <w:p w:rsidR="00022F5E" w:rsidRPr="00610904" w:rsidRDefault="00022F5E" w:rsidP="00610904">
      <w:pPr>
        <w:autoSpaceDE w:val="0"/>
        <w:autoSpaceDN w:val="0"/>
        <w:adjustRightInd w:val="0"/>
        <w:ind w:left="720" w:right="655"/>
        <w:rPr>
          <w:noProof w:val="0"/>
          <w:sz w:val="16"/>
          <w:szCs w:val="16"/>
          <w:lang w:val="en-US"/>
        </w:rPr>
      </w:pPr>
      <w:r w:rsidRPr="00610904">
        <w:rPr>
          <w:noProof w:val="0"/>
          <w:sz w:val="16"/>
          <w:szCs w:val="16"/>
          <w:lang w:val="en-US"/>
        </w:rPr>
        <w:t xml:space="preserve">“… </w:t>
      </w:r>
      <w:r w:rsidR="00531028" w:rsidRPr="00610904">
        <w:rPr>
          <w:noProof w:val="0"/>
          <w:sz w:val="16"/>
          <w:szCs w:val="16"/>
          <w:lang w:val="en-US"/>
        </w:rPr>
        <w:t>Starting in 1999, the patient</w:t>
      </w:r>
      <w:r w:rsidRPr="00610904">
        <w:rPr>
          <w:noProof w:val="0"/>
          <w:sz w:val="16"/>
          <w:szCs w:val="16"/>
          <w:lang w:val="en-US"/>
        </w:rPr>
        <w:t xml:space="preserve"> [Talía] </w:t>
      </w:r>
      <w:r w:rsidR="00531028" w:rsidRPr="00610904">
        <w:rPr>
          <w:noProof w:val="0"/>
          <w:sz w:val="16"/>
          <w:szCs w:val="16"/>
          <w:lang w:val="en-US"/>
        </w:rPr>
        <w:t>received comprehensive treatment through the Vicente Corral Moscoso Hospital</w:t>
      </w:r>
      <w:r w:rsidRPr="00610904">
        <w:rPr>
          <w:noProof w:val="0"/>
          <w:sz w:val="16"/>
          <w:szCs w:val="16"/>
          <w:lang w:val="en-US"/>
        </w:rPr>
        <w:t xml:space="preserve"> […]. </w:t>
      </w:r>
      <w:r w:rsidR="00531028" w:rsidRPr="00610904">
        <w:rPr>
          <w:noProof w:val="0"/>
          <w:sz w:val="16"/>
          <w:szCs w:val="16"/>
          <w:lang w:val="en-US"/>
        </w:rPr>
        <w:t>In</w:t>
      </w:r>
      <w:r w:rsidRPr="00610904">
        <w:rPr>
          <w:noProof w:val="0"/>
          <w:sz w:val="16"/>
          <w:szCs w:val="16"/>
          <w:lang w:val="en-US"/>
        </w:rPr>
        <w:t xml:space="preserve"> 2003</w:t>
      </w:r>
      <w:r w:rsidR="00531028" w:rsidRPr="00610904">
        <w:rPr>
          <w:noProof w:val="0"/>
          <w:sz w:val="16"/>
          <w:szCs w:val="16"/>
          <w:lang w:val="en-US"/>
        </w:rPr>
        <w:t>, when she was told that the antiretroviral treatment should begin, her mother indicated that she had decided to take the girl to the Military Hospital in Quito for treatment.</w:t>
      </w:r>
    </w:p>
    <w:p w:rsidR="00022F5E" w:rsidRPr="00610904" w:rsidRDefault="00022F5E" w:rsidP="00610904">
      <w:pPr>
        <w:autoSpaceDE w:val="0"/>
        <w:autoSpaceDN w:val="0"/>
        <w:adjustRightInd w:val="0"/>
        <w:ind w:left="720" w:right="655"/>
        <w:rPr>
          <w:noProof w:val="0"/>
          <w:sz w:val="16"/>
          <w:szCs w:val="16"/>
          <w:lang w:val="en-US"/>
        </w:rPr>
      </w:pPr>
    </w:p>
    <w:p w:rsidR="00022F5E"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She then return</w:t>
      </w:r>
      <w:r w:rsidR="00FB1B4D" w:rsidRPr="00610904">
        <w:rPr>
          <w:noProof w:val="0"/>
          <w:sz w:val="16"/>
          <w:szCs w:val="16"/>
          <w:lang w:val="en-US"/>
        </w:rPr>
        <w:t>ed</w:t>
      </w:r>
      <w:r w:rsidRPr="00610904">
        <w:rPr>
          <w:noProof w:val="0"/>
          <w:sz w:val="16"/>
          <w:szCs w:val="16"/>
          <w:lang w:val="en-US"/>
        </w:rPr>
        <w:t xml:space="preserve"> a second time, and was re-admitted to continue her treatment on March 6, 2009. She did not bring any documentation on previous treatments; the family was asked to obtain the documentation in order to coordinate the treatment, but this</w:t>
      </w:r>
      <w:r w:rsidR="00022F5E" w:rsidRPr="00610904">
        <w:rPr>
          <w:noProof w:val="0"/>
          <w:sz w:val="16"/>
          <w:szCs w:val="16"/>
          <w:lang w:val="en-US"/>
        </w:rPr>
        <w:t xml:space="preserve"> </w:t>
      </w:r>
      <w:r w:rsidRPr="00610904">
        <w:rPr>
          <w:noProof w:val="0"/>
          <w:sz w:val="16"/>
          <w:szCs w:val="16"/>
          <w:lang w:val="en-US"/>
        </w:rPr>
        <w:t>was never produced and, once again, the patient left without notifying the [</w:t>
      </w:r>
      <w:r w:rsidR="00022F5E" w:rsidRPr="00610904">
        <w:rPr>
          <w:noProof w:val="0"/>
          <w:sz w:val="16"/>
          <w:szCs w:val="16"/>
          <w:lang w:val="en-US"/>
        </w:rPr>
        <w:t>Vicente Corral Moscoso]</w:t>
      </w:r>
      <w:r w:rsidRPr="00610904">
        <w:rPr>
          <w:noProof w:val="0"/>
          <w:sz w:val="16"/>
          <w:szCs w:val="16"/>
          <w:lang w:val="en-US"/>
        </w:rPr>
        <w:t xml:space="preserve"> Hospital</w:t>
      </w:r>
      <w:r w:rsidR="00022F5E" w:rsidRPr="00610904">
        <w:rPr>
          <w:noProof w:val="0"/>
          <w:sz w:val="16"/>
          <w:szCs w:val="16"/>
          <w:lang w:val="en-US"/>
        </w:rPr>
        <w:t>.</w:t>
      </w:r>
    </w:p>
    <w:p w:rsidR="00022F5E" w:rsidRPr="00610904" w:rsidRDefault="00022F5E" w:rsidP="00610904">
      <w:pPr>
        <w:autoSpaceDE w:val="0"/>
        <w:autoSpaceDN w:val="0"/>
        <w:adjustRightInd w:val="0"/>
        <w:ind w:left="720" w:right="655"/>
        <w:rPr>
          <w:noProof w:val="0"/>
          <w:sz w:val="16"/>
          <w:szCs w:val="16"/>
          <w:lang w:val="en-US"/>
        </w:rPr>
      </w:pPr>
    </w:p>
    <w:p w:rsidR="00531028" w:rsidRPr="00610904" w:rsidRDefault="00531028" w:rsidP="00610904">
      <w:pPr>
        <w:autoSpaceDE w:val="0"/>
        <w:autoSpaceDN w:val="0"/>
        <w:adjustRightInd w:val="0"/>
        <w:ind w:left="720" w:right="655"/>
        <w:rPr>
          <w:noProof w:val="0"/>
          <w:sz w:val="16"/>
          <w:szCs w:val="16"/>
          <w:lang w:val="en-US"/>
        </w:rPr>
      </w:pPr>
      <w:r w:rsidRPr="00610904">
        <w:rPr>
          <w:noProof w:val="0"/>
          <w:sz w:val="16"/>
          <w:szCs w:val="16"/>
          <w:lang w:val="en-US"/>
        </w:rPr>
        <w:t xml:space="preserve">It is important to note that the patient was never on time for the appointments that had been made by her mother; she revealed a low level of responsibility in complying with certain procedures: for example, she did not respect the date or the hour assigned to her, because, on several occasions, she wanted to be attended immediately </w:t>
      </w:r>
      <w:r w:rsidR="00FB1B4D" w:rsidRPr="00610904">
        <w:rPr>
          <w:noProof w:val="0"/>
          <w:sz w:val="16"/>
          <w:szCs w:val="16"/>
          <w:lang w:val="en-US"/>
        </w:rPr>
        <w:t>on arrival</w:t>
      </w:r>
      <w:r w:rsidRPr="00610904">
        <w:rPr>
          <w:noProof w:val="0"/>
          <w:sz w:val="16"/>
          <w:szCs w:val="16"/>
          <w:lang w:val="en-US"/>
        </w:rPr>
        <w:t>.</w:t>
      </w:r>
    </w:p>
    <w:p w:rsidR="00022F5E" w:rsidRPr="00610904" w:rsidRDefault="00022F5E" w:rsidP="00610904">
      <w:pPr>
        <w:autoSpaceDE w:val="0"/>
        <w:autoSpaceDN w:val="0"/>
        <w:adjustRightInd w:val="0"/>
        <w:ind w:right="655"/>
        <w:rPr>
          <w:noProof w:val="0"/>
          <w:sz w:val="16"/>
          <w:szCs w:val="16"/>
          <w:lang w:val="en-US"/>
        </w:rPr>
      </w:pPr>
    </w:p>
    <w:p w:rsidR="00022F5E" w:rsidRPr="00610904" w:rsidRDefault="00022F5E" w:rsidP="00610904">
      <w:pPr>
        <w:autoSpaceDE w:val="0"/>
        <w:autoSpaceDN w:val="0"/>
        <w:adjustRightInd w:val="0"/>
        <w:ind w:left="720" w:right="655"/>
        <w:rPr>
          <w:noProof w:val="0"/>
          <w:sz w:val="16"/>
          <w:szCs w:val="16"/>
          <w:lang w:val="en-US"/>
        </w:rPr>
      </w:pPr>
      <w:r w:rsidRPr="00610904">
        <w:rPr>
          <w:noProof w:val="0"/>
          <w:sz w:val="16"/>
          <w:szCs w:val="16"/>
          <w:lang w:val="en-US"/>
        </w:rPr>
        <w:t>[Talía</w:t>
      </w:r>
      <w:r w:rsidR="00531028" w:rsidRPr="00610904">
        <w:rPr>
          <w:noProof w:val="0"/>
          <w:sz w:val="16"/>
          <w:szCs w:val="16"/>
          <w:lang w:val="en-US"/>
        </w:rPr>
        <w:t>’s</w:t>
      </w:r>
      <w:r w:rsidRPr="00610904">
        <w:rPr>
          <w:noProof w:val="0"/>
          <w:sz w:val="16"/>
          <w:szCs w:val="16"/>
          <w:lang w:val="en-US"/>
        </w:rPr>
        <w:t>]</w:t>
      </w:r>
      <w:r w:rsidR="00531028" w:rsidRPr="00610904">
        <w:rPr>
          <w:noProof w:val="0"/>
          <w:sz w:val="16"/>
          <w:szCs w:val="16"/>
          <w:lang w:val="en-US"/>
        </w:rPr>
        <w:t xml:space="preserve"> mother treated the members of the health team badly on several occasions, and failed to return. The hospital found out that the pa</w:t>
      </w:r>
      <w:r w:rsidR="00FB1B4D" w:rsidRPr="00610904">
        <w:rPr>
          <w:noProof w:val="0"/>
          <w:sz w:val="16"/>
          <w:szCs w:val="16"/>
          <w:lang w:val="en-US"/>
        </w:rPr>
        <w:t>tient was receiving treatment at</w:t>
      </w:r>
      <w:r w:rsidR="00531028" w:rsidRPr="00610904">
        <w:rPr>
          <w:noProof w:val="0"/>
          <w:sz w:val="16"/>
          <w:szCs w:val="16"/>
          <w:lang w:val="en-US"/>
        </w:rPr>
        <w:t xml:space="preserve"> the Military Hospital in Quito and, once again, she abandoned the hospital on May 6, 2009. In 2014, she </w:t>
      </w:r>
      <w:r w:rsidR="00FB1B4D" w:rsidRPr="00610904">
        <w:rPr>
          <w:noProof w:val="0"/>
          <w:sz w:val="16"/>
          <w:szCs w:val="16"/>
          <w:lang w:val="en-US"/>
        </w:rPr>
        <w:t>again returned, to be treated at</w:t>
      </w:r>
      <w:r w:rsidR="00531028" w:rsidRPr="00610904">
        <w:rPr>
          <w:noProof w:val="0"/>
          <w:sz w:val="16"/>
          <w:szCs w:val="16"/>
          <w:lang w:val="en-US"/>
        </w:rPr>
        <w:t xml:space="preserve"> the UAIPVVS-HVCM accompanied by human rights personnel and a family member; consequently, Dr. JO told her that she was welcome if that is what she wanted and </w:t>
      </w:r>
      <w:r w:rsidR="00FB1B4D" w:rsidRPr="00610904">
        <w:rPr>
          <w:noProof w:val="0"/>
          <w:sz w:val="16"/>
          <w:szCs w:val="16"/>
          <w:lang w:val="en-US"/>
        </w:rPr>
        <w:t>asked her to</w:t>
      </w:r>
      <w:r w:rsidR="00531028" w:rsidRPr="00610904">
        <w:rPr>
          <w:noProof w:val="0"/>
          <w:sz w:val="16"/>
          <w:szCs w:val="16"/>
          <w:lang w:val="en-US"/>
        </w:rPr>
        <w:t xml:space="preserve"> please bring </w:t>
      </w:r>
      <w:r w:rsidR="00FB1B4D" w:rsidRPr="00610904">
        <w:rPr>
          <w:noProof w:val="0"/>
          <w:sz w:val="16"/>
          <w:szCs w:val="16"/>
          <w:lang w:val="en-US"/>
        </w:rPr>
        <w:t xml:space="preserve">a report of the medication </w:t>
      </w:r>
      <w:r w:rsidR="00531028" w:rsidRPr="00610904">
        <w:rPr>
          <w:noProof w:val="0"/>
          <w:sz w:val="16"/>
          <w:szCs w:val="16"/>
          <w:lang w:val="en-US"/>
        </w:rPr>
        <w:t>she had been receiving in order to follow-up on this.</w:t>
      </w:r>
      <w:r w:rsidRPr="00610904">
        <w:rPr>
          <w:rStyle w:val="FootnoteReference"/>
          <w:noProof w:val="0"/>
          <w:sz w:val="16"/>
          <w:lang w:val="en-US"/>
        </w:rPr>
        <w:footnoteReference w:id="186"/>
      </w:r>
      <w:r w:rsidRPr="00610904">
        <w:rPr>
          <w:noProof w:val="0"/>
          <w:sz w:val="16"/>
          <w:szCs w:val="16"/>
          <w:lang w:val="en-US"/>
        </w:rPr>
        <w:t xml:space="preserve"> </w:t>
      </w:r>
    </w:p>
    <w:p w:rsidR="00022F5E" w:rsidRPr="00610904" w:rsidRDefault="00022F5E" w:rsidP="00610904">
      <w:pPr>
        <w:autoSpaceDE w:val="0"/>
        <w:autoSpaceDN w:val="0"/>
        <w:adjustRightInd w:val="0"/>
        <w:rPr>
          <w:noProof w:val="0"/>
          <w:lang w:val="en-US"/>
        </w:rPr>
      </w:pPr>
      <w:r w:rsidRPr="00610904">
        <w:rPr>
          <w:noProof w:val="0"/>
          <w:lang w:val="en-US"/>
        </w:rPr>
        <w:t xml:space="preserve"> </w:t>
      </w:r>
    </w:p>
    <w:p w:rsidR="00022F5E" w:rsidRPr="00610904" w:rsidRDefault="00531028" w:rsidP="00610904">
      <w:pPr>
        <w:numPr>
          <w:ilvl w:val="0"/>
          <w:numId w:val="1"/>
        </w:numPr>
        <w:autoSpaceDE w:val="0"/>
        <w:autoSpaceDN w:val="0"/>
        <w:adjustRightInd w:val="0"/>
        <w:contextualSpacing/>
        <w:rPr>
          <w:rFonts w:cs="Arial"/>
          <w:noProof w:val="0"/>
          <w:spacing w:val="-2"/>
          <w:lang w:val="en-US"/>
        </w:rPr>
      </w:pPr>
      <w:r w:rsidRPr="00610904">
        <w:rPr>
          <w:rFonts w:cs="Arial"/>
          <w:noProof w:val="0"/>
          <w:spacing w:val="-2"/>
          <w:lang w:val="en-US"/>
        </w:rPr>
        <w:t>Expert</w:t>
      </w:r>
      <w:r w:rsidR="00A8072E" w:rsidRPr="00610904">
        <w:rPr>
          <w:rFonts w:cs="Arial"/>
          <w:noProof w:val="0"/>
          <w:spacing w:val="-2"/>
          <w:lang w:val="en-US"/>
        </w:rPr>
        <w:t xml:space="preserve"> witness</w:t>
      </w:r>
      <w:r w:rsidR="00022F5E" w:rsidRPr="00610904">
        <w:rPr>
          <w:rFonts w:cs="Arial"/>
          <w:noProof w:val="0"/>
          <w:spacing w:val="-2"/>
          <w:lang w:val="en-US"/>
        </w:rPr>
        <w:t xml:space="preserve"> Carrasco </w:t>
      </w:r>
      <w:r w:rsidRPr="00610904">
        <w:rPr>
          <w:rFonts w:cs="Arial"/>
          <w:noProof w:val="0"/>
          <w:spacing w:val="-2"/>
          <w:lang w:val="en-US"/>
        </w:rPr>
        <w:t>also indicated the following with regard to the implementation of the counseling service:</w:t>
      </w:r>
    </w:p>
    <w:p w:rsidR="00022F5E" w:rsidRPr="00610904" w:rsidRDefault="00022F5E" w:rsidP="00610904">
      <w:pPr>
        <w:autoSpaceDE w:val="0"/>
        <w:autoSpaceDN w:val="0"/>
        <w:adjustRightInd w:val="0"/>
        <w:rPr>
          <w:rFonts w:cs="Arial"/>
          <w:noProof w:val="0"/>
          <w:spacing w:val="-2"/>
          <w:lang w:val="en-US"/>
        </w:rPr>
      </w:pPr>
    </w:p>
    <w:p w:rsidR="00022F5E" w:rsidRPr="00610904" w:rsidRDefault="00531028" w:rsidP="00610904">
      <w:pPr>
        <w:autoSpaceDE w:val="0"/>
        <w:autoSpaceDN w:val="0"/>
        <w:adjustRightInd w:val="0"/>
        <w:ind w:left="720" w:right="655"/>
        <w:rPr>
          <w:rFonts w:cs="Arial"/>
          <w:noProof w:val="0"/>
          <w:spacing w:val="-2"/>
          <w:sz w:val="16"/>
          <w:szCs w:val="16"/>
          <w:lang w:val="en-US"/>
        </w:rPr>
      </w:pPr>
      <w:r w:rsidRPr="00610904">
        <w:rPr>
          <w:rFonts w:cs="Arial"/>
          <w:noProof w:val="0"/>
          <w:spacing w:val="-2"/>
          <w:sz w:val="16"/>
          <w:szCs w:val="16"/>
          <w:lang w:val="en-US"/>
        </w:rPr>
        <w:t xml:space="preserve">The proposal to set up a formal counseling system in the </w:t>
      </w:r>
      <w:r w:rsidR="00022F5E" w:rsidRPr="00610904">
        <w:rPr>
          <w:rFonts w:cs="Arial"/>
          <w:noProof w:val="0"/>
          <w:spacing w:val="-2"/>
          <w:sz w:val="16"/>
          <w:szCs w:val="16"/>
          <w:lang w:val="en-US"/>
        </w:rPr>
        <w:t>[Vicente Corral Moscoso</w:t>
      </w:r>
      <w:r w:rsidRPr="00610904">
        <w:rPr>
          <w:rFonts w:cs="Arial"/>
          <w:noProof w:val="0"/>
          <w:spacing w:val="-2"/>
          <w:sz w:val="16"/>
          <w:szCs w:val="16"/>
          <w:lang w:val="en-US"/>
        </w:rPr>
        <w:t xml:space="preserve"> Hospital] for</w:t>
      </w:r>
      <w:r w:rsidR="00022F5E" w:rsidRPr="00610904">
        <w:rPr>
          <w:rFonts w:cs="Arial"/>
          <w:noProof w:val="0"/>
          <w:spacing w:val="-2"/>
          <w:sz w:val="16"/>
          <w:szCs w:val="16"/>
          <w:lang w:val="en-US"/>
        </w:rPr>
        <w:t xml:space="preserve"> </w:t>
      </w:r>
      <w:r w:rsidRPr="00610904">
        <w:rPr>
          <w:rFonts w:cs="Arial"/>
          <w:noProof w:val="0"/>
          <w:spacing w:val="-2"/>
          <w:sz w:val="16"/>
          <w:szCs w:val="16"/>
          <w:lang w:val="en-US"/>
        </w:rPr>
        <w:t>persons living with HIV</w:t>
      </w:r>
      <w:r w:rsidR="00022F5E" w:rsidRPr="00610904">
        <w:rPr>
          <w:rFonts w:cs="Arial"/>
          <w:noProof w:val="0"/>
          <w:spacing w:val="-2"/>
          <w:sz w:val="16"/>
          <w:szCs w:val="16"/>
          <w:lang w:val="en-US"/>
        </w:rPr>
        <w:t xml:space="preserve"> […] </w:t>
      </w:r>
      <w:r w:rsidRPr="00610904">
        <w:rPr>
          <w:rFonts w:cs="Arial"/>
          <w:noProof w:val="0"/>
          <w:spacing w:val="-2"/>
          <w:sz w:val="16"/>
          <w:szCs w:val="16"/>
          <w:lang w:val="en-US"/>
        </w:rPr>
        <w:t xml:space="preserve">was put forward approximately two years ago </w:t>
      </w:r>
      <w:r w:rsidR="00022F5E" w:rsidRPr="00610904">
        <w:rPr>
          <w:rFonts w:cs="Arial"/>
          <w:noProof w:val="0"/>
          <w:spacing w:val="-2"/>
          <w:sz w:val="16"/>
          <w:szCs w:val="16"/>
          <w:lang w:val="en-US"/>
        </w:rPr>
        <w:t xml:space="preserve">[2013]. </w:t>
      </w:r>
      <w:r w:rsidRPr="00610904">
        <w:rPr>
          <w:rFonts w:cs="Arial"/>
          <w:noProof w:val="0"/>
          <w:spacing w:val="-2"/>
          <w:sz w:val="16"/>
          <w:szCs w:val="16"/>
          <w:lang w:val="en-US"/>
        </w:rPr>
        <w:t>Before this, counselling was the responsibility of the Social Work Department of the [</w:t>
      </w:r>
      <w:r w:rsidR="00022F5E" w:rsidRPr="00610904">
        <w:rPr>
          <w:rFonts w:cs="Arial"/>
          <w:noProof w:val="0"/>
          <w:spacing w:val="-2"/>
          <w:sz w:val="16"/>
          <w:szCs w:val="16"/>
          <w:lang w:val="en-US"/>
        </w:rPr>
        <w:t>Vicente Corral Moscoso</w:t>
      </w:r>
      <w:r w:rsidRPr="00610904">
        <w:rPr>
          <w:rFonts w:cs="Arial"/>
          <w:noProof w:val="0"/>
          <w:spacing w:val="-2"/>
          <w:sz w:val="16"/>
          <w:szCs w:val="16"/>
          <w:lang w:val="en-US"/>
        </w:rPr>
        <w:t xml:space="preserve"> Hospital</w:t>
      </w:r>
      <w:r w:rsidR="00022F5E" w:rsidRPr="00610904">
        <w:rPr>
          <w:rFonts w:cs="Arial"/>
          <w:noProof w:val="0"/>
          <w:spacing w:val="-2"/>
          <w:sz w:val="16"/>
          <w:szCs w:val="16"/>
          <w:lang w:val="en-US"/>
        </w:rPr>
        <w:t xml:space="preserve">]. </w:t>
      </w:r>
      <w:r w:rsidRPr="00610904">
        <w:rPr>
          <w:rFonts w:cs="Arial"/>
          <w:noProof w:val="0"/>
          <w:spacing w:val="-2"/>
          <w:sz w:val="16"/>
          <w:szCs w:val="16"/>
          <w:lang w:val="en-US"/>
        </w:rPr>
        <w:t>The Azuay Provincial Health Directorate (currently Area Coordination 6) establish</w:t>
      </w:r>
      <w:r w:rsidR="00FB1B4D" w:rsidRPr="00610904">
        <w:rPr>
          <w:rFonts w:cs="Arial"/>
          <w:noProof w:val="0"/>
          <w:spacing w:val="-2"/>
          <w:sz w:val="16"/>
          <w:szCs w:val="16"/>
          <w:lang w:val="en-US"/>
        </w:rPr>
        <w:t>e</w:t>
      </w:r>
      <w:r w:rsidRPr="00610904">
        <w:rPr>
          <w:rFonts w:cs="Arial"/>
          <w:noProof w:val="0"/>
          <w:spacing w:val="-2"/>
          <w:sz w:val="16"/>
          <w:szCs w:val="16"/>
          <w:lang w:val="en-US"/>
        </w:rPr>
        <w:t xml:space="preserve">d a counseling program for people living with HIV </w:t>
      </w:r>
      <w:r w:rsidR="00022F5E" w:rsidRPr="00610904">
        <w:rPr>
          <w:rFonts w:cs="Arial"/>
          <w:noProof w:val="0"/>
          <w:spacing w:val="-2"/>
          <w:sz w:val="16"/>
          <w:szCs w:val="16"/>
          <w:lang w:val="en-US"/>
        </w:rPr>
        <w:t>[…]</w:t>
      </w:r>
      <w:r w:rsidRPr="00610904">
        <w:rPr>
          <w:rFonts w:cs="Arial"/>
          <w:noProof w:val="0"/>
          <w:spacing w:val="-2"/>
          <w:sz w:val="16"/>
          <w:szCs w:val="16"/>
          <w:lang w:val="en-US"/>
        </w:rPr>
        <w:t>.</w:t>
      </w:r>
    </w:p>
    <w:p w:rsidR="00022F5E" w:rsidRPr="00610904" w:rsidRDefault="00022F5E" w:rsidP="00610904">
      <w:pPr>
        <w:autoSpaceDE w:val="0"/>
        <w:autoSpaceDN w:val="0"/>
        <w:adjustRightInd w:val="0"/>
        <w:ind w:left="720" w:right="655"/>
        <w:rPr>
          <w:rFonts w:cs="Arial"/>
          <w:noProof w:val="0"/>
          <w:spacing w:val="-2"/>
          <w:sz w:val="16"/>
          <w:szCs w:val="16"/>
          <w:lang w:val="en-US"/>
        </w:rPr>
      </w:pPr>
    </w:p>
    <w:p w:rsidR="00531028" w:rsidRPr="00610904" w:rsidRDefault="00531028" w:rsidP="00610904">
      <w:pPr>
        <w:autoSpaceDE w:val="0"/>
        <w:autoSpaceDN w:val="0"/>
        <w:adjustRightInd w:val="0"/>
        <w:ind w:left="720" w:right="655"/>
        <w:rPr>
          <w:rFonts w:cs="Arial"/>
          <w:noProof w:val="0"/>
          <w:spacing w:val="-2"/>
          <w:sz w:val="16"/>
          <w:szCs w:val="16"/>
          <w:lang w:val="en-US"/>
        </w:rPr>
      </w:pPr>
      <w:r w:rsidRPr="00610904">
        <w:rPr>
          <w:rFonts w:cs="Arial"/>
          <w:noProof w:val="0"/>
          <w:spacing w:val="-2"/>
          <w:sz w:val="16"/>
          <w:szCs w:val="16"/>
          <w:lang w:val="en-US"/>
        </w:rPr>
        <w:t xml:space="preserve">The patient’s mother, </w:t>
      </w:r>
      <w:r w:rsidR="00022F5E" w:rsidRPr="00610904">
        <w:rPr>
          <w:rFonts w:cs="Arial"/>
          <w:noProof w:val="0"/>
          <w:spacing w:val="-2"/>
          <w:sz w:val="16"/>
          <w:szCs w:val="16"/>
          <w:lang w:val="en-US"/>
        </w:rPr>
        <w:t>Teresa Lluy</w:t>
      </w:r>
      <w:r w:rsidRPr="00610904">
        <w:rPr>
          <w:rFonts w:cs="Arial"/>
          <w:noProof w:val="0"/>
          <w:spacing w:val="-2"/>
          <w:sz w:val="16"/>
          <w:szCs w:val="16"/>
          <w:lang w:val="en-US"/>
        </w:rPr>
        <w:t xml:space="preserve">, was part of the first self-help group for people living with HIV of </w:t>
      </w:r>
      <w:r w:rsidR="00856968" w:rsidRPr="00610904">
        <w:rPr>
          <w:rFonts w:cs="Arial"/>
          <w:noProof w:val="0"/>
          <w:spacing w:val="-2"/>
          <w:sz w:val="16"/>
          <w:szCs w:val="16"/>
          <w:lang w:val="en-US"/>
        </w:rPr>
        <w:t>the [</w:t>
      </w:r>
      <w:r w:rsidRPr="00610904">
        <w:rPr>
          <w:rFonts w:cs="Arial"/>
          <w:noProof w:val="0"/>
          <w:spacing w:val="-2"/>
          <w:sz w:val="16"/>
          <w:szCs w:val="16"/>
          <w:lang w:val="en-US"/>
        </w:rPr>
        <w:t>Vicente Corral Moscoso Hospital]. The first meeting was held in the Azuay Medical Association in 2002, and Mrs. Lluy asked if she could be the</w:t>
      </w:r>
      <w:r w:rsidR="00FB1B4D" w:rsidRPr="00610904">
        <w:rPr>
          <w:rFonts w:cs="Arial"/>
          <w:noProof w:val="0"/>
          <w:spacing w:val="-2"/>
          <w:sz w:val="16"/>
          <w:szCs w:val="16"/>
          <w:lang w:val="en-US"/>
        </w:rPr>
        <w:t xml:space="preserve"> </w:t>
      </w:r>
      <w:r w:rsidRPr="00610904">
        <w:rPr>
          <w:rFonts w:cs="Arial"/>
          <w:noProof w:val="0"/>
          <w:spacing w:val="-2"/>
          <w:sz w:val="16"/>
          <w:szCs w:val="16"/>
          <w:lang w:val="en-US"/>
        </w:rPr>
        <w:t>coordinator</w:t>
      </w:r>
      <w:r w:rsidR="00FB1B4D" w:rsidRPr="00610904">
        <w:rPr>
          <w:rFonts w:cs="Arial"/>
          <w:noProof w:val="0"/>
          <w:spacing w:val="-2"/>
          <w:sz w:val="16"/>
          <w:szCs w:val="16"/>
          <w:lang w:val="en-US"/>
        </w:rPr>
        <w:t xml:space="preserve"> of the group</w:t>
      </w:r>
      <w:r w:rsidRPr="00610904">
        <w:rPr>
          <w:rFonts w:cs="Arial"/>
          <w:noProof w:val="0"/>
          <w:spacing w:val="-2"/>
          <w:sz w:val="16"/>
          <w:szCs w:val="16"/>
          <w:lang w:val="en-US"/>
        </w:rPr>
        <w:t>, which was composed of five patients, and then the number of pa</w:t>
      </w:r>
      <w:r w:rsidR="00FB1B4D" w:rsidRPr="00610904">
        <w:rPr>
          <w:rFonts w:cs="Arial"/>
          <w:noProof w:val="0"/>
          <w:spacing w:val="-2"/>
          <w:sz w:val="16"/>
          <w:szCs w:val="16"/>
          <w:lang w:val="en-US"/>
        </w:rPr>
        <w:t>tients gradually increased. The group was</w:t>
      </w:r>
      <w:r w:rsidRPr="00610904">
        <w:rPr>
          <w:rFonts w:cs="Arial"/>
          <w:noProof w:val="0"/>
          <w:spacing w:val="-2"/>
          <w:sz w:val="16"/>
          <w:szCs w:val="16"/>
          <w:lang w:val="en-US"/>
        </w:rPr>
        <w:t xml:space="preserve"> discontinued for various reasons.”</w:t>
      </w:r>
    </w:p>
    <w:p w:rsidR="00022F5E" w:rsidRPr="00610904" w:rsidRDefault="00022F5E" w:rsidP="00610904">
      <w:pPr>
        <w:autoSpaceDE w:val="0"/>
        <w:autoSpaceDN w:val="0"/>
        <w:adjustRightInd w:val="0"/>
        <w:rPr>
          <w:rFonts w:cs="Arial"/>
          <w:noProof w:val="0"/>
          <w:spacing w:val="-2"/>
          <w:lang w:val="en-US"/>
        </w:rPr>
      </w:pPr>
    </w:p>
    <w:p w:rsidR="00022F5E" w:rsidRPr="00610904" w:rsidRDefault="00531028" w:rsidP="00610904">
      <w:pPr>
        <w:numPr>
          <w:ilvl w:val="0"/>
          <w:numId w:val="1"/>
        </w:numPr>
        <w:autoSpaceDE w:val="0"/>
        <w:autoSpaceDN w:val="0"/>
        <w:adjustRightInd w:val="0"/>
        <w:contextualSpacing/>
        <w:rPr>
          <w:rFonts w:cs="Arial"/>
          <w:noProof w:val="0"/>
          <w:spacing w:val="-2"/>
          <w:lang w:val="en-US"/>
        </w:rPr>
      </w:pPr>
      <w:r w:rsidRPr="00610904">
        <w:rPr>
          <w:rFonts w:cs="Arial"/>
          <w:noProof w:val="0"/>
          <w:spacing w:val="-2"/>
          <w:lang w:val="en-US"/>
        </w:rPr>
        <w:lastRenderedPageBreak/>
        <w:t>After the treatment provided by the Vicente Corral Moscoso Hospital</w:t>
      </w:r>
      <w:r w:rsidR="00022F5E" w:rsidRPr="00610904">
        <w:rPr>
          <w:rFonts w:cs="Arial"/>
          <w:noProof w:val="0"/>
          <w:spacing w:val="-2"/>
          <w:lang w:val="en-US"/>
        </w:rPr>
        <w:t xml:space="preserve">, Talía </w:t>
      </w:r>
      <w:r w:rsidRPr="00610904">
        <w:rPr>
          <w:rFonts w:cs="Arial"/>
          <w:noProof w:val="0"/>
          <w:spacing w:val="-2"/>
          <w:lang w:val="en-US"/>
        </w:rPr>
        <w:t xml:space="preserve">was treated in the Military Hospital in </w:t>
      </w:r>
      <w:r w:rsidR="00022F5E" w:rsidRPr="00610904">
        <w:rPr>
          <w:rFonts w:cs="Arial"/>
          <w:noProof w:val="0"/>
          <w:spacing w:val="-2"/>
          <w:lang w:val="en-US"/>
        </w:rPr>
        <w:t xml:space="preserve">Quito. </w:t>
      </w:r>
      <w:r w:rsidRPr="00610904">
        <w:rPr>
          <w:rFonts w:cs="Arial"/>
          <w:noProof w:val="0"/>
          <w:spacing w:val="-2"/>
          <w:lang w:val="en-US"/>
        </w:rPr>
        <w:t xml:space="preserve">Regarding the treatment in this hospital, </w:t>
      </w:r>
      <w:r w:rsidR="00A8072E" w:rsidRPr="00610904">
        <w:rPr>
          <w:rFonts w:cs="Arial"/>
          <w:noProof w:val="0"/>
          <w:spacing w:val="-2"/>
          <w:lang w:val="en-US"/>
        </w:rPr>
        <w:t>expert witness</w:t>
      </w:r>
      <w:r w:rsidR="00022F5E" w:rsidRPr="00610904">
        <w:rPr>
          <w:rFonts w:cs="Arial"/>
          <w:noProof w:val="0"/>
          <w:spacing w:val="-2"/>
          <w:lang w:val="en-US"/>
        </w:rPr>
        <w:t xml:space="preserve"> Carrasco </w:t>
      </w:r>
      <w:r w:rsidRPr="00610904">
        <w:rPr>
          <w:rFonts w:cs="Arial"/>
          <w:noProof w:val="0"/>
          <w:spacing w:val="-2"/>
          <w:lang w:val="en-US"/>
        </w:rPr>
        <w:t xml:space="preserve">stated the following: </w:t>
      </w:r>
    </w:p>
    <w:p w:rsidR="00022F5E" w:rsidRPr="00610904" w:rsidRDefault="00022F5E" w:rsidP="00610904">
      <w:pPr>
        <w:autoSpaceDE w:val="0"/>
        <w:autoSpaceDN w:val="0"/>
        <w:adjustRightInd w:val="0"/>
        <w:rPr>
          <w:rFonts w:cs="Arial"/>
          <w:noProof w:val="0"/>
          <w:spacing w:val="-2"/>
          <w:lang w:val="en-US"/>
        </w:rPr>
      </w:pPr>
    </w:p>
    <w:p w:rsidR="00531028" w:rsidRPr="00610904" w:rsidRDefault="00531028" w:rsidP="00610904">
      <w:pPr>
        <w:autoSpaceDE w:val="0"/>
        <w:autoSpaceDN w:val="0"/>
        <w:adjustRightInd w:val="0"/>
        <w:ind w:left="720" w:right="835"/>
        <w:rPr>
          <w:rFonts w:cs="Arial"/>
          <w:noProof w:val="0"/>
          <w:spacing w:val="-2"/>
          <w:sz w:val="16"/>
          <w:szCs w:val="16"/>
          <w:lang w:val="en-US"/>
        </w:rPr>
      </w:pPr>
      <w:r w:rsidRPr="00610904">
        <w:rPr>
          <w:rFonts w:cs="Arial"/>
          <w:noProof w:val="0"/>
          <w:spacing w:val="-2"/>
          <w:sz w:val="16"/>
          <w:szCs w:val="16"/>
          <w:lang w:val="en-US"/>
        </w:rPr>
        <w:t xml:space="preserve">The patient </w:t>
      </w:r>
      <w:r w:rsidR="00022F5E" w:rsidRPr="00610904">
        <w:rPr>
          <w:rFonts w:cs="Arial"/>
          <w:noProof w:val="0"/>
          <w:spacing w:val="-2"/>
          <w:sz w:val="16"/>
          <w:szCs w:val="16"/>
          <w:lang w:val="en-US"/>
        </w:rPr>
        <w:t>[Talía</w:t>
      </w:r>
      <w:r w:rsidR="00BA5DB2" w:rsidRPr="00610904">
        <w:rPr>
          <w:rFonts w:cs="Arial"/>
          <w:noProof w:val="0"/>
          <w:spacing w:val="-2"/>
          <w:sz w:val="16"/>
          <w:szCs w:val="16"/>
          <w:lang w:val="en-US"/>
        </w:rPr>
        <w:t xml:space="preserve">] </w:t>
      </w:r>
      <w:r w:rsidRPr="00610904">
        <w:rPr>
          <w:rFonts w:cs="Arial"/>
          <w:noProof w:val="0"/>
          <w:spacing w:val="-2"/>
          <w:sz w:val="16"/>
          <w:szCs w:val="16"/>
          <w:lang w:val="en-US"/>
        </w:rPr>
        <w:t>visited the</w:t>
      </w:r>
      <w:r w:rsidR="00BA5DB2" w:rsidRPr="00610904">
        <w:rPr>
          <w:rFonts w:cs="Arial"/>
          <w:noProof w:val="0"/>
          <w:spacing w:val="-2"/>
          <w:sz w:val="16"/>
          <w:szCs w:val="16"/>
          <w:lang w:val="en-US"/>
        </w:rPr>
        <w:t xml:space="preserve"> HG</w:t>
      </w:r>
      <w:r w:rsidR="00022F5E" w:rsidRPr="00610904">
        <w:rPr>
          <w:rFonts w:cs="Arial"/>
          <w:noProof w:val="0"/>
          <w:spacing w:val="-2"/>
          <w:sz w:val="16"/>
          <w:szCs w:val="16"/>
          <w:lang w:val="en-US"/>
        </w:rPr>
        <w:t xml:space="preserve">1 </w:t>
      </w:r>
      <w:r w:rsidRPr="00610904">
        <w:rPr>
          <w:rFonts w:cs="Arial"/>
          <w:noProof w:val="0"/>
          <w:spacing w:val="-2"/>
          <w:sz w:val="16"/>
          <w:szCs w:val="16"/>
          <w:lang w:val="en-US"/>
        </w:rPr>
        <w:t xml:space="preserve">for the first time in March 2004; she had been diagnosed with HIV when she was three years old; according to her mother and the note attached to her file, she had been monitored up until then by Dr. [JO] in Cuenca, and the patient had remained asymptomatic. At her first appointment, the patient was asymptomatic; all the initial tests for HIV were performed, including </w:t>
      </w:r>
      <w:r w:rsidR="00402E60" w:rsidRPr="00610904">
        <w:rPr>
          <w:rFonts w:cs="Arial"/>
          <w:noProof w:val="0"/>
          <w:spacing w:val="-2"/>
          <w:sz w:val="16"/>
          <w:szCs w:val="16"/>
          <w:lang w:val="en-US"/>
        </w:rPr>
        <w:t xml:space="preserve">chest x-ray, DPP, </w:t>
      </w:r>
      <w:r w:rsidR="00402E60" w:rsidRPr="00610904">
        <w:rPr>
          <w:bCs/>
          <w:noProof w:val="0"/>
          <w:sz w:val="16"/>
          <w:szCs w:val="16"/>
          <w:lang w:val="en-US"/>
        </w:rPr>
        <w:t>IgM and IgG</w:t>
      </w:r>
      <w:r w:rsidR="00402E60" w:rsidRPr="00610904">
        <w:rPr>
          <w:rFonts w:cs="Arial"/>
          <w:noProof w:val="0"/>
          <w:spacing w:val="-2"/>
          <w:sz w:val="16"/>
          <w:szCs w:val="16"/>
          <w:lang w:val="en-US"/>
        </w:rPr>
        <w:t xml:space="preserve"> for toxoplasmosis, </w:t>
      </w:r>
      <w:r w:rsidR="00402E60" w:rsidRPr="00610904">
        <w:rPr>
          <w:bCs/>
          <w:noProof w:val="0"/>
          <w:sz w:val="16"/>
          <w:szCs w:val="16"/>
          <w:lang w:val="en-US"/>
        </w:rPr>
        <w:t>hematic biometry, blood chemistry and viral load and CD4 count.</w:t>
      </w:r>
    </w:p>
    <w:p w:rsidR="00022F5E" w:rsidRPr="00610904" w:rsidRDefault="00022F5E" w:rsidP="00610904">
      <w:pPr>
        <w:autoSpaceDE w:val="0"/>
        <w:autoSpaceDN w:val="0"/>
        <w:adjustRightInd w:val="0"/>
        <w:ind w:right="835"/>
        <w:rPr>
          <w:rFonts w:cs="Arial"/>
          <w:noProof w:val="0"/>
          <w:spacing w:val="-2"/>
          <w:sz w:val="16"/>
          <w:szCs w:val="16"/>
          <w:lang w:val="en-US"/>
        </w:rPr>
      </w:pPr>
    </w:p>
    <w:p w:rsidR="00402E60" w:rsidRPr="00610904" w:rsidRDefault="00402E60" w:rsidP="00610904">
      <w:pPr>
        <w:autoSpaceDE w:val="0"/>
        <w:autoSpaceDN w:val="0"/>
        <w:adjustRightInd w:val="0"/>
        <w:ind w:left="720" w:right="835"/>
        <w:rPr>
          <w:rFonts w:cs="Arial"/>
          <w:noProof w:val="0"/>
          <w:spacing w:val="-2"/>
          <w:sz w:val="16"/>
          <w:szCs w:val="16"/>
          <w:lang w:val="en-US"/>
        </w:rPr>
      </w:pPr>
      <w:r w:rsidRPr="00610904">
        <w:rPr>
          <w:rFonts w:cs="Arial"/>
          <w:noProof w:val="0"/>
          <w:spacing w:val="-2"/>
          <w:sz w:val="16"/>
          <w:szCs w:val="16"/>
          <w:lang w:val="en-US"/>
        </w:rPr>
        <w:t>In her appoint</w:t>
      </w:r>
      <w:r w:rsidR="00FB1B4D" w:rsidRPr="00610904">
        <w:rPr>
          <w:rFonts w:cs="Arial"/>
          <w:noProof w:val="0"/>
          <w:spacing w:val="-2"/>
          <w:sz w:val="16"/>
          <w:szCs w:val="16"/>
          <w:lang w:val="en-US"/>
        </w:rPr>
        <w:t>ment</w:t>
      </w:r>
      <w:r w:rsidRPr="00610904">
        <w:rPr>
          <w:rFonts w:cs="Arial"/>
          <w:noProof w:val="0"/>
          <w:spacing w:val="-2"/>
          <w:sz w:val="16"/>
          <w:szCs w:val="16"/>
          <w:lang w:val="en-US"/>
        </w:rPr>
        <w:t xml:space="preserve"> with </w:t>
      </w:r>
      <w:r w:rsidR="00FB1B4D" w:rsidRPr="00610904">
        <w:rPr>
          <w:rFonts w:cs="Arial"/>
          <w:noProof w:val="0"/>
          <w:spacing w:val="-2"/>
          <w:sz w:val="16"/>
          <w:szCs w:val="16"/>
          <w:lang w:val="en-US"/>
        </w:rPr>
        <w:t>the results at</w:t>
      </w:r>
      <w:r w:rsidRPr="00610904">
        <w:rPr>
          <w:rFonts w:cs="Arial"/>
          <w:noProof w:val="0"/>
          <w:spacing w:val="-2"/>
          <w:sz w:val="16"/>
          <w:szCs w:val="16"/>
          <w:lang w:val="en-US"/>
        </w:rPr>
        <w:t xml:space="preserve"> September 23, 2004, the CD4 at 463 and the CD8 at 926, the patient continued to be asymptomatic. According to the protocol in force, she was not required to begin antiretroviral treatment. The patient did not </w:t>
      </w:r>
      <w:r w:rsidR="00FB1B4D" w:rsidRPr="00610904">
        <w:rPr>
          <w:rFonts w:cs="Arial"/>
          <w:noProof w:val="0"/>
          <w:spacing w:val="-2"/>
          <w:sz w:val="16"/>
          <w:szCs w:val="16"/>
          <w:lang w:val="en-US"/>
        </w:rPr>
        <w:t>appear for her next appointment</w:t>
      </w:r>
      <w:r w:rsidRPr="00610904">
        <w:rPr>
          <w:rFonts w:cs="Arial"/>
          <w:noProof w:val="0"/>
          <w:spacing w:val="-2"/>
          <w:sz w:val="16"/>
          <w:szCs w:val="16"/>
          <w:lang w:val="en-US"/>
        </w:rPr>
        <w:t xml:space="preserve"> in February 2005; her mother </w:t>
      </w:r>
      <w:r w:rsidR="00FB1B4D" w:rsidRPr="00610904">
        <w:rPr>
          <w:rFonts w:cs="Arial"/>
          <w:noProof w:val="0"/>
          <w:spacing w:val="-2"/>
          <w:sz w:val="16"/>
          <w:szCs w:val="16"/>
          <w:lang w:val="en-US"/>
        </w:rPr>
        <w:t>collected</w:t>
      </w:r>
      <w:r w:rsidRPr="00610904">
        <w:rPr>
          <w:rFonts w:cs="Arial"/>
          <w:noProof w:val="0"/>
          <w:spacing w:val="-2"/>
          <w:sz w:val="16"/>
          <w:szCs w:val="16"/>
          <w:lang w:val="en-US"/>
        </w:rPr>
        <w:t xml:space="preserve"> the requests for tests</w:t>
      </w:r>
      <w:r w:rsidR="00FB1B4D" w:rsidRPr="00610904">
        <w:rPr>
          <w:rFonts w:cs="Arial"/>
          <w:noProof w:val="0"/>
          <w:spacing w:val="-2"/>
          <w:sz w:val="16"/>
          <w:szCs w:val="16"/>
          <w:lang w:val="en-US"/>
        </w:rPr>
        <w:t>,</w:t>
      </w:r>
      <w:r w:rsidRPr="00610904">
        <w:rPr>
          <w:rFonts w:cs="Arial"/>
          <w:noProof w:val="0"/>
          <w:spacing w:val="-2"/>
          <w:sz w:val="16"/>
          <w:szCs w:val="16"/>
          <w:lang w:val="en-US"/>
        </w:rPr>
        <w:t xml:space="preserve"> and the viral load and CD4 were performed.</w:t>
      </w:r>
    </w:p>
    <w:p w:rsidR="00022F5E" w:rsidRPr="00610904" w:rsidRDefault="00022F5E" w:rsidP="00610904">
      <w:pPr>
        <w:autoSpaceDE w:val="0"/>
        <w:autoSpaceDN w:val="0"/>
        <w:adjustRightInd w:val="0"/>
        <w:ind w:right="835"/>
        <w:rPr>
          <w:rFonts w:cs="Arial"/>
          <w:noProof w:val="0"/>
          <w:spacing w:val="-2"/>
          <w:sz w:val="16"/>
          <w:szCs w:val="16"/>
          <w:lang w:val="en-US"/>
        </w:rPr>
      </w:pPr>
    </w:p>
    <w:p w:rsidR="00022F5E" w:rsidRPr="00610904" w:rsidRDefault="00402E60" w:rsidP="00610904">
      <w:pPr>
        <w:autoSpaceDE w:val="0"/>
        <w:autoSpaceDN w:val="0"/>
        <w:adjustRightInd w:val="0"/>
        <w:ind w:left="720" w:right="835"/>
        <w:rPr>
          <w:rFonts w:cs="Arial"/>
          <w:noProof w:val="0"/>
          <w:spacing w:val="-2"/>
          <w:sz w:val="16"/>
          <w:szCs w:val="16"/>
          <w:lang w:val="en-US"/>
        </w:rPr>
      </w:pPr>
      <w:r w:rsidRPr="00610904">
        <w:rPr>
          <w:rFonts w:cs="Arial"/>
          <w:noProof w:val="0"/>
          <w:spacing w:val="-2"/>
          <w:sz w:val="16"/>
          <w:szCs w:val="16"/>
          <w:lang w:val="en-US"/>
        </w:rPr>
        <w:t xml:space="preserve">She came to an appointment in June 2005, with symptoms of generalized macular and scaly lesions and </w:t>
      </w:r>
      <w:r w:rsidR="00856968" w:rsidRPr="00610904">
        <w:rPr>
          <w:rFonts w:cs="Arial"/>
          <w:noProof w:val="0"/>
          <w:spacing w:val="-2"/>
          <w:sz w:val="16"/>
          <w:szCs w:val="16"/>
          <w:lang w:val="en-US"/>
        </w:rPr>
        <w:t>diarrhea</w:t>
      </w:r>
      <w:r w:rsidRPr="00610904">
        <w:rPr>
          <w:rFonts w:cs="Arial"/>
          <w:noProof w:val="0"/>
          <w:spacing w:val="-2"/>
          <w:sz w:val="16"/>
          <w:szCs w:val="16"/>
          <w:lang w:val="en-US"/>
        </w:rPr>
        <w:t xml:space="preserve">, with occasional abdominal pain; it was decided to hospitalize her to </w:t>
      </w:r>
      <w:r w:rsidR="00856968" w:rsidRPr="00610904">
        <w:rPr>
          <w:rFonts w:cs="Arial"/>
          <w:noProof w:val="0"/>
          <w:spacing w:val="-2"/>
          <w:sz w:val="16"/>
          <w:szCs w:val="16"/>
          <w:lang w:val="en-US"/>
        </w:rPr>
        <w:t>being</w:t>
      </w:r>
      <w:r w:rsidRPr="00610904">
        <w:rPr>
          <w:rFonts w:cs="Arial"/>
          <w:noProof w:val="0"/>
          <w:spacing w:val="-2"/>
          <w:sz w:val="16"/>
          <w:szCs w:val="16"/>
          <w:lang w:val="en-US"/>
        </w:rPr>
        <w:t xml:space="preserve"> antiretroviral treatment because the results of her last test had been CD4 at 236 and viral load at 38,946. While at the hospital, the dermatological </w:t>
      </w:r>
      <w:r w:rsidR="00856968" w:rsidRPr="00610904">
        <w:rPr>
          <w:rFonts w:cs="Arial"/>
          <w:noProof w:val="0"/>
          <w:spacing w:val="-2"/>
          <w:sz w:val="16"/>
          <w:szCs w:val="16"/>
          <w:lang w:val="en-US"/>
        </w:rPr>
        <w:t>diagnosis</w:t>
      </w:r>
      <w:r w:rsidRPr="00610904">
        <w:rPr>
          <w:rFonts w:cs="Arial"/>
          <w:noProof w:val="0"/>
          <w:spacing w:val="-2"/>
          <w:sz w:val="16"/>
          <w:szCs w:val="16"/>
          <w:lang w:val="en-US"/>
        </w:rPr>
        <w:t xml:space="preserve"> was simple acute prurigo due to HIV. Treatment was started with  </w:t>
      </w:r>
      <w:r w:rsidR="00022F5E" w:rsidRPr="00610904">
        <w:rPr>
          <w:rFonts w:cs="Arial"/>
          <w:noProof w:val="0"/>
          <w:spacing w:val="-2"/>
          <w:sz w:val="16"/>
          <w:szCs w:val="16"/>
          <w:lang w:val="en-US"/>
        </w:rPr>
        <w:t>AZT, 3TC</w:t>
      </w:r>
      <w:r w:rsidR="009F3D78" w:rsidRPr="00610904">
        <w:rPr>
          <w:rFonts w:cs="Arial"/>
          <w:noProof w:val="0"/>
          <w:spacing w:val="-2"/>
          <w:sz w:val="16"/>
          <w:szCs w:val="16"/>
          <w:lang w:val="en-US"/>
        </w:rPr>
        <w:t xml:space="preserve"> and </w:t>
      </w:r>
      <w:r w:rsidR="00022F5E" w:rsidRPr="00610904">
        <w:rPr>
          <w:rFonts w:cs="Arial"/>
          <w:noProof w:val="0"/>
          <w:spacing w:val="-2"/>
          <w:sz w:val="16"/>
          <w:szCs w:val="16"/>
          <w:lang w:val="en-US"/>
        </w:rPr>
        <w:t xml:space="preserve">Nelfinavir, </w:t>
      </w:r>
      <w:r w:rsidRPr="00610904">
        <w:rPr>
          <w:rFonts w:cs="Arial"/>
          <w:noProof w:val="0"/>
          <w:spacing w:val="-2"/>
          <w:sz w:val="16"/>
          <w:szCs w:val="16"/>
          <w:lang w:val="en-US"/>
        </w:rPr>
        <w:t xml:space="preserve">first-line therapy, based on </w:t>
      </w:r>
      <w:r w:rsidRPr="00610904">
        <w:rPr>
          <w:noProof w:val="0"/>
          <w:sz w:val="16"/>
          <w:szCs w:val="16"/>
          <w:lang w:val="en-US"/>
        </w:rPr>
        <w:t>protease inhibitors, according to national and international guidelines; there was no indication of</w:t>
      </w:r>
      <w:r w:rsidR="00FB1B4D" w:rsidRPr="00610904">
        <w:rPr>
          <w:noProof w:val="0"/>
          <w:sz w:val="16"/>
          <w:szCs w:val="16"/>
          <w:lang w:val="en-US"/>
        </w:rPr>
        <w:t xml:space="preserve"> non-nucleosides</w:t>
      </w:r>
      <w:r w:rsidRPr="00610904">
        <w:rPr>
          <w:rFonts w:cs="Arial"/>
          <w:noProof w:val="0"/>
          <w:spacing w:val="-2"/>
          <w:sz w:val="16"/>
          <w:szCs w:val="16"/>
          <w:lang w:val="en-US"/>
        </w:rPr>
        <w:t xml:space="preserve"> because she had active skin lesions; since then the patient has been controlled every six months, in keeping with the protocol in force. During these controls, hematic biometry, blood chemistry, and EMO are performed. </w:t>
      </w:r>
      <w:r w:rsidR="00FB1B4D" w:rsidRPr="00610904">
        <w:rPr>
          <w:rFonts w:cs="Arial"/>
          <w:noProof w:val="0"/>
          <w:spacing w:val="-2"/>
          <w:sz w:val="16"/>
          <w:szCs w:val="16"/>
          <w:lang w:val="en-US"/>
        </w:rPr>
        <w:t>Following her next control, s</w:t>
      </w:r>
      <w:r w:rsidRPr="00610904">
        <w:rPr>
          <w:rFonts w:cs="Arial"/>
          <w:noProof w:val="0"/>
          <w:spacing w:val="-2"/>
          <w:sz w:val="16"/>
          <w:szCs w:val="16"/>
          <w:lang w:val="en-US"/>
        </w:rPr>
        <w:t xml:space="preserve">he remained with an undetectable viral load in </w:t>
      </w:r>
      <w:r w:rsidR="00022F5E" w:rsidRPr="00610904">
        <w:rPr>
          <w:rFonts w:cs="Arial"/>
          <w:noProof w:val="0"/>
          <w:spacing w:val="-2"/>
          <w:sz w:val="16"/>
          <w:szCs w:val="16"/>
          <w:lang w:val="en-US"/>
        </w:rPr>
        <w:t>2005, 2006, 2007, 2008, 2009, 2010, 2011</w:t>
      </w:r>
      <w:r w:rsidR="009F3D78" w:rsidRPr="00610904">
        <w:rPr>
          <w:rFonts w:cs="Arial"/>
          <w:noProof w:val="0"/>
          <w:spacing w:val="-2"/>
          <w:sz w:val="16"/>
          <w:szCs w:val="16"/>
          <w:lang w:val="en-US"/>
        </w:rPr>
        <w:t xml:space="preserve"> and </w:t>
      </w:r>
      <w:r w:rsidR="00022F5E" w:rsidRPr="00610904">
        <w:rPr>
          <w:rFonts w:cs="Arial"/>
          <w:noProof w:val="0"/>
          <w:spacing w:val="-2"/>
          <w:sz w:val="16"/>
          <w:szCs w:val="16"/>
          <w:lang w:val="en-US"/>
        </w:rPr>
        <w:t>2012.</w:t>
      </w:r>
    </w:p>
    <w:p w:rsidR="00022F5E" w:rsidRPr="00610904" w:rsidRDefault="00022F5E" w:rsidP="00610904">
      <w:pPr>
        <w:autoSpaceDE w:val="0"/>
        <w:autoSpaceDN w:val="0"/>
        <w:adjustRightInd w:val="0"/>
        <w:ind w:left="720" w:right="835"/>
        <w:rPr>
          <w:rFonts w:cs="Arial"/>
          <w:noProof w:val="0"/>
          <w:spacing w:val="-2"/>
          <w:sz w:val="16"/>
          <w:szCs w:val="16"/>
          <w:lang w:val="en-US"/>
        </w:rPr>
      </w:pPr>
    </w:p>
    <w:p w:rsidR="00022F5E" w:rsidRPr="00610904" w:rsidRDefault="00402E60" w:rsidP="00610904">
      <w:pPr>
        <w:ind w:left="720" w:right="828"/>
        <w:rPr>
          <w:noProof w:val="0"/>
          <w:lang w:val="en-US"/>
        </w:rPr>
      </w:pPr>
      <w:r w:rsidRPr="00610904">
        <w:rPr>
          <w:rFonts w:cs="Arial"/>
          <w:noProof w:val="0"/>
          <w:spacing w:val="-2"/>
          <w:sz w:val="16"/>
          <w:szCs w:val="16"/>
          <w:lang w:val="en-US"/>
        </w:rPr>
        <w:t>In</w:t>
      </w:r>
      <w:r w:rsidR="00022F5E" w:rsidRPr="00610904">
        <w:rPr>
          <w:rFonts w:cs="Arial"/>
          <w:noProof w:val="0"/>
          <w:spacing w:val="-2"/>
          <w:sz w:val="16"/>
          <w:szCs w:val="16"/>
          <w:lang w:val="en-US"/>
        </w:rPr>
        <w:t xml:space="preserve"> 2007 </w:t>
      </w:r>
      <w:r w:rsidR="00A1191E" w:rsidRPr="00610904">
        <w:rPr>
          <w:rFonts w:cs="Arial"/>
          <w:noProof w:val="0"/>
          <w:spacing w:val="-2"/>
          <w:sz w:val="16"/>
          <w:szCs w:val="16"/>
          <w:lang w:val="en-US"/>
        </w:rPr>
        <w:t>the antiretroviral</w:t>
      </w:r>
      <w:r w:rsidR="00022F5E" w:rsidRPr="00610904">
        <w:rPr>
          <w:rFonts w:cs="Arial"/>
          <w:noProof w:val="0"/>
          <w:spacing w:val="-2"/>
          <w:sz w:val="16"/>
          <w:szCs w:val="16"/>
          <w:lang w:val="en-US"/>
        </w:rPr>
        <w:t xml:space="preserve"> t</w:t>
      </w:r>
      <w:r w:rsidR="00A1191E" w:rsidRPr="00610904">
        <w:rPr>
          <w:rFonts w:cs="Arial"/>
          <w:noProof w:val="0"/>
          <w:spacing w:val="-2"/>
          <w:sz w:val="16"/>
          <w:szCs w:val="16"/>
          <w:lang w:val="en-US"/>
        </w:rPr>
        <w:t xml:space="preserve">herapy was changed to </w:t>
      </w:r>
      <w:r w:rsidR="00022F5E" w:rsidRPr="00610904">
        <w:rPr>
          <w:rFonts w:cs="Arial"/>
          <w:noProof w:val="0"/>
          <w:spacing w:val="-2"/>
          <w:sz w:val="16"/>
          <w:szCs w:val="16"/>
          <w:lang w:val="en-US"/>
        </w:rPr>
        <w:t>AZT, 3TC</w:t>
      </w:r>
      <w:r w:rsidR="009F3D78" w:rsidRPr="00610904">
        <w:rPr>
          <w:rFonts w:cs="Arial"/>
          <w:noProof w:val="0"/>
          <w:spacing w:val="-2"/>
          <w:sz w:val="16"/>
          <w:szCs w:val="16"/>
          <w:lang w:val="en-US"/>
        </w:rPr>
        <w:t xml:space="preserve"> and </w:t>
      </w:r>
      <w:r w:rsidR="00022F5E" w:rsidRPr="00610904">
        <w:rPr>
          <w:rFonts w:cs="Arial"/>
          <w:noProof w:val="0"/>
          <w:spacing w:val="-2"/>
          <w:sz w:val="16"/>
          <w:szCs w:val="16"/>
          <w:lang w:val="en-US"/>
        </w:rPr>
        <w:t>Efavirenz</w:t>
      </w:r>
      <w:r w:rsidR="00A1191E" w:rsidRPr="00610904">
        <w:rPr>
          <w:rFonts w:cs="Arial"/>
          <w:noProof w:val="0"/>
          <w:spacing w:val="-2"/>
          <w:sz w:val="16"/>
          <w:szCs w:val="16"/>
          <w:lang w:val="en-US"/>
        </w:rPr>
        <w:t xml:space="preserve">, because the global distribution of </w:t>
      </w:r>
      <w:r w:rsidR="00022F5E" w:rsidRPr="00610904">
        <w:rPr>
          <w:rFonts w:cs="Arial"/>
          <w:noProof w:val="0"/>
          <w:spacing w:val="-2"/>
          <w:sz w:val="16"/>
          <w:szCs w:val="16"/>
          <w:lang w:val="en-US"/>
        </w:rPr>
        <w:t>Nefinavir</w:t>
      </w:r>
      <w:r w:rsidR="00A1191E" w:rsidRPr="00610904">
        <w:rPr>
          <w:rFonts w:cs="Arial"/>
          <w:noProof w:val="0"/>
          <w:spacing w:val="-2"/>
          <w:sz w:val="16"/>
          <w:szCs w:val="16"/>
          <w:lang w:val="en-US"/>
        </w:rPr>
        <w:t xml:space="preserve"> had been suspended</w:t>
      </w:r>
      <w:r w:rsidR="00022F5E" w:rsidRPr="00610904">
        <w:rPr>
          <w:rFonts w:cs="Arial"/>
          <w:noProof w:val="0"/>
          <w:spacing w:val="-2"/>
          <w:sz w:val="16"/>
          <w:szCs w:val="16"/>
          <w:lang w:val="en-US"/>
        </w:rPr>
        <w:t xml:space="preserve">. </w:t>
      </w:r>
      <w:r w:rsidR="00A1191E" w:rsidRPr="00610904">
        <w:rPr>
          <w:rFonts w:cs="Arial"/>
          <w:noProof w:val="0"/>
          <w:spacing w:val="-2"/>
          <w:sz w:val="16"/>
          <w:szCs w:val="16"/>
          <w:lang w:val="en-US"/>
        </w:rPr>
        <w:t xml:space="preserve">Since then, the patient has not required any change in the antiretroviral therapy. She has not suffered from </w:t>
      </w:r>
      <w:r w:rsidR="00856968" w:rsidRPr="00610904">
        <w:rPr>
          <w:rFonts w:cs="Arial"/>
          <w:noProof w:val="0"/>
          <w:spacing w:val="-2"/>
          <w:sz w:val="16"/>
          <w:szCs w:val="16"/>
          <w:lang w:val="en-US"/>
        </w:rPr>
        <w:t>opportunistic</w:t>
      </w:r>
      <w:r w:rsidR="00A1191E" w:rsidRPr="00610904">
        <w:rPr>
          <w:rFonts w:cs="Arial"/>
          <w:noProof w:val="0"/>
          <w:spacing w:val="-2"/>
          <w:sz w:val="16"/>
          <w:szCs w:val="16"/>
          <w:lang w:val="en-US"/>
        </w:rPr>
        <w:t xml:space="preserve"> infections so that she has not required further hospitalization; she has remained </w:t>
      </w:r>
      <w:r w:rsidR="00856968" w:rsidRPr="00610904">
        <w:rPr>
          <w:rFonts w:cs="Arial"/>
          <w:noProof w:val="0"/>
          <w:spacing w:val="-2"/>
          <w:sz w:val="16"/>
          <w:szCs w:val="16"/>
          <w:lang w:val="en-US"/>
        </w:rPr>
        <w:t>asymptomatic</w:t>
      </w:r>
      <w:r w:rsidR="00A1191E" w:rsidRPr="00610904">
        <w:rPr>
          <w:rFonts w:cs="Arial"/>
          <w:noProof w:val="0"/>
          <w:spacing w:val="-2"/>
          <w:sz w:val="16"/>
          <w:szCs w:val="16"/>
          <w:lang w:val="en-US"/>
        </w:rPr>
        <w:t xml:space="preserve"> in most of the control visits (see </w:t>
      </w:r>
      <w:r w:rsidR="00A31E5C" w:rsidRPr="00610904">
        <w:rPr>
          <w:rFonts w:cs="Arial"/>
          <w:noProof w:val="0"/>
          <w:spacing w:val="-2"/>
          <w:sz w:val="16"/>
          <w:szCs w:val="16"/>
          <w:lang w:val="en-US"/>
        </w:rPr>
        <w:t>Medical Record</w:t>
      </w:r>
      <w:r w:rsidR="00022F5E" w:rsidRPr="00610904">
        <w:rPr>
          <w:rFonts w:cs="Arial"/>
          <w:noProof w:val="0"/>
          <w:spacing w:val="-2"/>
          <w:sz w:val="16"/>
          <w:szCs w:val="16"/>
          <w:lang w:val="en-US"/>
        </w:rPr>
        <w:t>)</w:t>
      </w:r>
      <w:r w:rsidR="00A1191E" w:rsidRPr="00610904">
        <w:rPr>
          <w:rFonts w:cs="Arial"/>
          <w:noProof w:val="0"/>
          <w:spacing w:val="-2"/>
          <w:sz w:val="16"/>
          <w:szCs w:val="16"/>
          <w:lang w:val="en-US"/>
        </w:rPr>
        <w:t>; her constant problem has been de</w:t>
      </w:r>
      <w:r w:rsidR="00FB1B4D" w:rsidRPr="00610904">
        <w:rPr>
          <w:rFonts w:cs="Arial"/>
          <w:noProof w:val="0"/>
          <w:spacing w:val="-2"/>
          <w:sz w:val="16"/>
          <w:szCs w:val="16"/>
          <w:lang w:val="en-US"/>
        </w:rPr>
        <w:t>r</w:t>
      </w:r>
      <w:r w:rsidR="00A1191E" w:rsidRPr="00610904">
        <w:rPr>
          <w:rFonts w:cs="Arial"/>
          <w:noProof w:val="0"/>
          <w:spacing w:val="-2"/>
          <w:sz w:val="16"/>
          <w:szCs w:val="16"/>
          <w:lang w:val="en-US"/>
        </w:rPr>
        <w:t xml:space="preserve">matological owing to the simple acute prurigo which, according to the literature, is always difficult to control. This has been treated with </w:t>
      </w:r>
      <w:r w:rsidR="00022F5E" w:rsidRPr="00610904">
        <w:rPr>
          <w:rFonts w:cs="Arial"/>
          <w:noProof w:val="0"/>
          <w:spacing w:val="-2"/>
          <w:sz w:val="16"/>
          <w:szCs w:val="16"/>
          <w:lang w:val="en-US"/>
        </w:rPr>
        <w:t>pentoxifilina</w:t>
      </w:r>
      <w:r w:rsidR="009F3D78" w:rsidRPr="00610904">
        <w:rPr>
          <w:rFonts w:cs="Arial"/>
          <w:noProof w:val="0"/>
          <w:spacing w:val="-2"/>
          <w:sz w:val="16"/>
          <w:szCs w:val="16"/>
          <w:lang w:val="en-US"/>
        </w:rPr>
        <w:t xml:space="preserve"> and </w:t>
      </w:r>
      <w:r w:rsidR="00A1191E" w:rsidRPr="00610904">
        <w:rPr>
          <w:rFonts w:cs="Arial"/>
          <w:noProof w:val="0"/>
          <w:spacing w:val="-2"/>
          <w:sz w:val="16"/>
          <w:szCs w:val="16"/>
          <w:lang w:val="en-US"/>
        </w:rPr>
        <w:t xml:space="preserve">topical </w:t>
      </w:r>
      <w:r w:rsidR="00A1191E" w:rsidRPr="00610904">
        <w:rPr>
          <w:bCs/>
          <w:noProof w:val="0"/>
          <w:sz w:val="16"/>
          <w:szCs w:val="16"/>
          <w:lang w:val="en-US"/>
        </w:rPr>
        <w:t>corticosteroids</w:t>
      </w:r>
      <w:r w:rsidR="00022F5E" w:rsidRPr="00610904">
        <w:rPr>
          <w:rFonts w:cs="Arial"/>
          <w:noProof w:val="0"/>
          <w:spacing w:val="-2"/>
          <w:sz w:val="16"/>
          <w:szCs w:val="16"/>
          <w:lang w:val="en-US"/>
        </w:rPr>
        <w:t xml:space="preserve">. </w:t>
      </w:r>
      <w:r w:rsidR="00A1191E" w:rsidRPr="00610904">
        <w:rPr>
          <w:rFonts w:cs="Arial"/>
          <w:noProof w:val="0"/>
          <w:spacing w:val="-2"/>
          <w:sz w:val="16"/>
          <w:szCs w:val="16"/>
          <w:lang w:val="en-US"/>
        </w:rPr>
        <w:t>According to the system, her last visit was in 2013, when she was evaluated and tests were requested</w:t>
      </w:r>
      <w:r w:rsidR="00022F5E" w:rsidRPr="00610904">
        <w:rPr>
          <w:rFonts w:cs="Arial"/>
          <w:noProof w:val="0"/>
          <w:spacing w:val="-2"/>
          <w:sz w:val="16"/>
          <w:szCs w:val="16"/>
          <w:lang w:val="en-US"/>
        </w:rPr>
        <w:t xml:space="preserve">. […] </w:t>
      </w:r>
      <w:r w:rsidR="00A1191E" w:rsidRPr="00610904">
        <w:rPr>
          <w:rFonts w:cs="Arial"/>
          <w:noProof w:val="0"/>
          <w:spacing w:val="-2"/>
          <w:sz w:val="16"/>
          <w:szCs w:val="16"/>
          <w:lang w:val="en-US"/>
        </w:rPr>
        <w:t>The patient’s condition over these years has been that of an HIV-carrier, with an undetectable viral load, and as a complication she has suffered from simple acute prurigo, which leaves scars on the skin.</w:t>
      </w:r>
      <w:r w:rsidR="00022F5E" w:rsidRPr="00610904">
        <w:rPr>
          <w:rStyle w:val="FootnoteReference"/>
          <w:noProof w:val="0"/>
          <w:spacing w:val="-2"/>
          <w:sz w:val="16"/>
          <w:lang w:val="en-US"/>
        </w:rPr>
        <w:footnoteReference w:id="187"/>
      </w:r>
    </w:p>
    <w:p w:rsidR="00022F5E" w:rsidRPr="00610904" w:rsidRDefault="00022F5E" w:rsidP="00610904">
      <w:pPr>
        <w:rPr>
          <w:noProof w:val="0"/>
          <w:lang w:val="en-US"/>
        </w:rPr>
      </w:pPr>
    </w:p>
    <w:p w:rsidR="00022F5E" w:rsidRPr="00610904" w:rsidRDefault="00A1191E" w:rsidP="00610904">
      <w:pPr>
        <w:pStyle w:val="Heading2"/>
        <w:rPr>
          <w:noProof w:val="0"/>
          <w:lang w:val="en-US"/>
        </w:rPr>
      </w:pPr>
      <w:bookmarkStart w:id="91" w:name="_Toc443399097"/>
      <w:r w:rsidRPr="00610904">
        <w:rPr>
          <w:noProof w:val="0"/>
          <w:lang w:val="en-US"/>
        </w:rPr>
        <w:t>Situation of poverty faced by the Lluy family</w:t>
      </w:r>
      <w:bookmarkEnd w:id="91"/>
    </w:p>
    <w:p w:rsidR="00022F5E" w:rsidRPr="00610904" w:rsidRDefault="00022F5E" w:rsidP="00610904">
      <w:pPr>
        <w:rPr>
          <w:noProof w:val="0"/>
          <w:lang w:val="en-US"/>
        </w:rPr>
      </w:pPr>
    </w:p>
    <w:p w:rsidR="004918A1" w:rsidRPr="00610904" w:rsidRDefault="00A1191E" w:rsidP="00610904">
      <w:pPr>
        <w:numPr>
          <w:ilvl w:val="0"/>
          <w:numId w:val="1"/>
        </w:numPr>
        <w:rPr>
          <w:noProof w:val="0"/>
          <w:lang w:val="en-US"/>
        </w:rPr>
      </w:pPr>
      <w:r w:rsidRPr="00610904">
        <w:rPr>
          <w:rFonts w:cs="Arial"/>
          <w:noProof w:val="0"/>
          <w:lang w:val="en-US"/>
        </w:rPr>
        <w:t xml:space="preserve">It has been mentioned previously that </w:t>
      </w:r>
      <w:r w:rsidR="00022F5E" w:rsidRPr="00610904">
        <w:rPr>
          <w:rFonts w:cs="Arial"/>
          <w:noProof w:val="0"/>
          <w:lang w:val="en-US"/>
        </w:rPr>
        <w:t xml:space="preserve">Teresa Lluy </w:t>
      </w:r>
      <w:r w:rsidRPr="00610904">
        <w:rPr>
          <w:rFonts w:cs="Arial"/>
          <w:noProof w:val="0"/>
          <w:lang w:val="en-US"/>
        </w:rPr>
        <w:t>was granted a w</w:t>
      </w:r>
      <w:r w:rsidR="003A67CA" w:rsidRPr="00610904">
        <w:rPr>
          <w:rFonts w:cs="Arial"/>
          <w:noProof w:val="0"/>
          <w:lang w:val="en-US"/>
        </w:rPr>
        <w:t>aiver of court costs</w:t>
      </w:r>
      <w:r w:rsidR="00022F5E" w:rsidRPr="00610904">
        <w:rPr>
          <w:rFonts w:cs="Arial"/>
          <w:noProof w:val="0"/>
          <w:lang w:val="en-US"/>
        </w:rPr>
        <w:t xml:space="preserve"> </w:t>
      </w:r>
      <w:r w:rsidRPr="00610904">
        <w:rPr>
          <w:rFonts w:cs="Arial"/>
          <w:noProof w:val="0"/>
          <w:lang w:val="en-US"/>
        </w:rPr>
        <w:t xml:space="preserve">so that she could file </w:t>
      </w:r>
      <w:r w:rsidR="00A8072E" w:rsidRPr="00610904">
        <w:rPr>
          <w:rFonts w:cs="Arial"/>
          <w:noProof w:val="0"/>
          <w:lang w:val="en-US"/>
        </w:rPr>
        <w:t>the civil action</w:t>
      </w:r>
      <w:r w:rsidR="00022F5E" w:rsidRPr="00610904">
        <w:rPr>
          <w:rFonts w:cs="Arial"/>
          <w:noProof w:val="0"/>
          <w:lang w:val="en-US"/>
        </w:rPr>
        <w:t xml:space="preserve"> </w:t>
      </w:r>
      <w:r w:rsidRPr="00610904">
        <w:rPr>
          <w:rFonts w:cs="Arial"/>
          <w:noProof w:val="0"/>
          <w:lang w:val="en-US"/>
        </w:rPr>
        <w:t xml:space="preserve">for damages </w:t>
      </w:r>
      <w:r w:rsidR="00022F5E" w:rsidRPr="00610904">
        <w:rPr>
          <w:rFonts w:cs="Arial"/>
          <w:noProof w:val="0"/>
          <w:lang w:val="en-US"/>
        </w:rPr>
        <w:t>(</w:t>
      </w:r>
      <w:r w:rsidR="00022F5E" w:rsidRPr="00610904">
        <w:rPr>
          <w:rFonts w:cs="Arial"/>
          <w:i/>
          <w:noProof w:val="0"/>
          <w:lang w:val="en-US"/>
        </w:rPr>
        <w:t xml:space="preserve">supra </w:t>
      </w:r>
      <w:r w:rsidR="006E502B" w:rsidRPr="00610904">
        <w:rPr>
          <w:rFonts w:cs="Arial"/>
          <w:noProof w:val="0"/>
          <w:lang w:val="en-US"/>
        </w:rPr>
        <w:t>para.</w:t>
      </w:r>
      <w:r w:rsidR="006262D4" w:rsidRPr="00610904">
        <w:rPr>
          <w:rFonts w:cs="Arial"/>
          <w:noProof w:val="0"/>
          <w:lang w:val="en-US"/>
        </w:rPr>
        <w:t xml:space="preserve"> 120</w:t>
      </w:r>
      <w:r w:rsidR="00022F5E" w:rsidRPr="00610904">
        <w:rPr>
          <w:rFonts w:cs="Arial"/>
          <w:noProof w:val="0"/>
          <w:lang w:val="en-US"/>
        </w:rPr>
        <w:t xml:space="preserve">). </w:t>
      </w:r>
      <w:r w:rsidRPr="00610904">
        <w:rPr>
          <w:rFonts w:cs="Arial"/>
          <w:noProof w:val="0"/>
          <w:lang w:val="en-US"/>
        </w:rPr>
        <w:t xml:space="preserve">Also, in addition to work-related difficulties, </w:t>
      </w:r>
      <w:r w:rsidR="00022F5E" w:rsidRPr="00610904">
        <w:rPr>
          <w:rFonts w:cs="Arial"/>
          <w:noProof w:val="0"/>
          <w:lang w:val="en-US"/>
        </w:rPr>
        <w:t xml:space="preserve">Teresa Lluy </w:t>
      </w:r>
      <w:r w:rsidR="0056398E" w:rsidRPr="00610904">
        <w:rPr>
          <w:rFonts w:cs="Arial"/>
          <w:noProof w:val="0"/>
          <w:lang w:val="en-US"/>
        </w:rPr>
        <w:t>described</w:t>
      </w:r>
      <w:r w:rsidRPr="00610904">
        <w:rPr>
          <w:rFonts w:cs="Arial"/>
          <w:noProof w:val="0"/>
          <w:lang w:val="en-US"/>
        </w:rPr>
        <w:t xml:space="preserve"> how, on several occasions, her daughter and her family “ha[d] been victims of the most cruel discrimination, because they ha[d] been prevented from [having] their own home.</w:t>
      </w:r>
      <w:r w:rsidR="00022F5E" w:rsidRPr="00610904">
        <w:rPr>
          <w:rFonts w:cs="Arial"/>
          <w:noProof w:val="0"/>
          <w:lang w:val="en-US"/>
        </w:rPr>
        <w:t>”</w:t>
      </w:r>
      <w:r w:rsidR="00022F5E" w:rsidRPr="00610904">
        <w:rPr>
          <w:rStyle w:val="FootnoteReference"/>
          <w:noProof w:val="0"/>
          <w:lang w:val="en-US"/>
        </w:rPr>
        <w:footnoteReference w:id="188"/>
      </w:r>
      <w:r w:rsidRPr="00610904">
        <w:rPr>
          <w:rFonts w:cs="Arial"/>
          <w:noProof w:val="0"/>
          <w:lang w:val="en-US"/>
        </w:rPr>
        <w:t xml:space="preserve"> According to the testimony of </w:t>
      </w:r>
      <w:r w:rsidR="00022F5E" w:rsidRPr="00610904">
        <w:rPr>
          <w:noProof w:val="0"/>
          <w:szCs w:val="20"/>
          <w:lang w:val="en-US"/>
        </w:rPr>
        <w:t>Talía</w:t>
      </w:r>
      <w:r w:rsidR="009F3D78" w:rsidRPr="00610904">
        <w:rPr>
          <w:rFonts w:cs="Arial"/>
          <w:noProof w:val="0"/>
          <w:lang w:val="en-US"/>
        </w:rPr>
        <w:t xml:space="preserve"> and </w:t>
      </w:r>
      <w:r w:rsidRPr="00610904">
        <w:rPr>
          <w:rFonts w:cs="Arial"/>
          <w:noProof w:val="0"/>
          <w:lang w:val="en-US"/>
        </w:rPr>
        <w:t xml:space="preserve">her family, they were obliged to move on numerous occasions owing to the exclusion and rejection they suffered because of Talía’s condition, and they were forced to live in unfavorable conditions and in isolated places, because they could not find anywhere where someone </w:t>
      </w:r>
      <w:r w:rsidR="00D33231" w:rsidRPr="00610904">
        <w:rPr>
          <w:rFonts w:cs="Arial"/>
          <w:noProof w:val="0"/>
          <w:lang w:val="en-US"/>
        </w:rPr>
        <w:t>would lease</w:t>
      </w:r>
      <w:r w:rsidRPr="00610904">
        <w:rPr>
          <w:rFonts w:cs="Arial"/>
          <w:noProof w:val="0"/>
          <w:lang w:val="en-US"/>
        </w:rPr>
        <w:t xml:space="preserve"> them a place to live.</w:t>
      </w:r>
      <w:r w:rsidR="00022F5E" w:rsidRPr="00610904">
        <w:rPr>
          <w:rStyle w:val="FootnoteReference"/>
          <w:noProof w:val="0"/>
          <w:lang w:val="en-US"/>
        </w:rPr>
        <w:footnoteReference w:id="189"/>
      </w:r>
    </w:p>
    <w:p w:rsidR="00052B9D" w:rsidRPr="00610904" w:rsidRDefault="00052B9D" w:rsidP="00610904">
      <w:pPr>
        <w:pStyle w:val="MediumGrid1-Accent21"/>
        <w:ind w:left="0"/>
        <w:contextualSpacing w:val="0"/>
        <w:rPr>
          <w:noProof w:val="0"/>
          <w:lang w:val="en-US"/>
        </w:rPr>
      </w:pPr>
    </w:p>
    <w:p w:rsidR="00D839BE" w:rsidRPr="00610904" w:rsidRDefault="00D839BE" w:rsidP="00610904">
      <w:pPr>
        <w:pStyle w:val="Heading1"/>
        <w:spacing w:before="0" w:after="0"/>
        <w:rPr>
          <w:noProof w:val="0"/>
          <w:lang w:val="en-US"/>
        </w:rPr>
      </w:pPr>
      <w:bookmarkStart w:id="92" w:name="_Toc429519499"/>
      <w:bookmarkStart w:id="93" w:name="_Toc443399098"/>
      <w:bookmarkStart w:id="94" w:name="_Toc416164815"/>
      <w:r w:rsidRPr="00610904">
        <w:rPr>
          <w:noProof w:val="0"/>
          <w:lang w:val="en-US"/>
        </w:rPr>
        <w:t>IX</w:t>
      </w:r>
      <w:r w:rsidRPr="00610904">
        <w:rPr>
          <w:noProof w:val="0"/>
          <w:lang w:val="en-US"/>
        </w:rPr>
        <w:br/>
      </w:r>
      <w:r w:rsidR="005C27CD" w:rsidRPr="00610904">
        <w:rPr>
          <w:noProof w:val="0"/>
          <w:lang w:val="en-US"/>
        </w:rPr>
        <w:t>RIGHT TO LIFE AND RIGHT TO PERSONAL INTEGRITY</w:t>
      </w:r>
      <w:bookmarkEnd w:id="92"/>
      <w:bookmarkEnd w:id="93"/>
    </w:p>
    <w:p w:rsidR="00D839BE" w:rsidRPr="00610904" w:rsidRDefault="00D839BE" w:rsidP="00610904">
      <w:pPr>
        <w:rPr>
          <w:noProof w:val="0"/>
          <w:lang w:val="en-US"/>
        </w:rPr>
      </w:pPr>
    </w:p>
    <w:p w:rsidR="00D839BE" w:rsidRPr="00610904" w:rsidRDefault="00223622" w:rsidP="00610904">
      <w:pPr>
        <w:ind w:left="720"/>
        <w:rPr>
          <w:b/>
          <w:i/>
          <w:noProof w:val="0"/>
          <w:lang w:val="en-US"/>
        </w:rPr>
      </w:pPr>
      <w:bookmarkStart w:id="95" w:name="_Toc406615300"/>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bookmarkEnd w:id="95"/>
      <w:r w:rsidR="0013395A" w:rsidRPr="00610904">
        <w:rPr>
          <w:i/>
          <w:noProof w:val="0"/>
          <w:lang w:val="en-US"/>
        </w:rPr>
        <w:t>and of the parties</w:t>
      </w:r>
    </w:p>
    <w:p w:rsidR="00D839BE" w:rsidRPr="00610904" w:rsidRDefault="00D839BE" w:rsidP="00610904">
      <w:pPr>
        <w:rPr>
          <w:noProof w:val="0"/>
          <w:lang w:val="en-US"/>
        </w:rPr>
      </w:pPr>
    </w:p>
    <w:p w:rsidR="00163F7F" w:rsidRPr="00610904" w:rsidRDefault="002F5BBA" w:rsidP="00610904">
      <w:pPr>
        <w:numPr>
          <w:ilvl w:val="0"/>
          <w:numId w:val="1"/>
        </w:numPr>
        <w:rPr>
          <w:noProof w:val="0"/>
          <w:lang w:val="en-US"/>
        </w:rPr>
      </w:pPr>
      <w:r w:rsidRPr="00610904">
        <w:rPr>
          <w:rFonts w:cs="Arial"/>
          <w:noProof w:val="0"/>
          <w:lang w:val="en-US"/>
        </w:rPr>
        <w:t>The Commission</w:t>
      </w:r>
      <w:r w:rsidR="00D839BE" w:rsidRPr="00610904">
        <w:rPr>
          <w:rFonts w:cs="Arial"/>
          <w:noProof w:val="0"/>
          <w:lang w:val="en-US"/>
        </w:rPr>
        <w:t xml:space="preserve"> </w:t>
      </w:r>
      <w:r w:rsidR="00856968" w:rsidRPr="00610904">
        <w:rPr>
          <w:rFonts w:cs="Arial"/>
          <w:noProof w:val="0"/>
          <w:lang w:val="en-US"/>
        </w:rPr>
        <w:t>analyzed</w:t>
      </w:r>
      <w:r w:rsidR="00A22D50" w:rsidRPr="00610904">
        <w:rPr>
          <w:rFonts w:cs="Arial"/>
          <w:noProof w:val="0"/>
          <w:lang w:val="en-US"/>
        </w:rPr>
        <w:t xml:space="preserve"> the case in light of the relationship between human health and the right</w:t>
      </w:r>
      <w:r w:rsidR="00AD4ADC" w:rsidRPr="00610904">
        <w:rPr>
          <w:rFonts w:cs="Arial"/>
          <w:noProof w:val="0"/>
          <w:lang w:val="en-US"/>
        </w:rPr>
        <w:t>s</w:t>
      </w:r>
      <w:r w:rsidR="00A22D50" w:rsidRPr="00610904">
        <w:rPr>
          <w:rFonts w:cs="Arial"/>
          <w:noProof w:val="0"/>
          <w:lang w:val="en-US"/>
        </w:rPr>
        <w:t xml:space="preserve"> to a decent life and to personal integrity. In this regard, it observed that, from th</w:t>
      </w:r>
      <w:r w:rsidR="00163F7F" w:rsidRPr="00610904">
        <w:rPr>
          <w:rFonts w:cs="Arial"/>
          <w:noProof w:val="0"/>
          <w:lang w:val="en-US"/>
        </w:rPr>
        <w:t xml:space="preserve">e time </w:t>
      </w:r>
      <w:r w:rsidR="00AD4ADC" w:rsidRPr="00610904">
        <w:rPr>
          <w:rFonts w:cs="Arial"/>
          <w:noProof w:val="0"/>
          <w:lang w:val="en-US"/>
        </w:rPr>
        <w:t>the</w:t>
      </w:r>
      <w:r w:rsidR="00163F7F" w:rsidRPr="00610904">
        <w:rPr>
          <w:rFonts w:cs="Arial"/>
          <w:noProof w:val="0"/>
          <w:lang w:val="en-US"/>
        </w:rPr>
        <w:t xml:space="preserve"> criminal complaint </w:t>
      </w:r>
      <w:r w:rsidR="00AD4ADC" w:rsidRPr="00610904">
        <w:rPr>
          <w:rFonts w:cs="Arial"/>
          <w:noProof w:val="0"/>
          <w:lang w:val="en-US"/>
        </w:rPr>
        <w:t>was</w:t>
      </w:r>
      <w:r w:rsidR="00163F7F" w:rsidRPr="00610904">
        <w:rPr>
          <w:rFonts w:cs="Arial"/>
          <w:noProof w:val="0"/>
          <w:lang w:val="en-US"/>
        </w:rPr>
        <w:t xml:space="preserve"> filed with regard to the infection, “the State was aware of the child’s situation and the need for treatment,” despite which no response of any kind was received in order to prevent the progressive deterioration of her health and personal integrity. The Commission considered that “the State’s obligations in relation to the right to personal integrity and the need to establish conditions to allow a decent life, read in conjunction with the duty to provide special protection to children and the principle of the best interests of the child, required the State to provide an effective response that should have resulted in [Talía’s] access to the treatment she required.” It added that the State’s responsibility was not limited to the basic obligations of regulation, supervision and monitoring, “but also included the lack of response after becoming aware of the infection through numerous channels. To date, the State has disregarded the situation of a child under its jurisdiction in a situation of extreme vulnerability, thus causing additional harm to her personal integrity and her possibility of leading a decent life, and exposing her to a situation of discrimination.”</w:t>
      </w:r>
      <w:r w:rsidR="00163F7F" w:rsidRPr="00610904">
        <w:rPr>
          <w:noProof w:val="0"/>
          <w:lang w:val="en-US"/>
        </w:rPr>
        <w:t xml:space="preserve"> Furthermore, </w:t>
      </w:r>
      <w:r w:rsidRPr="00610904">
        <w:rPr>
          <w:rFonts w:cs="Arial"/>
          <w:noProof w:val="0"/>
          <w:color w:val="000000"/>
          <w:lang w:val="en-US"/>
        </w:rPr>
        <w:t>the Commission</w:t>
      </w:r>
      <w:r w:rsidR="00D839BE" w:rsidRPr="00610904">
        <w:rPr>
          <w:rFonts w:cs="Arial"/>
          <w:noProof w:val="0"/>
          <w:color w:val="000000"/>
          <w:lang w:val="en-US"/>
        </w:rPr>
        <w:t xml:space="preserve"> consider</w:t>
      </w:r>
      <w:r w:rsidR="00163F7F" w:rsidRPr="00610904">
        <w:rPr>
          <w:rFonts w:cs="Arial"/>
          <w:noProof w:val="0"/>
          <w:color w:val="000000"/>
          <w:lang w:val="en-US"/>
        </w:rPr>
        <w:t>ed that the State was</w:t>
      </w:r>
      <w:r w:rsidR="004A6E8B" w:rsidRPr="00610904">
        <w:rPr>
          <w:rFonts w:cs="Arial"/>
          <w:noProof w:val="0"/>
          <w:color w:val="000000"/>
          <w:lang w:val="en-US"/>
        </w:rPr>
        <w:t xml:space="preserve"> responsible for the violation</w:t>
      </w:r>
      <w:r w:rsidR="00163F7F" w:rsidRPr="00610904">
        <w:rPr>
          <w:rFonts w:cs="Arial"/>
          <w:noProof w:val="0"/>
          <w:color w:val="000000"/>
          <w:lang w:val="en-US"/>
        </w:rPr>
        <w:t xml:space="preserve"> of the mental and moral integrity of Talía’s mother and brother. </w:t>
      </w:r>
      <w:r w:rsidR="00163F7F" w:rsidRPr="00610904">
        <w:rPr>
          <w:rFonts w:cs="Arial"/>
          <w:noProof w:val="0"/>
          <w:lang w:val="en-US"/>
        </w:rPr>
        <w:t>In addition</w:t>
      </w:r>
      <w:r w:rsidR="00D839BE" w:rsidRPr="00610904">
        <w:rPr>
          <w:rFonts w:cs="Arial"/>
          <w:noProof w:val="0"/>
          <w:lang w:val="en-US"/>
        </w:rPr>
        <w:t xml:space="preserve">, </w:t>
      </w:r>
      <w:r w:rsidRPr="00610904">
        <w:rPr>
          <w:rFonts w:cs="Arial"/>
          <w:noProof w:val="0"/>
          <w:lang w:val="en-US"/>
        </w:rPr>
        <w:t>the Commission</w:t>
      </w:r>
      <w:r w:rsidR="00D839BE" w:rsidRPr="00610904">
        <w:rPr>
          <w:rFonts w:cs="Arial"/>
          <w:noProof w:val="0"/>
          <w:lang w:val="en-US"/>
        </w:rPr>
        <w:t xml:space="preserve"> </w:t>
      </w:r>
      <w:r w:rsidR="00163F7F" w:rsidRPr="00610904">
        <w:rPr>
          <w:rFonts w:cs="Arial"/>
          <w:noProof w:val="0"/>
          <w:lang w:val="en-US"/>
        </w:rPr>
        <w:t xml:space="preserve">stressed that there was no evidence that, at the time of the facts, the private entities involved were subject to regulation, supervision and monitoring; that no hypothesis had been proposed other than the blood transfusion that could suggest any other </w:t>
      </w:r>
      <w:r w:rsidR="00AD4ADC" w:rsidRPr="00610904">
        <w:rPr>
          <w:rFonts w:cs="Arial"/>
          <w:noProof w:val="0"/>
          <w:lang w:val="en-US"/>
        </w:rPr>
        <w:t>route of infection;</w:t>
      </w:r>
      <w:r w:rsidR="008956E2" w:rsidRPr="00610904">
        <w:rPr>
          <w:rFonts w:cs="Arial"/>
          <w:noProof w:val="0"/>
          <w:lang w:val="en-US"/>
        </w:rPr>
        <w:t xml:space="preserve"> that several irregularities and contradictions existed in the few existing records, and that, “in this scenario, the State merely denied its responsibility, since private entities were involved, rather than the conduct of the State.”</w:t>
      </w:r>
    </w:p>
    <w:p w:rsidR="00D839BE" w:rsidRPr="00610904" w:rsidRDefault="00D839BE" w:rsidP="00610904">
      <w:pPr>
        <w:rPr>
          <w:noProof w:val="0"/>
          <w:lang w:val="en-US"/>
        </w:rPr>
      </w:pPr>
    </w:p>
    <w:p w:rsidR="008956E2" w:rsidRPr="00610904" w:rsidRDefault="008956E2" w:rsidP="00610904">
      <w:pPr>
        <w:numPr>
          <w:ilvl w:val="0"/>
          <w:numId w:val="1"/>
        </w:numPr>
        <w:autoSpaceDE w:val="0"/>
        <w:autoSpaceDN w:val="0"/>
        <w:adjustRightInd w:val="0"/>
        <w:contextualSpacing/>
        <w:rPr>
          <w:rFonts w:cs="Arial"/>
          <w:noProof w:val="0"/>
          <w:spacing w:val="-2"/>
          <w:lang w:val="en-US"/>
        </w:rPr>
      </w:pPr>
      <w:r w:rsidRPr="00610904">
        <w:rPr>
          <w:noProof w:val="0"/>
          <w:spacing w:val="-2"/>
          <w:lang w:val="en-US"/>
        </w:rPr>
        <w:t xml:space="preserve">In addition, regarding the gynecological examination performed on </w:t>
      </w:r>
      <w:r w:rsidR="00D839BE" w:rsidRPr="00610904">
        <w:rPr>
          <w:noProof w:val="0"/>
          <w:spacing w:val="-2"/>
          <w:lang w:val="en-US"/>
        </w:rPr>
        <w:t xml:space="preserve">Talía </w:t>
      </w:r>
      <w:r w:rsidR="00010F61" w:rsidRPr="00610904">
        <w:rPr>
          <w:noProof w:val="0"/>
          <w:spacing w:val="-2"/>
          <w:lang w:val="en-US"/>
        </w:rPr>
        <w:t>Gonzales</w:t>
      </w:r>
      <w:r w:rsidR="00D839BE" w:rsidRPr="00610904">
        <w:rPr>
          <w:noProof w:val="0"/>
          <w:spacing w:val="-2"/>
          <w:lang w:val="en-US"/>
        </w:rPr>
        <w:t xml:space="preserve"> Lluy </w:t>
      </w:r>
      <w:r w:rsidRPr="00610904">
        <w:rPr>
          <w:noProof w:val="0"/>
          <w:spacing w:val="-2"/>
          <w:lang w:val="en-US"/>
        </w:rPr>
        <w:t xml:space="preserve">at her mother’s request, </w:t>
      </w:r>
      <w:r w:rsidR="002F5BBA" w:rsidRPr="00610904">
        <w:rPr>
          <w:noProof w:val="0"/>
          <w:spacing w:val="-2"/>
          <w:lang w:val="en-US"/>
        </w:rPr>
        <w:t>the Commission</w:t>
      </w:r>
      <w:r w:rsidR="00D839BE" w:rsidRPr="00610904">
        <w:rPr>
          <w:b/>
          <w:i/>
          <w:noProof w:val="0"/>
          <w:spacing w:val="-2"/>
          <w:lang w:val="en-US"/>
        </w:rPr>
        <w:t xml:space="preserve"> </w:t>
      </w:r>
      <w:r w:rsidRPr="00610904">
        <w:rPr>
          <w:noProof w:val="0"/>
          <w:spacing w:val="-2"/>
          <w:lang w:val="en-US"/>
        </w:rPr>
        <w:t xml:space="preserve">noted that, “if the State authorities had made any effort to obtain this evidence, the analysis should have focused on whether or not it was justified in the </w:t>
      </w:r>
      <w:r w:rsidR="00856968" w:rsidRPr="00610904">
        <w:rPr>
          <w:noProof w:val="0"/>
          <w:spacing w:val="-2"/>
          <w:lang w:val="en-US"/>
        </w:rPr>
        <w:t>circumstances</w:t>
      </w:r>
      <w:r w:rsidRPr="00610904">
        <w:rPr>
          <w:noProof w:val="0"/>
          <w:spacing w:val="-2"/>
          <w:lang w:val="en-US"/>
        </w:rPr>
        <w:t xml:space="preserve"> of the case.” The Commission indicated that it had “not identified reasons or factors that could have justified performing an examination of this nature, with the effects that it could cause to a child of three years of age, and when the evidence poin</w:t>
      </w:r>
      <w:r w:rsidR="00880003" w:rsidRPr="00610904">
        <w:rPr>
          <w:noProof w:val="0"/>
          <w:spacing w:val="-2"/>
          <w:lang w:val="en-US"/>
        </w:rPr>
        <w:t>ted at the fact that the source</w:t>
      </w:r>
      <w:r w:rsidRPr="00610904">
        <w:rPr>
          <w:noProof w:val="0"/>
          <w:spacing w:val="-2"/>
          <w:lang w:val="en-US"/>
        </w:rPr>
        <w:t xml:space="preserve"> of the transmission had been the blood transfusion, without the existence of any indicated of possible sexual transmission.” </w:t>
      </w:r>
    </w:p>
    <w:p w:rsidR="00D839BE" w:rsidRPr="00610904" w:rsidRDefault="00D839BE" w:rsidP="00610904">
      <w:pPr>
        <w:rPr>
          <w:noProof w:val="0"/>
          <w:lang w:val="en-US"/>
        </w:rPr>
      </w:pPr>
    </w:p>
    <w:p w:rsidR="00D839BE" w:rsidRPr="00610904" w:rsidRDefault="009F3D78" w:rsidP="00610904">
      <w:pPr>
        <w:numPr>
          <w:ilvl w:val="0"/>
          <w:numId w:val="1"/>
        </w:numPr>
        <w:rPr>
          <w:noProof w:val="0"/>
          <w:lang w:val="en-US"/>
        </w:rPr>
      </w:pPr>
      <w:r w:rsidRPr="00610904">
        <w:rPr>
          <w:rFonts w:cs="Arial"/>
          <w:noProof w:val="0"/>
          <w:lang w:val="en-US"/>
        </w:rPr>
        <w:t>The representatives</w:t>
      </w:r>
      <w:r w:rsidR="00D839BE" w:rsidRPr="00610904">
        <w:rPr>
          <w:rFonts w:cs="Arial"/>
          <w:noProof w:val="0"/>
          <w:lang w:val="en-US"/>
        </w:rPr>
        <w:t xml:space="preserve"> al</w:t>
      </w:r>
      <w:r w:rsidR="008956E2" w:rsidRPr="00610904">
        <w:rPr>
          <w:rFonts w:cs="Arial"/>
          <w:noProof w:val="0"/>
          <w:lang w:val="en-US"/>
        </w:rPr>
        <w:t>leged that the rights to life and to personal integrity had been violated in relation to the right to health. They considered that “the negative obligation [with regard to the right to life</w:t>
      </w:r>
      <w:r w:rsidR="00A714BB" w:rsidRPr="00610904">
        <w:rPr>
          <w:rFonts w:cs="Arial"/>
          <w:noProof w:val="0"/>
          <w:lang w:val="en-US"/>
        </w:rPr>
        <w:t>,</w:t>
      </w:r>
      <w:r w:rsidR="008956E2" w:rsidRPr="00610904">
        <w:rPr>
          <w:rFonts w:cs="Arial"/>
          <w:noProof w:val="0"/>
          <w:lang w:val="en-US"/>
        </w:rPr>
        <w:t xml:space="preserve"> had been violated] by contaminating Talía’s blood”; hence the State “was responsible because it did not have a monitoring system to prevent this violation in the private health sector.” They also argued that the positive obligation had been violated, “because, without basic services, which entail the diagnos</w:t>
      </w:r>
      <w:r w:rsidR="00A714BB" w:rsidRPr="00610904">
        <w:rPr>
          <w:rFonts w:cs="Arial"/>
          <w:noProof w:val="0"/>
          <w:lang w:val="en-US"/>
        </w:rPr>
        <w:t>is, permanent treatment, and provision of medication</w:t>
      </w:r>
      <w:r w:rsidR="008956E2" w:rsidRPr="00610904">
        <w:rPr>
          <w:rFonts w:cs="Arial"/>
          <w:noProof w:val="0"/>
          <w:lang w:val="en-US"/>
        </w:rPr>
        <w:t xml:space="preserve"> on a daily and periodic basis, HIV-carriers would inevitably die.”</w:t>
      </w:r>
      <w:r w:rsidR="008956E2" w:rsidRPr="00610904">
        <w:rPr>
          <w:noProof w:val="0"/>
          <w:lang w:val="en-US"/>
        </w:rPr>
        <w:t xml:space="preserve"> </w:t>
      </w:r>
      <w:r w:rsidRPr="00610904">
        <w:rPr>
          <w:rFonts w:cs="Arial"/>
          <w:noProof w:val="0"/>
          <w:lang w:val="en-US"/>
        </w:rPr>
        <w:t>The representatives</w:t>
      </w:r>
      <w:r w:rsidR="00D839BE" w:rsidRPr="00610904">
        <w:rPr>
          <w:rFonts w:cs="Arial"/>
          <w:noProof w:val="0"/>
          <w:lang w:val="en-US"/>
        </w:rPr>
        <w:t xml:space="preserve"> </w:t>
      </w:r>
      <w:r w:rsidR="008956E2" w:rsidRPr="00610904">
        <w:rPr>
          <w:rFonts w:cs="Arial"/>
          <w:noProof w:val="0"/>
          <w:lang w:val="en-US"/>
        </w:rPr>
        <w:t>asserted that</w:t>
      </w:r>
      <w:r w:rsidR="00D839BE" w:rsidRPr="00610904">
        <w:rPr>
          <w:rFonts w:cs="Arial"/>
          <w:noProof w:val="0"/>
          <w:lang w:val="en-US"/>
        </w:rPr>
        <w:t xml:space="preserve"> </w:t>
      </w:r>
      <w:r w:rsidRPr="00610904">
        <w:rPr>
          <w:rFonts w:cs="Arial"/>
          <w:noProof w:val="0"/>
          <w:lang w:val="en-US"/>
        </w:rPr>
        <w:t>the State</w:t>
      </w:r>
      <w:r w:rsidR="00D839BE" w:rsidRPr="00610904">
        <w:rPr>
          <w:rFonts w:cs="Arial"/>
          <w:noProof w:val="0"/>
          <w:lang w:val="en-US"/>
        </w:rPr>
        <w:t xml:space="preserve"> </w:t>
      </w:r>
      <w:r w:rsidR="008956E2" w:rsidRPr="00610904">
        <w:rPr>
          <w:rFonts w:cs="Arial"/>
          <w:noProof w:val="0"/>
          <w:lang w:val="en-US"/>
        </w:rPr>
        <w:t>had violated Talía’s personal integrity</w:t>
      </w:r>
      <w:r w:rsidR="00D839BE" w:rsidRPr="00610904">
        <w:rPr>
          <w:rFonts w:cs="Arial"/>
          <w:noProof w:val="0"/>
          <w:lang w:val="en-US"/>
        </w:rPr>
        <w:t xml:space="preserve">, </w:t>
      </w:r>
      <w:r w:rsidR="008956E2" w:rsidRPr="00610904">
        <w:rPr>
          <w:rFonts w:cs="Arial"/>
          <w:noProof w:val="0"/>
          <w:lang w:val="en-US"/>
        </w:rPr>
        <w:t>because</w:t>
      </w:r>
      <w:r w:rsidR="00D839BE" w:rsidRPr="00610904">
        <w:rPr>
          <w:rFonts w:cs="Arial"/>
          <w:noProof w:val="0"/>
          <w:lang w:val="en-US"/>
        </w:rPr>
        <w:t>, “dur</w:t>
      </w:r>
      <w:r w:rsidR="008956E2" w:rsidRPr="00610904">
        <w:rPr>
          <w:rFonts w:cs="Arial"/>
          <w:noProof w:val="0"/>
          <w:lang w:val="en-US"/>
        </w:rPr>
        <w:t xml:space="preserve">ing all the years, starting when it became aware of the </w:t>
      </w:r>
      <w:r w:rsidR="00856968" w:rsidRPr="00610904">
        <w:rPr>
          <w:rFonts w:cs="Arial"/>
          <w:noProof w:val="0"/>
          <w:lang w:val="en-US"/>
        </w:rPr>
        <w:t>transfusion</w:t>
      </w:r>
      <w:r w:rsidR="008956E2" w:rsidRPr="00610904">
        <w:rPr>
          <w:rFonts w:cs="Arial"/>
          <w:noProof w:val="0"/>
          <w:lang w:val="en-US"/>
        </w:rPr>
        <w:t xml:space="preserve"> of contaminated blood </w:t>
      </w:r>
      <w:r w:rsidR="008956E2" w:rsidRPr="00610904">
        <w:rPr>
          <w:rFonts w:cs="Arial"/>
          <w:noProof w:val="0"/>
          <w:lang w:val="en-US"/>
        </w:rPr>
        <w:lastRenderedPageBreak/>
        <w:t>to Talía, it failed to implement adequate mechanisms, or sanction those responsible by either administrative or judicial means.” They also indicated that, since the Red Cross was the only entity that possessed blood banks when the facts occurred, and since it was not supervised or monitored, “this resulted in a</w:t>
      </w:r>
      <w:r w:rsidR="00A714BB" w:rsidRPr="00610904">
        <w:rPr>
          <w:rFonts w:cs="Arial"/>
          <w:noProof w:val="0"/>
          <w:lang w:val="en-US"/>
        </w:rPr>
        <w:t>n</w:t>
      </w:r>
      <w:r w:rsidR="008956E2" w:rsidRPr="00610904">
        <w:rPr>
          <w:rFonts w:cs="Arial"/>
          <w:noProof w:val="0"/>
          <w:lang w:val="en-US"/>
        </w:rPr>
        <w:t xml:space="preserve"> unsafe situation that the State should have known</w:t>
      </w:r>
      <w:r w:rsidR="00A714BB" w:rsidRPr="00610904">
        <w:rPr>
          <w:rFonts w:cs="Arial"/>
          <w:noProof w:val="0"/>
          <w:lang w:val="en-US"/>
        </w:rPr>
        <w:t xml:space="preserve"> about</w:t>
      </w:r>
      <w:r w:rsidR="008956E2" w:rsidRPr="00610904">
        <w:rPr>
          <w:rFonts w:cs="Arial"/>
          <w:noProof w:val="0"/>
          <w:lang w:val="en-US"/>
        </w:rPr>
        <w:t>,” so that its responsibility arose from the failure to comply with the duty to supervise the provision of its services. They added that the Lluy family had not received quality medical services, because “there were insufficient personnel, the laboratories were unable to perform all the tests required to examine the blood (to the point that it was necessary to ask Quito laboratories to verify the blood) [and] the Red Cross personnel and those of the hospital where Talía was interned did not know how to handle samples appropriately.” The medical services were not acceptable either, because “they did not know how to proceed and</w:t>
      </w:r>
      <w:r w:rsidR="00A714BB" w:rsidRPr="00610904">
        <w:rPr>
          <w:rFonts w:cs="Arial"/>
          <w:noProof w:val="0"/>
          <w:lang w:val="en-US"/>
        </w:rPr>
        <w:t>,</w:t>
      </w:r>
      <w:r w:rsidR="008956E2" w:rsidRPr="00610904">
        <w:rPr>
          <w:rFonts w:cs="Arial"/>
          <w:noProof w:val="0"/>
          <w:lang w:val="en-US"/>
        </w:rPr>
        <w:t xml:space="preserve"> even now</w:t>
      </w:r>
      <w:r w:rsidR="00A714BB" w:rsidRPr="00610904">
        <w:rPr>
          <w:rFonts w:cs="Arial"/>
          <w:noProof w:val="0"/>
          <w:lang w:val="en-US"/>
        </w:rPr>
        <w:t>,</w:t>
      </w:r>
      <w:r w:rsidR="008956E2" w:rsidRPr="00610904">
        <w:rPr>
          <w:rFonts w:cs="Arial"/>
          <w:noProof w:val="0"/>
          <w:lang w:val="en-US"/>
        </w:rPr>
        <w:t xml:space="preserve"> cannot act responsibly in relation to a negligent act that violat</w:t>
      </w:r>
      <w:r w:rsidR="00A714BB" w:rsidRPr="00610904">
        <w:rPr>
          <w:rFonts w:cs="Arial"/>
          <w:noProof w:val="0"/>
          <w:lang w:val="en-US"/>
        </w:rPr>
        <w:t>ed fundamental rights; also the medical services</w:t>
      </w:r>
      <w:r w:rsidR="008956E2" w:rsidRPr="00610904">
        <w:rPr>
          <w:rFonts w:cs="Arial"/>
          <w:noProof w:val="0"/>
          <w:lang w:val="en-US"/>
        </w:rPr>
        <w:t xml:space="preserve"> were inadequate to treat a three-year old child who needed blood.” In addition, they argued that </w:t>
      </w:r>
      <w:r w:rsidRPr="00610904">
        <w:rPr>
          <w:rFonts w:cs="Arial"/>
          <w:noProof w:val="0"/>
          <w:lang w:val="en-US"/>
        </w:rPr>
        <w:t>the presumed victims</w:t>
      </w:r>
      <w:r w:rsidR="00D839BE" w:rsidRPr="00610904">
        <w:rPr>
          <w:rFonts w:cs="Arial"/>
          <w:noProof w:val="0"/>
          <w:lang w:val="en-US"/>
        </w:rPr>
        <w:t xml:space="preserve"> “</w:t>
      </w:r>
      <w:r w:rsidR="00A714BB" w:rsidRPr="00610904">
        <w:rPr>
          <w:rFonts w:cs="Arial"/>
          <w:noProof w:val="0"/>
          <w:lang w:val="en-US"/>
        </w:rPr>
        <w:t>never rece</w:t>
      </w:r>
      <w:r w:rsidR="008956E2" w:rsidRPr="00610904">
        <w:rPr>
          <w:rFonts w:cs="Arial"/>
          <w:noProof w:val="0"/>
          <w:lang w:val="en-US"/>
        </w:rPr>
        <w:t>ived any information from the Sta</w:t>
      </w:r>
      <w:r w:rsidR="00A714BB" w:rsidRPr="00610904">
        <w:rPr>
          <w:rFonts w:cs="Arial"/>
          <w:noProof w:val="0"/>
          <w:lang w:val="en-US"/>
        </w:rPr>
        <w:t xml:space="preserve">te that would have helped them deal with </w:t>
      </w:r>
      <w:r w:rsidR="008956E2" w:rsidRPr="00610904">
        <w:rPr>
          <w:rFonts w:cs="Arial"/>
          <w:noProof w:val="0"/>
          <w:lang w:val="en-US"/>
        </w:rPr>
        <w:t xml:space="preserve">the problems they were </w:t>
      </w:r>
      <w:r w:rsidR="008802D9" w:rsidRPr="00610904">
        <w:rPr>
          <w:rFonts w:cs="Arial"/>
          <w:noProof w:val="0"/>
          <w:lang w:val="en-US"/>
        </w:rPr>
        <w:t>fac</w:t>
      </w:r>
      <w:r w:rsidR="008956E2" w:rsidRPr="00610904">
        <w:rPr>
          <w:rFonts w:cs="Arial"/>
          <w:noProof w:val="0"/>
          <w:lang w:val="en-US"/>
        </w:rPr>
        <w:t>ing.”</w:t>
      </w:r>
    </w:p>
    <w:p w:rsidR="00D839BE" w:rsidRPr="00610904" w:rsidRDefault="00D839BE" w:rsidP="00610904">
      <w:pPr>
        <w:rPr>
          <w:noProof w:val="0"/>
          <w:lang w:val="en-US"/>
        </w:rPr>
      </w:pPr>
    </w:p>
    <w:p w:rsidR="00D839BE" w:rsidRPr="00610904" w:rsidRDefault="008802D9" w:rsidP="00610904">
      <w:pPr>
        <w:numPr>
          <w:ilvl w:val="0"/>
          <w:numId w:val="1"/>
        </w:numPr>
        <w:rPr>
          <w:noProof w:val="0"/>
          <w:lang w:val="en-US"/>
        </w:rPr>
      </w:pPr>
      <w:r w:rsidRPr="00610904">
        <w:rPr>
          <w:rFonts w:cs="Arial"/>
          <w:noProof w:val="0"/>
          <w:lang w:val="en-US"/>
        </w:rPr>
        <w:t xml:space="preserve">The representatives also argued that the right to health had been violated in the </w:t>
      </w:r>
      <w:r w:rsidR="00856968" w:rsidRPr="00610904">
        <w:rPr>
          <w:rFonts w:cs="Arial"/>
          <w:noProof w:val="0"/>
          <w:lang w:val="en-US"/>
        </w:rPr>
        <w:t>context of</w:t>
      </w:r>
      <w:r w:rsidR="006E502B" w:rsidRPr="00610904">
        <w:rPr>
          <w:rFonts w:cs="Arial"/>
          <w:noProof w:val="0"/>
          <w:lang w:val="en-US"/>
        </w:rPr>
        <w:t xml:space="preserve"> Article</w:t>
      </w:r>
      <w:r w:rsidR="00D839BE" w:rsidRPr="00610904">
        <w:rPr>
          <w:rFonts w:cs="Arial"/>
          <w:noProof w:val="0"/>
          <w:lang w:val="en-US"/>
        </w:rPr>
        <w:t xml:space="preserve"> 26</w:t>
      </w:r>
      <w:r w:rsidR="009F3D78" w:rsidRPr="00610904">
        <w:rPr>
          <w:rFonts w:cs="Arial"/>
          <w:noProof w:val="0"/>
          <w:lang w:val="en-US"/>
        </w:rPr>
        <w:t xml:space="preserve"> of the American Convention</w:t>
      </w:r>
      <w:r w:rsidR="00D839BE" w:rsidRPr="00610904">
        <w:rPr>
          <w:rFonts w:cs="Arial"/>
          <w:noProof w:val="0"/>
          <w:lang w:val="en-US"/>
        </w:rPr>
        <w:t xml:space="preserve"> </w:t>
      </w:r>
      <w:r w:rsidR="004A6E8B" w:rsidRPr="00610904">
        <w:rPr>
          <w:rFonts w:cs="Arial"/>
          <w:noProof w:val="0"/>
          <w:lang w:val="en-US"/>
        </w:rPr>
        <w:t>to the detriment of</w:t>
      </w:r>
      <w:r w:rsidR="00D839BE" w:rsidRPr="00610904">
        <w:rPr>
          <w:rFonts w:cs="Arial"/>
          <w:noProof w:val="0"/>
          <w:lang w:val="en-US"/>
        </w:rPr>
        <w:t xml:space="preserve"> Talía Gonzales Lluy. </w:t>
      </w:r>
      <w:r w:rsidRPr="00610904">
        <w:rPr>
          <w:rFonts w:cs="Arial"/>
          <w:noProof w:val="0"/>
          <w:lang w:val="en-US"/>
        </w:rPr>
        <w:t>Consequently, they asked the Court to make a contextual, evolutive and literal interpretation of the rights in light of contemporary devel</w:t>
      </w:r>
      <w:r w:rsidR="00A714BB" w:rsidRPr="00610904">
        <w:rPr>
          <w:rFonts w:cs="Arial"/>
          <w:noProof w:val="0"/>
          <w:lang w:val="en-US"/>
        </w:rPr>
        <w:t>opments in legal doctrine and</w:t>
      </w:r>
      <w:r w:rsidRPr="00610904">
        <w:rPr>
          <w:rFonts w:cs="Arial"/>
          <w:noProof w:val="0"/>
          <w:lang w:val="en-US"/>
        </w:rPr>
        <w:t xml:space="preserve"> the provisions </w:t>
      </w:r>
      <w:r w:rsidR="006E502B" w:rsidRPr="00610904">
        <w:rPr>
          <w:rFonts w:cs="Arial"/>
          <w:noProof w:val="0"/>
          <w:color w:val="000000"/>
          <w:lang w:val="en-US"/>
        </w:rPr>
        <w:t>of Article</w:t>
      </w:r>
      <w:r w:rsidR="00D839BE" w:rsidRPr="00610904">
        <w:rPr>
          <w:rFonts w:cs="Arial"/>
          <w:noProof w:val="0"/>
          <w:color w:val="000000"/>
          <w:lang w:val="en-US"/>
        </w:rPr>
        <w:t xml:space="preserve"> 29</w:t>
      </w:r>
      <w:r w:rsidR="009F3D78" w:rsidRPr="00610904">
        <w:rPr>
          <w:rFonts w:cs="Arial"/>
          <w:noProof w:val="0"/>
          <w:color w:val="000000"/>
          <w:lang w:val="en-US"/>
        </w:rPr>
        <w:t xml:space="preserve"> of the Convention</w:t>
      </w:r>
      <w:r w:rsidR="00D839BE" w:rsidRPr="00610904">
        <w:rPr>
          <w:rFonts w:cs="Arial"/>
          <w:noProof w:val="0"/>
          <w:color w:val="000000"/>
          <w:lang w:val="en-US"/>
        </w:rPr>
        <w:t xml:space="preserve">. </w:t>
      </w:r>
      <w:r w:rsidRPr="00610904">
        <w:rPr>
          <w:rFonts w:cs="Arial"/>
          <w:noProof w:val="0"/>
          <w:color w:val="000000"/>
          <w:lang w:val="en-US"/>
        </w:rPr>
        <w:t xml:space="preserve">In this regard, they pointed out that </w:t>
      </w:r>
      <w:r w:rsidR="009F3D78" w:rsidRPr="00610904">
        <w:rPr>
          <w:rFonts w:cs="Arial"/>
          <w:noProof w:val="0"/>
          <w:color w:val="000000"/>
          <w:lang w:val="en-US"/>
        </w:rPr>
        <w:t>Article</w:t>
      </w:r>
      <w:r w:rsidR="00D839BE" w:rsidRPr="00610904">
        <w:rPr>
          <w:rFonts w:cs="Arial"/>
          <w:noProof w:val="0"/>
          <w:color w:val="000000"/>
          <w:lang w:val="en-US"/>
        </w:rPr>
        <w:t xml:space="preserve"> 26 </w:t>
      </w:r>
      <w:r w:rsidRPr="00610904">
        <w:rPr>
          <w:rFonts w:cs="Arial"/>
          <w:noProof w:val="0"/>
          <w:color w:val="000000"/>
          <w:lang w:val="en-US"/>
        </w:rPr>
        <w:t xml:space="preserve">should be fully enforceable and should not be interpreted restrictively, in the sense that economic, social and cultural rights not only have dimensions that should be complied with progressively, but also have immediate effects. According to </w:t>
      </w:r>
      <w:r w:rsidR="009F3D78" w:rsidRPr="00610904">
        <w:rPr>
          <w:rFonts w:cs="Arial"/>
          <w:noProof w:val="0"/>
          <w:color w:val="000000"/>
          <w:lang w:val="en-US"/>
        </w:rPr>
        <w:t>the representatives</w:t>
      </w:r>
      <w:r w:rsidR="00D839BE" w:rsidRPr="00610904">
        <w:rPr>
          <w:rFonts w:cs="Arial"/>
          <w:noProof w:val="0"/>
          <w:color w:val="000000"/>
          <w:lang w:val="en-US"/>
        </w:rPr>
        <w:t xml:space="preserve">, </w:t>
      </w:r>
      <w:r w:rsidR="00A714BB" w:rsidRPr="00610904">
        <w:rPr>
          <w:rFonts w:cs="Arial"/>
          <w:noProof w:val="0"/>
          <w:color w:val="000000"/>
          <w:lang w:val="en-US"/>
        </w:rPr>
        <w:t>the content of tho</w:t>
      </w:r>
      <w:r w:rsidRPr="00610904">
        <w:rPr>
          <w:rFonts w:cs="Arial"/>
          <w:noProof w:val="0"/>
          <w:color w:val="000000"/>
          <w:lang w:val="en-US"/>
        </w:rPr>
        <w:t>se rights must be read in k</w:t>
      </w:r>
      <w:r w:rsidR="00A714BB" w:rsidRPr="00610904">
        <w:rPr>
          <w:rFonts w:cs="Arial"/>
          <w:noProof w:val="0"/>
          <w:color w:val="000000"/>
          <w:lang w:val="en-US"/>
        </w:rPr>
        <w:t xml:space="preserve">eeping with </w:t>
      </w:r>
      <w:r w:rsidRPr="00610904">
        <w:rPr>
          <w:rFonts w:cs="Arial"/>
          <w:noProof w:val="0"/>
          <w:color w:val="000000"/>
          <w:lang w:val="en-US"/>
        </w:rPr>
        <w:t xml:space="preserve">the </w:t>
      </w:r>
      <w:r w:rsidR="00D839BE" w:rsidRPr="00610904">
        <w:rPr>
          <w:rFonts w:cs="Arial"/>
          <w:i/>
          <w:noProof w:val="0"/>
          <w:color w:val="000000"/>
          <w:lang w:val="en-US"/>
        </w:rPr>
        <w:t>corpus iuris,</w:t>
      </w:r>
      <w:r w:rsidR="00D839BE" w:rsidRPr="00610904">
        <w:rPr>
          <w:rFonts w:cs="Arial"/>
          <w:noProof w:val="0"/>
          <w:color w:val="000000"/>
          <w:lang w:val="en-US"/>
        </w:rPr>
        <w:t xml:space="preserve"> </w:t>
      </w:r>
      <w:r w:rsidRPr="00610904">
        <w:rPr>
          <w:rFonts w:cs="Arial"/>
          <w:noProof w:val="0"/>
          <w:color w:val="000000"/>
          <w:lang w:val="en-US"/>
        </w:rPr>
        <w:t xml:space="preserve">in light of the </w:t>
      </w:r>
      <w:r w:rsidR="00852A2E" w:rsidRPr="00610904">
        <w:rPr>
          <w:rFonts w:cs="Arial"/>
          <w:noProof w:val="0"/>
          <w:color w:val="000000"/>
          <w:lang w:val="en-US"/>
        </w:rPr>
        <w:t>Protocol of</w:t>
      </w:r>
      <w:r w:rsidR="00D839BE" w:rsidRPr="00610904">
        <w:rPr>
          <w:rFonts w:cs="Arial"/>
          <w:noProof w:val="0"/>
          <w:color w:val="000000"/>
          <w:lang w:val="en-US"/>
        </w:rPr>
        <w:t xml:space="preserve"> San Salvador, </w:t>
      </w:r>
      <w:r w:rsidRPr="00610904">
        <w:rPr>
          <w:rFonts w:cs="Arial"/>
          <w:noProof w:val="0"/>
          <w:color w:val="000000"/>
          <w:lang w:val="en-US"/>
        </w:rPr>
        <w:t>the doctrine of the Committee on Economic, Social and Cultural Rights of the</w:t>
      </w:r>
      <w:r w:rsidR="00D839BE" w:rsidRPr="00610904">
        <w:rPr>
          <w:rFonts w:cs="Arial"/>
          <w:noProof w:val="0"/>
          <w:color w:val="000000"/>
          <w:lang w:val="en-US"/>
        </w:rPr>
        <w:t xml:space="preserve"> </w:t>
      </w:r>
      <w:r w:rsidR="00A8072E" w:rsidRPr="00610904">
        <w:rPr>
          <w:rFonts w:cs="Arial"/>
          <w:noProof w:val="0"/>
          <w:color w:val="000000"/>
          <w:lang w:val="en-US"/>
        </w:rPr>
        <w:t>United Nations</w:t>
      </w:r>
      <w:r w:rsidR="00D839BE" w:rsidRPr="00610904">
        <w:rPr>
          <w:rFonts w:cs="Arial"/>
          <w:noProof w:val="0"/>
          <w:color w:val="000000"/>
          <w:lang w:val="en-US"/>
        </w:rPr>
        <w:t xml:space="preserve"> (</w:t>
      </w:r>
      <w:r w:rsidR="009F3D78" w:rsidRPr="00610904">
        <w:rPr>
          <w:rFonts w:cs="Arial"/>
          <w:noProof w:val="0"/>
          <w:color w:val="000000"/>
          <w:lang w:val="en-US"/>
        </w:rPr>
        <w:t>hereinafter</w:t>
      </w:r>
      <w:r w:rsidRPr="00610904">
        <w:rPr>
          <w:rFonts w:cs="Arial"/>
          <w:noProof w:val="0"/>
          <w:color w:val="000000"/>
          <w:lang w:val="en-US"/>
        </w:rPr>
        <w:t>, “the CESCR</w:t>
      </w:r>
      <w:r w:rsidR="00A714BB" w:rsidRPr="00610904">
        <w:rPr>
          <w:rFonts w:cs="Arial"/>
          <w:noProof w:val="0"/>
          <w:color w:val="000000"/>
          <w:lang w:val="en-US"/>
        </w:rPr>
        <w:t>”),</w:t>
      </w:r>
      <w:r w:rsidRPr="00610904">
        <w:rPr>
          <w:rFonts w:cs="Arial"/>
          <w:noProof w:val="0"/>
          <w:color w:val="000000"/>
          <w:lang w:val="en-US"/>
        </w:rPr>
        <w:t xml:space="preserve"> other international human rights instruments in force </w:t>
      </w:r>
      <w:r w:rsidR="00B45E43" w:rsidRPr="00610904">
        <w:rPr>
          <w:rFonts w:cs="Arial"/>
          <w:noProof w:val="0"/>
          <w:color w:val="000000"/>
          <w:lang w:val="en-US"/>
        </w:rPr>
        <w:t>in Ecuador</w:t>
      </w:r>
      <w:r w:rsidR="00A714BB" w:rsidRPr="00610904">
        <w:rPr>
          <w:rFonts w:cs="Arial"/>
          <w:noProof w:val="0"/>
          <w:color w:val="000000"/>
          <w:lang w:val="en-US"/>
        </w:rPr>
        <w:t>,</w:t>
      </w:r>
      <w:r w:rsidR="009F3D78" w:rsidRPr="00610904">
        <w:rPr>
          <w:rFonts w:cs="Arial"/>
          <w:noProof w:val="0"/>
          <w:color w:val="000000"/>
          <w:lang w:val="en-US"/>
        </w:rPr>
        <w:t xml:space="preserve"> and </w:t>
      </w:r>
      <w:r w:rsidRPr="00610904">
        <w:rPr>
          <w:rFonts w:cs="Arial"/>
          <w:noProof w:val="0"/>
          <w:color w:val="000000"/>
          <w:lang w:val="en-US"/>
        </w:rPr>
        <w:t xml:space="preserve">its Constitution. </w:t>
      </w:r>
      <w:r w:rsidR="009F3D78" w:rsidRPr="00610904">
        <w:rPr>
          <w:rFonts w:cs="Arial"/>
          <w:noProof w:val="0"/>
          <w:color w:val="000000"/>
          <w:lang w:val="en-US"/>
        </w:rPr>
        <w:t>The representatives</w:t>
      </w:r>
      <w:r w:rsidR="00D839BE" w:rsidRPr="00610904">
        <w:rPr>
          <w:rFonts w:cs="Arial"/>
          <w:noProof w:val="0"/>
          <w:color w:val="000000"/>
          <w:lang w:val="en-US"/>
        </w:rPr>
        <w:t xml:space="preserve"> indica</w:t>
      </w:r>
      <w:r w:rsidRPr="00610904">
        <w:rPr>
          <w:rFonts w:cs="Arial"/>
          <w:noProof w:val="0"/>
          <w:color w:val="000000"/>
          <w:lang w:val="en-US"/>
        </w:rPr>
        <w:t>ted that “the right that is best suited to deciding the case is the right to health and not the right to physical integrity”; that “each human right has its own specific content,” and that the evolution of the enforceability of social rights by national courts, by the United Nations system, and by the inter-American system should be taken into account</w:t>
      </w:r>
      <w:r w:rsidR="00D839BE" w:rsidRPr="00610904">
        <w:rPr>
          <w:rFonts w:cs="Arial"/>
          <w:noProof w:val="0"/>
          <w:color w:val="000000"/>
          <w:lang w:val="en-US"/>
        </w:rPr>
        <w:t xml:space="preserve">. </w:t>
      </w:r>
    </w:p>
    <w:p w:rsidR="00D839BE" w:rsidRPr="00610904" w:rsidRDefault="00D839BE" w:rsidP="00610904">
      <w:pPr>
        <w:rPr>
          <w:noProof w:val="0"/>
          <w:lang w:val="en-US"/>
        </w:rPr>
      </w:pPr>
    </w:p>
    <w:p w:rsidR="00D839BE" w:rsidRPr="00610904" w:rsidRDefault="009F3D78" w:rsidP="00610904">
      <w:pPr>
        <w:numPr>
          <w:ilvl w:val="0"/>
          <w:numId w:val="1"/>
        </w:numPr>
        <w:autoSpaceDE w:val="0"/>
        <w:autoSpaceDN w:val="0"/>
        <w:adjustRightInd w:val="0"/>
        <w:contextualSpacing/>
        <w:rPr>
          <w:noProof w:val="0"/>
          <w:spacing w:val="-2"/>
          <w:szCs w:val="20"/>
          <w:lang w:val="en-US"/>
        </w:rPr>
      </w:pPr>
      <w:r w:rsidRPr="00610904">
        <w:rPr>
          <w:noProof w:val="0"/>
          <w:spacing w:val="-2"/>
          <w:lang w:val="en-US"/>
        </w:rPr>
        <w:t>The representatives</w:t>
      </w:r>
      <w:r w:rsidR="00D839BE" w:rsidRPr="00610904">
        <w:rPr>
          <w:b/>
          <w:i/>
          <w:noProof w:val="0"/>
          <w:spacing w:val="-2"/>
          <w:lang w:val="en-US"/>
        </w:rPr>
        <w:t xml:space="preserve"> </w:t>
      </w:r>
      <w:r w:rsidR="00D839BE" w:rsidRPr="00610904">
        <w:rPr>
          <w:noProof w:val="0"/>
          <w:spacing w:val="-2"/>
          <w:lang w:val="en-US"/>
        </w:rPr>
        <w:t>a</w:t>
      </w:r>
      <w:r w:rsidR="008802D9" w:rsidRPr="00610904">
        <w:rPr>
          <w:noProof w:val="0"/>
          <w:spacing w:val="-2"/>
          <w:lang w:val="en-US"/>
        </w:rPr>
        <w:t>rgued that the gynecologic</w:t>
      </w:r>
      <w:r w:rsidR="00856968" w:rsidRPr="00610904">
        <w:rPr>
          <w:noProof w:val="0"/>
          <w:spacing w:val="-2"/>
          <w:lang w:val="en-US"/>
        </w:rPr>
        <w:t>al examination performed on Talí</w:t>
      </w:r>
      <w:r w:rsidR="008802D9" w:rsidRPr="00610904">
        <w:rPr>
          <w:noProof w:val="0"/>
          <w:spacing w:val="-2"/>
          <w:lang w:val="en-US"/>
        </w:rPr>
        <w:t xml:space="preserve">a when she was three years old, “was one of the most traumatic experiences of her life.” They also pointed out that informed consent is essential in order not to violate the right to privacy. In this regard, they indicated that the performance of this examination violated the right to privacy, health and personal integrity. </w:t>
      </w:r>
      <w:r w:rsidR="00A714BB" w:rsidRPr="00610904">
        <w:rPr>
          <w:noProof w:val="0"/>
          <w:lang w:val="en-US"/>
        </w:rPr>
        <w:t>The representatives also argued that Article 13 of the American Convention had been violated</w:t>
      </w:r>
      <w:r w:rsidR="00A714BB" w:rsidRPr="00610904">
        <w:rPr>
          <w:noProof w:val="0"/>
          <w:spacing w:val="-2"/>
          <w:lang w:val="en-US"/>
        </w:rPr>
        <w:t xml:space="preserve"> based on </w:t>
      </w:r>
      <w:r w:rsidR="008802D9" w:rsidRPr="00610904">
        <w:rPr>
          <w:noProof w:val="0"/>
          <w:spacing w:val="-2"/>
          <w:lang w:val="en-US"/>
        </w:rPr>
        <w:t>various problems in relation to access to information regarding the blood transfusion and the performance of the gynecological examination</w:t>
      </w:r>
      <w:r w:rsidR="00D839BE" w:rsidRPr="00610904">
        <w:rPr>
          <w:noProof w:val="0"/>
          <w:lang w:val="en-US"/>
        </w:rPr>
        <w:t>.</w:t>
      </w:r>
    </w:p>
    <w:p w:rsidR="00D839BE" w:rsidRPr="00610904" w:rsidRDefault="00D839BE" w:rsidP="00610904">
      <w:pPr>
        <w:pStyle w:val="ListParagraph"/>
        <w:rPr>
          <w:rFonts w:cs="Arial"/>
          <w:noProof w:val="0"/>
          <w:lang w:val="en-US"/>
        </w:rPr>
      </w:pPr>
    </w:p>
    <w:p w:rsidR="008802D9" w:rsidRPr="00610904" w:rsidRDefault="009F3D78" w:rsidP="00610904">
      <w:pPr>
        <w:numPr>
          <w:ilvl w:val="0"/>
          <w:numId w:val="1"/>
        </w:numPr>
        <w:autoSpaceDE w:val="0"/>
        <w:autoSpaceDN w:val="0"/>
        <w:adjustRightInd w:val="0"/>
        <w:contextualSpacing/>
        <w:rPr>
          <w:noProof w:val="0"/>
          <w:spacing w:val="-2"/>
          <w:szCs w:val="20"/>
          <w:lang w:val="en-US"/>
        </w:rPr>
      </w:pPr>
      <w:r w:rsidRPr="00610904">
        <w:rPr>
          <w:rFonts w:cs="Arial"/>
          <w:noProof w:val="0"/>
          <w:lang w:val="en-US"/>
        </w:rPr>
        <w:t>The State</w:t>
      </w:r>
      <w:r w:rsidR="00D839BE" w:rsidRPr="00610904">
        <w:rPr>
          <w:rFonts w:cs="Arial"/>
          <w:noProof w:val="0"/>
          <w:lang w:val="en-US"/>
        </w:rPr>
        <w:t xml:space="preserve"> </w:t>
      </w:r>
      <w:r w:rsidR="00A714BB" w:rsidRPr="00610904">
        <w:rPr>
          <w:rFonts w:cs="Arial"/>
          <w:noProof w:val="0"/>
          <w:lang w:val="en-US"/>
        </w:rPr>
        <w:t>acknowledged</w:t>
      </w:r>
      <w:r w:rsidR="008802D9" w:rsidRPr="00610904">
        <w:rPr>
          <w:rFonts w:cs="Arial"/>
          <w:noProof w:val="0"/>
          <w:lang w:val="en-US"/>
        </w:rPr>
        <w:t xml:space="preserve"> during</w:t>
      </w:r>
      <w:r w:rsidR="00D839BE" w:rsidRPr="00610904">
        <w:rPr>
          <w:rFonts w:cs="Arial"/>
          <w:noProof w:val="0"/>
          <w:lang w:val="en-US"/>
        </w:rPr>
        <w:t xml:space="preserve"> </w:t>
      </w:r>
      <w:r w:rsidR="00AD687D" w:rsidRPr="00610904">
        <w:rPr>
          <w:rFonts w:cs="Arial"/>
          <w:noProof w:val="0"/>
          <w:lang w:val="en-US"/>
        </w:rPr>
        <w:t>the public hearing</w:t>
      </w:r>
      <w:r w:rsidR="00A714BB" w:rsidRPr="00610904">
        <w:rPr>
          <w:rFonts w:cs="Arial"/>
          <w:noProof w:val="0"/>
          <w:lang w:val="en-US"/>
        </w:rPr>
        <w:t xml:space="preserve"> that,</w:t>
      </w:r>
      <w:r w:rsidR="00D839BE" w:rsidRPr="00610904">
        <w:rPr>
          <w:rFonts w:cs="Arial"/>
          <w:noProof w:val="0"/>
          <w:lang w:val="en-US"/>
        </w:rPr>
        <w:t xml:space="preserve"> </w:t>
      </w:r>
      <w:r w:rsidR="00D839BE" w:rsidRPr="00610904">
        <w:rPr>
          <w:noProof w:val="0"/>
          <w:lang w:val="en-US"/>
        </w:rPr>
        <w:t>“</w:t>
      </w:r>
      <w:r w:rsidR="008802D9" w:rsidRPr="00610904">
        <w:rPr>
          <w:noProof w:val="0"/>
          <w:lang w:val="en-US"/>
        </w:rPr>
        <w:t>at the time the unfortunate events that constitute this case occurred, it should not have delegat</w:t>
      </w:r>
      <w:r w:rsidR="00A714BB" w:rsidRPr="00610904">
        <w:rPr>
          <w:noProof w:val="0"/>
          <w:lang w:val="en-US"/>
        </w:rPr>
        <w:t>e</w:t>
      </w:r>
      <w:r w:rsidR="008802D9" w:rsidRPr="00610904">
        <w:rPr>
          <w:noProof w:val="0"/>
          <w:lang w:val="en-US"/>
        </w:rPr>
        <w:t>d the functions of administering the national blood system</w:t>
      </w:r>
      <w:r w:rsidR="00A714BB" w:rsidRPr="00610904">
        <w:rPr>
          <w:noProof w:val="0"/>
          <w:lang w:val="en-US"/>
        </w:rPr>
        <w:t xml:space="preserve"> to a private entity</w:t>
      </w:r>
      <w:r w:rsidR="008802D9" w:rsidRPr="00610904">
        <w:rPr>
          <w:noProof w:val="0"/>
          <w:lang w:val="en-US"/>
        </w:rPr>
        <w:t xml:space="preserve">.” It also affirmed that, in this case, “fortunately, deprivation of the right to life [was] not being debated, but rather the supposed violation of this right under the standard of conditions for a decent life.” The State argued that, “if the person is not interned in a public or private institution […], but rather under the </w:t>
      </w:r>
      <w:r w:rsidR="00A714BB" w:rsidRPr="00610904">
        <w:rPr>
          <w:noProof w:val="0"/>
          <w:lang w:val="en-US"/>
        </w:rPr>
        <w:t xml:space="preserve">protection of the family and </w:t>
      </w:r>
      <w:r w:rsidR="008802D9" w:rsidRPr="00610904">
        <w:rPr>
          <w:noProof w:val="0"/>
          <w:lang w:val="en-US"/>
        </w:rPr>
        <w:t>their own discipline to follow treatments [… the State’s] function of guarantor in the strict sense cannot be verified directly,” or the obligation of special and enhanced care owed to</w:t>
      </w:r>
      <w:r w:rsidR="00A714BB" w:rsidRPr="00610904">
        <w:rPr>
          <w:noProof w:val="0"/>
          <w:lang w:val="en-US"/>
        </w:rPr>
        <w:t xml:space="preserve"> the protection of patients, an</w:t>
      </w:r>
      <w:r w:rsidR="008802D9" w:rsidRPr="00610904">
        <w:rPr>
          <w:noProof w:val="0"/>
          <w:lang w:val="en-US"/>
        </w:rPr>
        <w:t xml:space="preserve"> obligation that is not applicable in the case of Talía. In addition, the State reported that Talía was “with her family, receiving medical care from the State and […] with the support of a public sector </w:t>
      </w:r>
      <w:r w:rsidR="008802D9" w:rsidRPr="00610904">
        <w:rPr>
          <w:noProof w:val="0"/>
          <w:lang w:val="en-US"/>
        </w:rPr>
        <w:lastRenderedPageBreak/>
        <w:t xml:space="preserve">psychologist.” Regarding the obligation to control and monitor private agencies, the State advised that it had “three </w:t>
      </w:r>
      <w:r w:rsidR="00A714BB" w:rsidRPr="00610904">
        <w:rPr>
          <w:noProof w:val="0"/>
          <w:lang w:val="en-US"/>
        </w:rPr>
        <w:t xml:space="preserve">systems for </w:t>
      </w:r>
      <w:r w:rsidR="008802D9" w:rsidRPr="00610904">
        <w:rPr>
          <w:noProof w:val="0"/>
          <w:lang w:val="en-US"/>
        </w:rPr>
        <w:t>supervision, monitoring and planning,” which met the obligation to protect physical integrity, namely: (i) the Epidemiological Surveillance System to implement second-generation surveillance with the introduction of sentinel studies among populations with the highest exposure; (ii) the Integrated Information System, which supports the monitoring and treatment of patients and the performance of service provide</w:t>
      </w:r>
      <w:r w:rsidR="00A714BB" w:rsidRPr="00610904">
        <w:rPr>
          <w:noProof w:val="0"/>
          <w:lang w:val="en-US"/>
        </w:rPr>
        <w:t>r</w:t>
      </w:r>
      <w:r w:rsidR="008802D9" w:rsidRPr="00610904">
        <w:rPr>
          <w:noProof w:val="0"/>
          <w:lang w:val="en-US"/>
        </w:rPr>
        <w:t xml:space="preserve">s in the area of HIV/AIDS in the different Comprehensive Care Units, and (iii) the Integrated Monitoring and </w:t>
      </w:r>
      <w:r w:rsidR="00856968" w:rsidRPr="00610904">
        <w:rPr>
          <w:noProof w:val="0"/>
          <w:lang w:val="en-US"/>
        </w:rPr>
        <w:t>Evaluation</w:t>
      </w:r>
      <w:r w:rsidR="008802D9" w:rsidRPr="00610904">
        <w:rPr>
          <w:noProof w:val="0"/>
          <w:lang w:val="en-US"/>
        </w:rPr>
        <w:t xml:space="preserve"> System, which</w:t>
      </w:r>
      <w:r w:rsidR="009C719E" w:rsidRPr="00610904">
        <w:rPr>
          <w:noProof w:val="0"/>
          <w:lang w:val="en-US"/>
        </w:rPr>
        <w:t xml:space="preserve"> “plans and monitors programmat</w:t>
      </w:r>
      <w:r w:rsidR="008802D9" w:rsidRPr="00610904">
        <w:rPr>
          <w:noProof w:val="0"/>
          <w:lang w:val="en-US"/>
        </w:rPr>
        <w:t>ic and financial performance.”  Based on the foregoing, the State considered that it had not violated Talía’s right to a decent life.</w:t>
      </w:r>
    </w:p>
    <w:p w:rsidR="00D839BE" w:rsidRPr="00610904" w:rsidRDefault="00D839BE" w:rsidP="00610904">
      <w:pPr>
        <w:rPr>
          <w:noProof w:val="0"/>
          <w:lang w:val="en-US"/>
        </w:rPr>
      </w:pPr>
    </w:p>
    <w:p w:rsidR="008802D9" w:rsidRPr="00610904" w:rsidRDefault="009F3D78" w:rsidP="00610904">
      <w:pPr>
        <w:numPr>
          <w:ilvl w:val="0"/>
          <w:numId w:val="1"/>
        </w:numPr>
        <w:rPr>
          <w:noProof w:val="0"/>
          <w:lang w:val="en-US"/>
        </w:rPr>
      </w:pPr>
      <w:r w:rsidRPr="00610904">
        <w:rPr>
          <w:rFonts w:cs="Arial"/>
          <w:noProof w:val="0"/>
          <w:lang w:val="en-US"/>
        </w:rPr>
        <w:t>The State</w:t>
      </w:r>
      <w:r w:rsidR="00D839BE" w:rsidRPr="00610904">
        <w:rPr>
          <w:rFonts w:cs="Arial"/>
          <w:noProof w:val="0"/>
          <w:lang w:val="en-US"/>
        </w:rPr>
        <w:t xml:space="preserve"> </w:t>
      </w:r>
      <w:r w:rsidR="008802D9" w:rsidRPr="00610904">
        <w:rPr>
          <w:rFonts w:cs="Arial"/>
          <w:noProof w:val="0"/>
          <w:lang w:val="en-US"/>
        </w:rPr>
        <w:t>explained that “when the facts examined in this case occurred, the regulation of health services was established in the laws of Ecuador, starting with the Constitution and including l</w:t>
      </w:r>
      <w:r w:rsidR="009C719E" w:rsidRPr="00610904">
        <w:rPr>
          <w:rFonts w:cs="Arial"/>
          <w:noProof w:val="0"/>
          <w:lang w:val="en-US"/>
        </w:rPr>
        <w:t xml:space="preserve">egal and regulatory provisions for </w:t>
      </w:r>
      <w:r w:rsidR="008802D9" w:rsidRPr="00610904">
        <w:rPr>
          <w:rFonts w:cs="Arial"/>
          <w:noProof w:val="0"/>
          <w:lang w:val="en-US"/>
        </w:rPr>
        <w:t>the operation of entities responsible for blood banks and transfusion services.” In addition, it mentioned several domestic provisions that allegedly regulated aspects such as the provisions of health care services, the operation of blood banks, assistance to patients with HIV, and patients’ rights.</w:t>
      </w:r>
    </w:p>
    <w:p w:rsidR="00D839BE" w:rsidRPr="00610904" w:rsidRDefault="00D839BE" w:rsidP="00610904">
      <w:pPr>
        <w:rPr>
          <w:noProof w:val="0"/>
          <w:lang w:val="en-US"/>
        </w:rPr>
      </w:pPr>
    </w:p>
    <w:p w:rsidR="00D839BE" w:rsidRPr="00610904" w:rsidRDefault="008802D9" w:rsidP="00610904">
      <w:pPr>
        <w:numPr>
          <w:ilvl w:val="0"/>
          <w:numId w:val="1"/>
        </w:numPr>
        <w:rPr>
          <w:noProof w:val="0"/>
          <w:lang w:val="en-US"/>
        </w:rPr>
      </w:pPr>
      <w:r w:rsidRPr="00610904">
        <w:rPr>
          <w:rFonts w:cs="Arial"/>
          <w:noProof w:val="0"/>
          <w:lang w:val="en-US"/>
        </w:rPr>
        <w:t>Consequently</w:t>
      </w:r>
      <w:r w:rsidR="00D839BE" w:rsidRPr="00610904">
        <w:rPr>
          <w:rFonts w:cs="Arial"/>
          <w:noProof w:val="0"/>
          <w:lang w:val="en-US"/>
        </w:rPr>
        <w:t xml:space="preserve">, </w:t>
      </w:r>
      <w:r w:rsidR="009F3D78" w:rsidRPr="00610904">
        <w:rPr>
          <w:rFonts w:cs="Arial"/>
          <w:noProof w:val="0"/>
          <w:lang w:val="en-US"/>
        </w:rPr>
        <w:t>the State</w:t>
      </w:r>
      <w:r w:rsidR="00D839BE" w:rsidRPr="00610904">
        <w:rPr>
          <w:rFonts w:cs="Arial"/>
          <w:noProof w:val="0"/>
          <w:lang w:val="en-US"/>
        </w:rPr>
        <w:t xml:space="preserve"> </w:t>
      </w:r>
      <w:r w:rsidRPr="00610904">
        <w:rPr>
          <w:rFonts w:cs="Arial"/>
          <w:noProof w:val="0"/>
          <w:lang w:val="en-US"/>
        </w:rPr>
        <w:t>argued that it</w:t>
      </w:r>
      <w:r w:rsidR="00D839BE" w:rsidRPr="00610904">
        <w:rPr>
          <w:rFonts w:cs="Arial"/>
          <w:noProof w:val="0"/>
          <w:lang w:val="en-US"/>
        </w:rPr>
        <w:t xml:space="preserve"> “</w:t>
      </w:r>
      <w:r w:rsidRPr="00610904">
        <w:rPr>
          <w:rFonts w:cs="Arial"/>
          <w:noProof w:val="0"/>
          <w:lang w:val="en-US"/>
        </w:rPr>
        <w:t>had not failed to comply with its duty of regulation, because it had established an appropriat</w:t>
      </w:r>
      <w:r w:rsidR="009C719E" w:rsidRPr="00610904">
        <w:rPr>
          <w:rFonts w:cs="Arial"/>
          <w:noProof w:val="0"/>
          <w:lang w:val="en-US"/>
        </w:rPr>
        <w:t>e legal framework that regulated</w:t>
      </w:r>
      <w:r w:rsidRPr="00610904">
        <w:rPr>
          <w:rFonts w:cs="Arial"/>
          <w:noProof w:val="0"/>
          <w:lang w:val="en-US"/>
        </w:rPr>
        <w:t xml:space="preserve"> the provision of health care services,</w:t>
      </w:r>
      <w:r w:rsidR="009C719E" w:rsidRPr="00610904">
        <w:rPr>
          <w:rFonts w:cs="Arial"/>
          <w:noProof w:val="0"/>
          <w:lang w:val="en-US"/>
        </w:rPr>
        <w:t xml:space="preserve"> with quality standards for public and private institutions</w:t>
      </w:r>
      <w:r w:rsidRPr="00610904">
        <w:rPr>
          <w:rFonts w:cs="Arial"/>
          <w:noProof w:val="0"/>
          <w:lang w:val="en-US"/>
        </w:rPr>
        <w:t xml:space="preserve"> that would prevent any threat to a violation of personal integrity in the provision of these services.” The State also argued that, in order to supervise and monitor the operation of the country’s blood banks periodically, it had implemented various actions aimed at evaluating, improving, establishing quality standards</w:t>
      </w:r>
      <w:r w:rsidR="009C719E" w:rsidRPr="00610904">
        <w:rPr>
          <w:rFonts w:cs="Arial"/>
          <w:noProof w:val="0"/>
          <w:lang w:val="en-US"/>
        </w:rPr>
        <w:t xml:space="preserve"> for</w:t>
      </w:r>
      <w:r w:rsidRPr="00610904">
        <w:rPr>
          <w:rFonts w:cs="Arial"/>
          <w:noProof w:val="0"/>
          <w:lang w:val="en-US"/>
        </w:rPr>
        <w:t>, and auditing the public and private blood banks.</w:t>
      </w:r>
    </w:p>
    <w:p w:rsidR="00D839BE" w:rsidRPr="00610904" w:rsidRDefault="00D839BE" w:rsidP="00610904">
      <w:pPr>
        <w:rPr>
          <w:noProof w:val="0"/>
          <w:lang w:val="en-US"/>
        </w:rPr>
      </w:pPr>
    </w:p>
    <w:p w:rsidR="008802D9" w:rsidRPr="00610904" w:rsidRDefault="008802D9" w:rsidP="00610904">
      <w:pPr>
        <w:numPr>
          <w:ilvl w:val="0"/>
          <w:numId w:val="1"/>
        </w:numPr>
        <w:rPr>
          <w:noProof w:val="0"/>
          <w:lang w:val="en-US"/>
        </w:rPr>
      </w:pPr>
      <w:r w:rsidRPr="00610904">
        <w:rPr>
          <w:rFonts w:cs="Arial"/>
          <w:noProof w:val="0"/>
          <w:lang w:val="en-US"/>
        </w:rPr>
        <w:t xml:space="preserve">Furthermore, the State argued that it had complied with its obligation to regulate, supervise and monitor the institutions that provide health care services, “because the national health authority had administrative powers, under the Health Code in force at the time, to monitor </w:t>
      </w:r>
      <w:r w:rsidR="009C719E" w:rsidRPr="00610904">
        <w:rPr>
          <w:rFonts w:cs="Arial"/>
          <w:noProof w:val="0"/>
          <w:lang w:val="en-US"/>
        </w:rPr>
        <w:t>institutions that</w:t>
      </w:r>
      <w:r w:rsidRPr="00610904">
        <w:rPr>
          <w:rFonts w:cs="Arial"/>
          <w:noProof w:val="0"/>
          <w:lang w:val="en-US"/>
        </w:rPr>
        <w:t xml:space="preserve"> provided health care services, and to establish sanctions when appropriate.” Similarly, it argued that “all the public sector health actions and services for her medical and psychological treatment were permanently available; however, the fact that, by her own d</w:t>
      </w:r>
      <w:r w:rsidR="009C719E" w:rsidRPr="00610904">
        <w:rPr>
          <w:rFonts w:cs="Arial"/>
          <w:noProof w:val="0"/>
          <w:lang w:val="en-US"/>
        </w:rPr>
        <w:t>ecision, she did not use these public</w:t>
      </w:r>
      <w:r w:rsidRPr="00610904">
        <w:rPr>
          <w:rFonts w:cs="Arial"/>
          <w:noProof w:val="0"/>
          <w:lang w:val="en-US"/>
        </w:rPr>
        <w:t xml:space="preserve"> mechanisms, does not in any way mean that she has been preven</w:t>
      </w:r>
      <w:r w:rsidR="009C719E" w:rsidRPr="00610904">
        <w:rPr>
          <w:rFonts w:cs="Arial"/>
          <w:noProof w:val="0"/>
          <w:lang w:val="en-US"/>
        </w:rPr>
        <w:t>ted from using them, because</w:t>
      </w:r>
      <w:r w:rsidRPr="00610904">
        <w:rPr>
          <w:rFonts w:cs="Arial"/>
          <w:noProof w:val="0"/>
          <w:lang w:val="en-US"/>
        </w:rPr>
        <w:t xml:space="preserve"> free, immediate and permanent access to th</w:t>
      </w:r>
      <w:r w:rsidR="009C719E" w:rsidRPr="00610904">
        <w:rPr>
          <w:rFonts w:cs="Arial"/>
          <w:noProof w:val="0"/>
          <w:lang w:val="en-US"/>
        </w:rPr>
        <w:t>ese s</w:t>
      </w:r>
      <w:r w:rsidRPr="00610904">
        <w:rPr>
          <w:rFonts w:cs="Arial"/>
          <w:noProof w:val="0"/>
          <w:lang w:val="en-US"/>
        </w:rPr>
        <w:t xml:space="preserve">tate services was guaranteed.” The State emphasized that the HIV/AIDS strategy had been given priority, and “it has its own investment plan in which more than 50 million dollars ha[d] been invested in recent years, </w:t>
      </w:r>
      <w:r w:rsidR="009C719E" w:rsidRPr="00610904">
        <w:rPr>
          <w:rFonts w:cs="Arial"/>
          <w:noProof w:val="0"/>
          <w:lang w:val="en-US"/>
        </w:rPr>
        <w:t>focused</w:t>
      </w:r>
      <w:r w:rsidRPr="00610904">
        <w:rPr>
          <w:rFonts w:cs="Arial"/>
          <w:noProof w:val="0"/>
          <w:lang w:val="en-US"/>
        </w:rPr>
        <w:t xml:space="preserve"> exclusively on this patholo</w:t>
      </w:r>
      <w:r w:rsidR="009C719E" w:rsidRPr="00610904">
        <w:rPr>
          <w:rFonts w:cs="Arial"/>
          <w:noProof w:val="0"/>
          <w:lang w:val="en-US"/>
        </w:rPr>
        <w:t>gy, including free access to</w:t>
      </w:r>
      <w:r w:rsidRPr="00610904">
        <w:rPr>
          <w:rFonts w:cs="Arial"/>
          <w:noProof w:val="0"/>
          <w:lang w:val="en-US"/>
        </w:rPr>
        <w:t xml:space="preserve"> i</w:t>
      </w:r>
      <w:r w:rsidR="009C719E" w:rsidRPr="00610904">
        <w:rPr>
          <w:rFonts w:cs="Arial"/>
          <w:noProof w:val="0"/>
          <w:lang w:val="en-US"/>
        </w:rPr>
        <w:t xml:space="preserve">nternational treatment schemes </w:t>
      </w:r>
      <w:r w:rsidRPr="00610904">
        <w:rPr>
          <w:rFonts w:cs="Arial"/>
          <w:noProof w:val="0"/>
          <w:lang w:val="en-US"/>
        </w:rPr>
        <w:t>for all patients who require[d] this, as we</w:t>
      </w:r>
      <w:r w:rsidR="009C719E" w:rsidRPr="00610904">
        <w:rPr>
          <w:rFonts w:cs="Arial"/>
          <w:noProof w:val="0"/>
          <w:lang w:val="en-US"/>
        </w:rPr>
        <w:t>ll as the provision of diagnostic</w:t>
      </w:r>
      <w:r w:rsidRPr="00610904">
        <w:rPr>
          <w:rFonts w:cs="Arial"/>
          <w:noProof w:val="0"/>
          <w:lang w:val="en-US"/>
        </w:rPr>
        <w:t>, prevention, promotion</w:t>
      </w:r>
      <w:r w:rsidR="009C719E" w:rsidRPr="00610904">
        <w:rPr>
          <w:rFonts w:cs="Arial"/>
          <w:noProof w:val="0"/>
          <w:lang w:val="en-US"/>
        </w:rPr>
        <w:t>,</w:t>
      </w:r>
      <w:r w:rsidRPr="00610904">
        <w:rPr>
          <w:rFonts w:cs="Arial"/>
          <w:noProof w:val="0"/>
          <w:lang w:val="en-US"/>
        </w:rPr>
        <w:t xml:space="preserve"> and comprehensive treatment services.” It underscored that “it was under this level of health care service that Talía had been and continue[d] to be treated.”</w:t>
      </w:r>
    </w:p>
    <w:p w:rsidR="00D839BE" w:rsidRPr="00610904" w:rsidRDefault="00D839BE" w:rsidP="00610904">
      <w:pPr>
        <w:rPr>
          <w:noProof w:val="0"/>
          <w:lang w:val="en-US"/>
        </w:rPr>
      </w:pPr>
    </w:p>
    <w:p w:rsidR="00D839BE" w:rsidRPr="00610904" w:rsidRDefault="009F3D78" w:rsidP="00610904">
      <w:pPr>
        <w:numPr>
          <w:ilvl w:val="0"/>
          <w:numId w:val="1"/>
        </w:numPr>
        <w:rPr>
          <w:noProof w:val="0"/>
          <w:lang w:val="en-US"/>
        </w:rPr>
      </w:pPr>
      <w:r w:rsidRPr="00610904">
        <w:rPr>
          <w:rFonts w:cs="Arial"/>
          <w:noProof w:val="0"/>
          <w:lang w:val="en-US"/>
        </w:rPr>
        <w:t>The State</w:t>
      </w:r>
      <w:r w:rsidR="00D839BE" w:rsidRPr="00610904">
        <w:rPr>
          <w:rFonts w:cs="Arial"/>
          <w:noProof w:val="0"/>
          <w:lang w:val="en-US"/>
        </w:rPr>
        <w:t xml:space="preserve"> </w:t>
      </w:r>
      <w:r w:rsidR="008802D9" w:rsidRPr="00610904">
        <w:rPr>
          <w:rFonts w:cs="Arial"/>
          <w:noProof w:val="0"/>
          <w:lang w:val="en-US"/>
        </w:rPr>
        <w:t xml:space="preserve">asserted that </w:t>
      </w:r>
      <w:r w:rsidR="003309BE" w:rsidRPr="00610904">
        <w:rPr>
          <w:rFonts w:cs="Arial"/>
          <w:noProof w:val="0"/>
          <w:lang w:val="en-US"/>
        </w:rPr>
        <w:t xml:space="preserve">the </w:t>
      </w:r>
      <w:r w:rsidRPr="00610904">
        <w:rPr>
          <w:rFonts w:cs="Arial"/>
          <w:noProof w:val="0"/>
          <w:lang w:val="en-US"/>
        </w:rPr>
        <w:t>representatives</w:t>
      </w:r>
      <w:r w:rsidR="008802D9" w:rsidRPr="00610904">
        <w:rPr>
          <w:rFonts w:cs="Arial"/>
          <w:noProof w:val="0"/>
          <w:lang w:val="en-US"/>
        </w:rPr>
        <w:t xml:space="preserve">’ </w:t>
      </w:r>
      <w:r w:rsidR="009303FF" w:rsidRPr="00610904">
        <w:rPr>
          <w:rFonts w:cs="Arial"/>
          <w:noProof w:val="0"/>
          <w:lang w:val="en-US"/>
        </w:rPr>
        <w:t xml:space="preserve">point of view with regard to </w:t>
      </w:r>
      <w:r w:rsidRPr="00610904">
        <w:rPr>
          <w:rFonts w:cs="Arial"/>
          <w:noProof w:val="0"/>
          <w:lang w:val="en-US"/>
        </w:rPr>
        <w:t>Article</w:t>
      </w:r>
      <w:r w:rsidR="008802D9" w:rsidRPr="00610904">
        <w:rPr>
          <w:rFonts w:cs="Arial"/>
          <w:noProof w:val="0"/>
          <w:lang w:val="en-US"/>
        </w:rPr>
        <w:t xml:space="preserve"> 26 did not meet the conditions of </w:t>
      </w:r>
      <w:r w:rsidR="008802D9" w:rsidRPr="00610904">
        <w:rPr>
          <w:bCs/>
          <w:noProof w:val="0"/>
          <w:lang w:val="en-US"/>
        </w:rPr>
        <w:t>justiciability</w:t>
      </w:r>
      <w:r w:rsidR="008802D9" w:rsidRPr="00610904">
        <w:rPr>
          <w:rFonts w:cs="Arial"/>
          <w:noProof w:val="0"/>
          <w:lang w:val="en-US"/>
        </w:rPr>
        <w:t xml:space="preserve"> required to consider the case to be of a contentious nature, constituting “an ‘abstract case’ that, to the contrary, is situated within the advisory dimension relating to the promotion of human rights, that could equally well be dealt with in a technical or thematic report </w:t>
      </w:r>
      <w:r w:rsidR="003309BE" w:rsidRPr="00610904">
        <w:rPr>
          <w:rFonts w:cs="Arial"/>
          <w:noProof w:val="0"/>
          <w:lang w:val="en-US"/>
        </w:rPr>
        <w:t xml:space="preserve">of the </w:t>
      </w:r>
      <w:r w:rsidR="002F5BBA" w:rsidRPr="00610904">
        <w:rPr>
          <w:rFonts w:cs="Arial"/>
          <w:noProof w:val="0"/>
          <w:lang w:val="en-US"/>
        </w:rPr>
        <w:t>Inter-American Commission</w:t>
      </w:r>
      <w:r w:rsidR="008802D9" w:rsidRPr="00610904">
        <w:rPr>
          <w:rFonts w:cs="Arial"/>
          <w:noProof w:val="0"/>
          <w:lang w:val="en-US"/>
        </w:rPr>
        <w:t>.”</w:t>
      </w:r>
      <w:r w:rsidR="00D839BE" w:rsidRPr="00610904">
        <w:rPr>
          <w:rFonts w:cs="Arial"/>
          <w:noProof w:val="0"/>
          <w:lang w:val="en-US"/>
        </w:rPr>
        <w:t xml:space="preserve"> </w:t>
      </w:r>
      <w:r w:rsidR="008802D9" w:rsidRPr="00610904">
        <w:rPr>
          <w:rFonts w:cs="Arial"/>
          <w:noProof w:val="0"/>
          <w:lang w:val="en-US"/>
        </w:rPr>
        <w:t>It added that “it is not possible to accuse the State of</w:t>
      </w:r>
      <w:r w:rsidR="009303FF" w:rsidRPr="00610904">
        <w:rPr>
          <w:rFonts w:cs="Arial"/>
          <w:noProof w:val="0"/>
          <w:lang w:val="en-US"/>
        </w:rPr>
        <w:t xml:space="preserve"> inertia</w:t>
      </w:r>
      <w:r w:rsidR="008802D9" w:rsidRPr="00610904">
        <w:rPr>
          <w:rFonts w:cs="Arial"/>
          <w:noProof w:val="0"/>
          <w:lang w:val="en-US"/>
        </w:rPr>
        <w:t xml:space="preserve"> </w:t>
      </w:r>
      <w:r w:rsidR="009303FF" w:rsidRPr="00610904">
        <w:rPr>
          <w:rFonts w:cs="Arial"/>
          <w:noProof w:val="0"/>
          <w:spacing w:val="-2"/>
          <w:lang w:val="en-US"/>
        </w:rPr>
        <w:t>o</w:t>
      </w:r>
      <w:r w:rsidR="00CC4639" w:rsidRPr="00610904">
        <w:rPr>
          <w:rFonts w:cs="Arial"/>
          <w:noProof w:val="0"/>
          <w:spacing w:val="-2"/>
          <w:lang w:val="en-US"/>
        </w:rPr>
        <w:t xml:space="preserve">n public policies related to the social sector, or of backsliding in the area of social programs, circumstances that would reveal a pattern that could violate [economic, social and cultural rights].” The State stressed that it had “made notable </w:t>
      </w:r>
      <w:r w:rsidR="00CC4639" w:rsidRPr="00610904">
        <w:rPr>
          <w:rFonts w:cs="Arial"/>
          <w:noProof w:val="0"/>
          <w:spacing w:val="-2"/>
          <w:lang w:val="en-US"/>
        </w:rPr>
        <w:lastRenderedPageBreak/>
        <w:t>progress in the provision of public services and the legal implementation of economic, social and cultural rights.</w:t>
      </w:r>
      <w:r w:rsidR="00D839BE" w:rsidRPr="00610904">
        <w:rPr>
          <w:rFonts w:cs="Arial"/>
          <w:noProof w:val="0"/>
          <w:spacing w:val="-2"/>
          <w:lang w:val="en-US"/>
        </w:rPr>
        <w:t>”</w:t>
      </w:r>
      <w:r w:rsidR="00D839BE" w:rsidRPr="00610904">
        <w:rPr>
          <w:rStyle w:val="FootnoteReference"/>
          <w:noProof w:val="0"/>
          <w:spacing w:val="-2"/>
          <w:lang w:val="en-US"/>
        </w:rPr>
        <w:footnoteReference w:id="190"/>
      </w:r>
      <w:r w:rsidR="00D839BE" w:rsidRPr="00610904">
        <w:rPr>
          <w:rFonts w:cs="Arial"/>
          <w:noProof w:val="0"/>
          <w:spacing w:val="-2"/>
          <w:lang w:val="en-US"/>
        </w:rPr>
        <w:t xml:space="preserve"> </w:t>
      </w:r>
    </w:p>
    <w:p w:rsidR="00D839BE" w:rsidRPr="00610904" w:rsidRDefault="00D839BE" w:rsidP="00610904">
      <w:pPr>
        <w:rPr>
          <w:noProof w:val="0"/>
          <w:lang w:val="en-US"/>
        </w:rPr>
      </w:pPr>
    </w:p>
    <w:p w:rsidR="00CC4639" w:rsidRPr="00610904" w:rsidRDefault="00CC4639" w:rsidP="00610904">
      <w:pPr>
        <w:numPr>
          <w:ilvl w:val="0"/>
          <w:numId w:val="1"/>
        </w:numPr>
        <w:autoSpaceDE w:val="0"/>
        <w:autoSpaceDN w:val="0"/>
        <w:adjustRightInd w:val="0"/>
        <w:contextualSpacing/>
        <w:rPr>
          <w:rFonts w:cs="Arial"/>
          <w:noProof w:val="0"/>
          <w:spacing w:val="-2"/>
          <w:lang w:val="en-US"/>
        </w:rPr>
      </w:pPr>
      <w:r w:rsidRPr="00610904">
        <w:rPr>
          <w:noProof w:val="0"/>
          <w:spacing w:val="-2"/>
          <w:lang w:val="en-US"/>
        </w:rPr>
        <w:t>Lastly,</w:t>
      </w:r>
      <w:r w:rsidR="00D839BE" w:rsidRPr="00610904">
        <w:rPr>
          <w:noProof w:val="0"/>
          <w:spacing w:val="-2"/>
          <w:lang w:val="en-US"/>
        </w:rPr>
        <w:t xml:space="preserve"> </w:t>
      </w:r>
      <w:r w:rsidR="009F3D78" w:rsidRPr="00610904">
        <w:rPr>
          <w:noProof w:val="0"/>
          <w:spacing w:val="-2"/>
          <w:lang w:val="en-US"/>
        </w:rPr>
        <w:t>the State</w:t>
      </w:r>
      <w:r w:rsidR="00D839BE" w:rsidRPr="00610904">
        <w:rPr>
          <w:b/>
          <w:i/>
          <w:noProof w:val="0"/>
          <w:spacing w:val="-2"/>
          <w:lang w:val="en-US"/>
        </w:rPr>
        <w:t xml:space="preserve"> </w:t>
      </w:r>
      <w:r w:rsidRPr="00610904">
        <w:rPr>
          <w:noProof w:val="0"/>
          <w:spacing w:val="-2"/>
          <w:lang w:val="en-US"/>
        </w:rPr>
        <w:t>argued that</w:t>
      </w:r>
      <w:r w:rsidR="00D839BE" w:rsidRPr="00610904">
        <w:rPr>
          <w:noProof w:val="0"/>
          <w:spacing w:val="-2"/>
          <w:lang w:val="en-US"/>
        </w:rPr>
        <w:t xml:space="preserve"> Teresa Lluy </w:t>
      </w:r>
      <w:r w:rsidRPr="00610904">
        <w:rPr>
          <w:noProof w:val="0"/>
          <w:spacing w:val="-2"/>
          <w:lang w:val="en-US"/>
        </w:rPr>
        <w:t xml:space="preserve">had requested the gynecological examination of her daughter voluntarily, and </w:t>
      </w:r>
      <w:r w:rsidR="009303FF" w:rsidRPr="00610904">
        <w:rPr>
          <w:noProof w:val="0"/>
          <w:spacing w:val="-2"/>
          <w:lang w:val="en-US"/>
        </w:rPr>
        <w:t>stressed that her</w:t>
      </w:r>
      <w:r w:rsidRPr="00610904">
        <w:rPr>
          <w:noProof w:val="0"/>
          <w:spacing w:val="-2"/>
          <w:lang w:val="en-US"/>
        </w:rPr>
        <w:t xml:space="preserve"> request is recorded on the medical certificate issued following the examination. It also pointed out that, if the examination had been at the procedural initiative of the crimin</w:t>
      </w:r>
      <w:r w:rsidR="009303FF" w:rsidRPr="00610904">
        <w:rPr>
          <w:noProof w:val="0"/>
          <w:spacing w:val="-2"/>
          <w:lang w:val="en-US"/>
        </w:rPr>
        <w:t>al judge, the latter</w:t>
      </w:r>
      <w:r w:rsidRPr="00610904">
        <w:rPr>
          <w:noProof w:val="0"/>
          <w:spacing w:val="-2"/>
          <w:lang w:val="en-US"/>
        </w:rPr>
        <w:t xml:space="preserve"> would have had to appoint specialized medical experts to perform it. Therefore, it concluded that “no judicial or administrative authority requested or ordered Teresa Lluy to subject her daughter to a gynecological examination. This examination was performed on the initiative of Mrs. Lluy, who incorporated this document in</w:t>
      </w:r>
      <w:r w:rsidR="009303FF" w:rsidRPr="00610904">
        <w:rPr>
          <w:noProof w:val="0"/>
          <w:spacing w:val="-2"/>
          <w:lang w:val="en-US"/>
        </w:rPr>
        <w:t>to</w:t>
      </w:r>
      <w:r w:rsidRPr="00610904">
        <w:rPr>
          <w:noProof w:val="0"/>
          <w:spacing w:val="-2"/>
          <w:lang w:val="en-US"/>
        </w:rPr>
        <w:t xml:space="preserve"> the criminal proceedings on her own account.”</w:t>
      </w:r>
    </w:p>
    <w:p w:rsidR="00D839BE" w:rsidRPr="00610904" w:rsidRDefault="00D839BE" w:rsidP="00610904">
      <w:pPr>
        <w:contextualSpacing/>
        <w:rPr>
          <w:noProof w:val="0"/>
          <w:spacing w:val="-2"/>
          <w:szCs w:val="20"/>
          <w:lang w:val="en-US"/>
        </w:rPr>
      </w:pPr>
    </w:p>
    <w:p w:rsidR="00D839BE" w:rsidRPr="00610904" w:rsidRDefault="00A8072E" w:rsidP="00610904">
      <w:pPr>
        <w:autoSpaceDE w:val="0"/>
        <w:autoSpaceDN w:val="0"/>
        <w:adjustRightInd w:val="0"/>
        <w:ind w:left="450"/>
        <w:rPr>
          <w:rFonts w:cs="Arial"/>
          <w:noProof w:val="0"/>
          <w:spacing w:val="-2"/>
          <w:lang w:val="en-US"/>
        </w:rPr>
      </w:pPr>
      <w:r w:rsidRPr="00610904">
        <w:rPr>
          <w:rFonts w:cs="Arial"/>
          <w:i/>
          <w:noProof w:val="0"/>
          <w:lang w:val="en-US"/>
        </w:rPr>
        <w:t>Considerations</w:t>
      </w:r>
      <w:r w:rsidR="009F3D78" w:rsidRPr="00610904">
        <w:rPr>
          <w:rFonts w:cs="Arial"/>
          <w:i/>
          <w:noProof w:val="0"/>
          <w:lang w:val="en-US"/>
        </w:rPr>
        <w:t xml:space="preserve"> of the Court</w:t>
      </w:r>
    </w:p>
    <w:p w:rsidR="00D839BE" w:rsidRPr="00610904" w:rsidRDefault="00D839BE" w:rsidP="00610904">
      <w:pPr>
        <w:rPr>
          <w:noProof w:val="0"/>
          <w:lang w:val="en-US"/>
        </w:rPr>
      </w:pPr>
    </w:p>
    <w:p w:rsidR="00D839BE" w:rsidRPr="00610904" w:rsidRDefault="00CC4639" w:rsidP="00610904">
      <w:pPr>
        <w:numPr>
          <w:ilvl w:val="0"/>
          <w:numId w:val="1"/>
        </w:numPr>
        <w:rPr>
          <w:noProof w:val="0"/>
          <w:lang w:val="en-US"/>
        </w:rPr>
      </w:pPr>
      <w:r w:rsidRPr="00610904">
        <w:rPr>
          <w:rFonts w:cs="Arial"/>
          <w:noProof w:val="0"/>
          <w:spacing w:val="-2"/>
          <w:lang w:val="en-US"/>
        </w:rPr>
        <w:t>The Court will now examine: (</w:t>
      </w:r>
      <w:r w:rsidR="00D839BE" w:rsidRPr="00610904">
        <w:rPr>
          <w:rFonts w:cs="Arial"/>
          <w:noProof w:val="0"/>
          <w:spacing w:val="-2"/>
          <w:lang w:val="en-US"/>
        </w:rPr>
        <w:t>A</w:t>
      </w:r>
      <w:r w:rsidRPr="00610904">
        <w:rPr>
          <w:rFonts w:cs="Arial"/>
          <w:noProof w:val="0"/>
          <w:spacing w:val="-2"/>
          <w:lang w:val="en-US"/>
        </w:rPr>
        <w:t>) the</w:t>
      </w:r>
      <w:r w:rsidR="00D839BE" w:rsidRPr="00610904">
        <w:rPr>
          <w:rFonts w:cs="Arial"/>
          <w:noProof w:val="0"/>
          <w:spacing w:val="-2"/>
          <w:lang w:val="en-US"/>
        </w:rPr>
        <w:t xml:space="preserve"> </w:t>
      </w:r>
      <w:r w:rsidR="008357AC" w:rsidRPr="00610904">
        <w:rPr>
          <w:noProof w:val="0"/>
          <w:lang w:val="en-US"/>
        </w:rPr>
        <w:t xml:space="preserve">right to life, </w:t>
      </w:r>
      <w:r w:rsidRPr="00610904">
        <w:rPr>
          <w:noProof w:val="0"/>
          <w:lang w:val="en-US"/>
        </w:rPr>
        <w:t xml:space="preserve">the </w:t>
      </w:r>
      <w:r w:rsidR="008357AC" w:rsidRPr="00610904">
        <w:rPr>
          <w:noProof w:val="0"/>
          <w:lang w:val="en-US"/>
        </w:rPr>
        <w:t>right to personal integrity and</w:t>
      </w:r>
      <w:r w:rsidRPr="00610904">
        <w:rPr>
          <w:noProof w:val="0"/>
          <w:lang w:val="en-US"/>
        </w:rPr>
        <w:t xml:space="preserve"> the </w:t>
      </w:r>
      <w:r w:rsidR="008357AC" w:rsidRPr="00610904">
        <w:rPr>
          <w:noProof w:val="0"/>
          <w:lang w:val="en-US"/>
        </w:rPr>
        <w:t>right to health</w:t>
      </w:r>
      <w:r w:rsidR="00D839BE" w:rsidRPr="00610904">
        <w:rPr>
          <w:noProof w:val="0"/>
          <w:lang w:val="en-US"/>
        </w:rPr>
        <w:t xml:space="preserve"> </w:t>
      </w:r>
      <w:r w:rsidR="008357AC" w:rsidRPr="00610904">
        <w:rPr>
          <w:noProof w:val="0"/>
          <w:lang w:val="en-US"/>
        </w:rPr>
        <w:t xml:space="preserve">in relation to the obligation to regulate, monitor and supervise the services provided by private health </w:t>
      </w:r>
      <w:r w:rsidR="009303FF" w:rsidRPr="00610904">
        <w:rPr>
          <w:noProof w:val="0"/>
          <w:lang w:val="en-US"/>
        </w:rPr>
        <w:t xml:space="preserve">care </w:t>
      </w:r>
      <w:r w:rsidR="008357AC" w:rsidRPr="00610904">
        <w:rPr>
          <w:noProof w:val="0"/>
          <w:lang w:val="en-US"/>
        </w:rPr>
        <w:t>centers</w:t>
      </w:r>
      <w:r w:rsidR="00D839BE" w:rsidRPr="00610904">
        <w:rPr>
          <w:rFonts w:cs="Arial"/>
          <w:noProof w:val="0"/>
          <w:spacing w:val="-2"/>
          <w:lang w:val="en-US"/>
        </w:rPr>
        <w:t>;</w:t>
      </w:r>
      <w:r w:rsidR="009F3D78" w:rsidRPr="00610904">
        <w:rPr>
          <w:rFonts w:cs="Arial"/>
          <w:noProof w:val="0"/>
          <w:spacing w:val="-2"/>
          <w:lang w:val="en-US"/>
        </w:rPr>
        <w:t xml:space="preserve"> and </w:t>
      </w:r>
      <w:r w:rsidRPr="00610904">
        <w:rPr>
          <w:rFonts w:cs="Arial"/>
          <w:noProof w:val="0"/>
          <w:spacing w:val="-2"/>
          <w:lang w:val="en-US"/>
        </w:rPr>
        <w:t>(</w:t>
      </w:r>
      <w:r w:rsidR="00D839BE" w:rsidRPr="00610904">
        <w:rPr>
          <w:rFonts w:cs="Arial"/>
          <w:noProof w:val="0"/>
          <w:spacing w:val="-2"/>
          <w:lang w:val="en-US"/>
        </w:rPr>
        <w:t xml:space="preserve">B) </w:t>
      </w:r>
      <w:r w:rsidRPr="00610904">
        <w:rPr>
          <w:rFonts w:cs="Arial"/>
          <w:noProof w:val="0"/>
          <w:spacing w:val="-2"/>
          <w:lang w:val="en-US"/>
        </w:rPr>
        <w:t xml:space="preserve">the availability, accessibility, </w:t>
      </w:r>
      <w:r w:rsidR="009303FF" w:rsidRPr="00610904">
        <w:rPr>
          <w:rFonts w:cs="Arial"/>
          <w:noProof w:val="0"/>
          <w:spacing w:val="-2"/>
          <w:lang w:val="en-US"/>
        </w:rPr>
        <w:t>acceptability and quality of</w:t>
      </w:r>
      <w:r w:rsidRPr="00610904">
        <w:rPr>
          <w:rFonts w:cs="Arial"/>
          <w:noProof w:val="0"/>
          <w:spacing w:val="-2"/>
          <w:lang w:val="en-US"/>
        </w:rPr>
        <w:t xml:space="preserve"> health care in the context of the right to life and to </w:t>
      </w:r>
      <w:r w:rsidR="008956E2" w:rsidRPr="00610904">
        <w:rPr>
          <w:rFonts w:cs="Arial"/>
          <w:noProof w:val="0"/>
          <w:spacing w:val="-2"/>
          <w:lang w:val="en-US"/>
        </w:rPr>
        <w:t>personal integrity</w:t>
      </w:r>
      <w:r w:rsidRPr="00610904">
        <w:rPr>
          <w:rFonts w:cs="Arial"/>
          <w:noProof w:val="0"/>
          <w:spacing w:val="-2"/>
          <w:lang w:val="en-US"/>
        </w:rPr>
        <w:t>, both</w:t>
      </w:r>
      <w:r w:rsidR="00D839BE" w:rsidRPr="00610904">
        <w:rPr>
          <w:rFonts w:cs="Arial"/>
          <w:noProof w:val="0"/>
          <w:spacing w:val="-2"/>
          <w:lang w:val="en-US"/>
        </w:rPr>
        <w:t xml:space="preserve"> </w:t>
      </w:r>
      <w:r w:rsidR="004A6E8B" w:rsidRPr="00610904">
        <w:rPr>
          <w:rFonts w:cs="Arial"/>
          <w:noProof w:val="0"/>
          <w:spacing w:val="-2"/>
          <w:lang w:val="en-US"/>
        </w:rPr>
        <w:t>in relation to</w:t>
      </w:r>
      <w:r w:rsidR="00856968" w:rsidRPr="00610904">
        <w:rPr>
          <w:rFonts w:cs="Arial"/>
          <w:noProof w:val="0"/>
          <w:spacing w:val="-2"/>
          <w:lang w:val="en-US"/>
        </w:rPr>
        <w:t xml:space="preserve"> Talía González Ll</w:t>
      </w:r>
      <w:r w:rsidR="00D839BE" w:rsidRPr="00610904">
        <w:rPr>
          <w:rFonts w:cs="Arial"/>
          <w:noProof w:val="0"/>
          <w:spacing w:val="-2"/>
          <w:lang w:val="en-US"/>
        </w:rPr>
        <w:t xml:space="preserve">uy. </w:t>
      </w:r>
      <w:r w:rsidRPr="00610904">
        <w:rPr>
          <w:rFonts w:cs="Arial"/>
          <w:noProof w:val="0"/>
          <w:spacing w:val="-2"/>
          <w:lang w:val="en-US"/>
        </w:rPr>
        <w:t>Subsequently, it will examine: (C) the r</w:t>
      </w:r>
      <w:r w:rsidR="005550B0" w:rsidRPr="00610904">
        <w:rPr>
          <w:rFonts w:cs="Arial"/>
          <w:noProof w:val="0"/>
          <w:spacing w:val="-2"/>
          <w:lang w:val="en-US"/>
        </w:rPr>
        <w:t>ight to personal integrity of</w:t>
      </w:r>
      <w:r w:rsidR="00D839BE" w:rsidRPr="00610904">
        <w:rPr>
          <w:noProof w:val="0"/>
          <w:lang w:val="en-US"/>
        </w:rPr>
        <w:t xml:space="preserve"> Teresa Lluy </w:t>
      </w:r>
      <w:r w:rsidR="005550B0" w:rsidRPr="00610904">
        <w:rPr>
          <w:noProof w:val="0"/>
          <w:lang w:val="en-US"/>
        </w:rPr>
        <w:t>and Iván</w:t>
      </w:r>
      <w:r w:rsidR="00D839BE" w:rsidRPr="00610904">
        <w:rPr>
          <w:noProof w:val="0"/>
          <w:lang w:val="en-US"/>
        </w:rPr>
        <w:t xml:space="preserve"> Lluy.</w:t>
      </w:r>
    </w:p>
    <w:p w:rsidR="00D839BE" w:rsidRPr="00610904" w:rsidRDefault="00D839BE" w:rsidP="00610904">
      <w:pPr>
        <w:rPr>
          <w:noProof w:val="0"/>
          <w:lang w:val="en-US"/>
        </w:rPr>
      </w:pPr>
    </w:p>
    <w:p w:rsidR="00D839BE" w:rsidRPr="00610904" w:rsidRDefault="00CC4639" w:rsidP="00610904">
      <w:pPr>
        <w:numPr>
          <w:ilvl w:val="0"/>
          <w:numId w:val="1"/>
        </w:numPr>
        <w:rPr>
          <w:noProof w:val="0"/>
          <w:lang w:val="en-US"/>
        </w:rPr>
      </w:pPr>
      <w:r w:rsidRPr="00610904">
        <w:rPr>
          <w:noProof w:val="0"/>
          <w:lang w:val="en-US"/>
        </w:rPr>
        <w:t xml:space="preserve">This Court has affirmed that, in application </w:t>
      </w:r>
      <w:r w:rsidR="006E502B" w:rsidRPr="00610904">
        <w:rPr>
          <w:noProof w:val="0"/>
          <w:lang w:val="en-US"/>
        </w:rPr>
        <w:t>of Article 1(1)</w:t>
      </w:r>
      <w:r w:rsidR="009F3D78" w:rsidRPr="00610904">
        <w:rPr>
          <w:noProof w:val="0"/>
          <w:lang w:val="en-US"/>
        </w:rPr>
        <w:t xml:space="preserve"> of the Convention</w:t>
      </w:r>
      <w:r w:rsidR="00D839BE" w:rsidRPr="00610904">
        <w:rPr>
          <w:noProof w:val="0"/>
          <w:lang w:val="en-US"/>
        </w:rPr>
        <w:t>,</w:t>
      </w:r>
      <w:r w:rsidRPr="00610904">
        <w:rPr>
          <w:noProof w:val="0"/>
          <w:lang w:val="en-US"/>
        </w:rPr>
        <w:t xml:space="preserve"> States have the obligation </w:t>
      </w:r>
      <w:r w:rsidR="00D839BE" w:rsidRPr="00610904">
        <w:rPr>
          <w:i/>
          <w:noProof w:val="0"/>
          <w:lang w:val="en-US"/>
        </w:rPr>
        <w:t>erga omnes</w:t>
      </w:r>
      <w:r w:rsidRPr="00610904">
        <w:rPr>
          <w:noProof w:val="0"/>
          <w:lang w:val="en-US"/>
        </w:rPr>
        <w:t xml:space="preserve"> to respect and ensure the norms of protection, and to ensure the effectiveness of human rights.</w:t>
      </w:r>
      <w:r w:rsidR="00D839BE" w:rsidRPr="00610904">
        <w:rPr>
          <w:noProof w:val="0"/>
          <w:vertAlign w:val="superscript"/>
          <w:lang w:val="en-US"/>
        </w:rPr>
        <w:footnoteReference w:id="191"/>
      </w:r>
      <w:r w:rsidRPr="00610904">
        <w:rPr>
          <w:noProof w:val="0"/>
          <w:lang w:val="en-US"/>
        </w:rPr>
        <w:t xml:space="preserve"> Consequently, States undertake not only to respect the rights and freedoms recognized in the Convention (passive obligation), but also to adopt all the appropriate measures to ensure them (active obligation</w:t>
      </w:r>
      <w:r w:rsidR="00D839BE" w:rsidRPr="00610904">
        <w:rPr>
          <w:noProof w:val="0"/>
          <w:lang w:val="en-US"/>
        </w:rPr>
        <w:t>)</w:t>
      </w:r>
      <w:r w:rsidR="0026427C" w:rsidRPr="00610904">
        <w:rPr>
          <w:noProof w:val="0"/>
          <w:lang w:val="en-US"/>
        </w:rPr>
        <w:t>.</w:t>
      </w:r>
      <w:r w:rsidR="00D839BE" w:rsidRPr="00610904">
        <w:rPr>
          <w:rStyle w:val="FootnoteReference"/>
          <w:noProof w:val="0"/>
          <w:lang w:val="en-US"/>
        </w:rPr>
        <w:footnoteReference w:id="192"/>
      </w:r>
      <w:r w:rsidR="0026427C" w:rsidRPr="00610904">
        <w:rPr>
          <w:noProof w:val="0"/>
          <w:lang w:val="en-US"/>
        </w:rPr>
        <w:t xml:space="preserve"> In this regard, the Court has established that it is not sufficient that State</w:t>
      </w:r>
      <w:r w:rsidR="009303FF" w:rsidRPr="00610904">
        <w:rPr>
          <w:noProof w:val="0"/>
          <w:lang w:val="en-US"/>
        </w:rPr>
        <w:t>s</w:t>
      </w:r>
      <w:r w:rsidR="0026427C" w:rsidRPr="00610904">
        <w:rPr>
          <w:noProof w:val="0"/>
          <w:lang w:val="en-US"/>
        </w:rPr>
        <w:t xml:space="preserve"> abstain from violating rights</w:t>
      </w:r>
      <w:r w:rsidR="009303FF" w:rsidRPr="00610904">
        <w:rPr>
          <w:noProof w:val="0"/>
          <w:lang w:val="en-US"/>
        </w:rPr>
        <w:t>; rather it is essential that they</w:t>
      </w:r>
      <w:r w:rsidR="0026427C" w:rsidRPr="00610904">
        <w:rPr>
          <w:noProof w:val="0"/>
          <w:lang w:val="en-US"/>
        </w:rPr>
        <w:t xml:space="preserve"> adopt positive measures, to be determined based on the specific needs for protection of the subjects of law, due either to their personal situation, or to the specific situation in which they find themselves.</w:t>
      </w:r>
      <w:r w:rsidR="00D839BE" w:rsidRPr="00610904">
        <w:rPr>
          <w:rStyle w:val="FootnoteReference"/>
          <w:rFonts w:cs="Verdana"/>
          <w:noProof w:val="0"/>
          <w:lang w:val="en-US"/>
        </w:rPr>
        <w:footnoteReference w:id="193"/>
      </w:r>
    </w:p>
    <w:p w:rsidR="00D839BE" w:rsidRPr="00610904" w:rsidRDefault="00D839BE" w:rsidP="00610904">
      <w:pPr>
        <w:rPr>
          <w:noProof w:val="0"/>
          <w:lang w:val="en-US"/>
        </w:rPr>
      </w:pPr>
    </w:p>
    <w:p w:rsidR="00D839BE" w:rsidRPr="00610904" w:rsidRDefault="00A8072E" w:rsidP="00610904">
      <w:pPr>
        <w:numPr>
          <w:ilvl w:val="0"/>
          <w:numId w:val="1"/>
        </w:numPr>
        <w:rPr>
          <w:noProof w:val="0"/>
          <w:lang w:val="en-US"/>
        </w:rPr>
      </w:pPr>
      <w:r w:rsidRPr="00610904">
        <w:rPr>
          <w:noProof w:val="0"/>
          <w:lang w:val="en-US"/>
        </w:rPr>
        <w:t>Article</w:t>
      </w:r>
      <w:r w:rsidR="00D839BE" w:rsidRPr="00610904">
        <w:rPr>
          <w:noProof w:val="0"/>
          <w:lang w:val="en-US"/>
        </w:rPr>
        <w:t xml:space="preserve"> 4</w:t>
      </w:r>
      <w:r w:rsidR="009F3D78" w:rsidRPr="00610904">
        <w:rPr>
          <w:noProof w:val="0"/>
          <w:lang w:val="en-US"/>
        </w:rPr>
        <w:t xml:space="preserve"> of the Convention</w:t>
      </w:r>
      <w:r w:rsidR="00D839BE" w:rsidRPr="00610904">
        <w:rPr>
          <w:noProof w:val="0"/>
          <w:lang w:val="en-US"/>
        </w:rPr>
        <w:t xml:space="preserve"> </w:t>
      </w:r>
      <w:r w:rsidR="0026427C" w:rsidRPr="00610904">
        <w:rPr>
          <w:noProof w:val="0"/>
          <w:lang w:val="en-US"/>
        </w:rPr>
        <w:t xml:space="preserve">guarantees not only the right of every human being not to be arbitrarily deprived of life, but also the obligation of the State to take the necessary </w:t>
      </w:r>
      <w:r w:rsidR="0026427C" w:rsidRPr="00610904">
        <w:rPr>
          <w:noProof w:val="0"/>
          <w:lang w:val="en-US"/>
        </w:rPr>
        <w:lastRenderedPageBreak/>
        <w:t xml:space="preserve">measures to establish </w:t>
      </w:r>
      <w:r w:rsidR="009303FF" w:rsidRPr="00610904">
        <w:rPr>
          <w:noProof w:val="0"/>
          <w:lang w:val="en-US"/>
        </w:rPr>
        <w:t>an adequate legal framework to dissuade</w:t>
      </w:r>
      <w:r w:rsidR="0026427C" w:rsidRPr="00610904">
        <w:rPr>
          <w:noProof w:val="0"/>
          <w:lang w:val="en-US"/>
        </w:rPr>
        <w:t xml:space="preserve"> any threat to the right to life.</w:t>
      </w:r>
      <w:r w:rsidR="00D839BE" w:rsidRPr="00610904">
        <w:rPr>
          <w:rStyle w:val="FootnoteReference"/>
          <w:noProof w:val="0"/>
          <w:lang w:val="en-US"/>
        </w:rPr>
        <w:footnoteReference w:id="194"/>
      </w:r>
    </w:p>
    <w:p w:rsidR="00D839BE" w:rsidRPr="00610904" w:rsidRDefault="00D839BE" w:rsidP="00610904">
      <w:pPr>
        <w:rPr>
          <w:noProof w:val="0"/>
          <w:lang w:val="en-US"/>
        </w:rPr>
      </w:pPr>
    </w:p>
    <w:p w:rsidR="00D839BE" w:rsidRPr="00610904" w:rsidRDefault="0026427C" w:rsidP="00610904">
      <w:pPr>
        <w:numPr>
          <w:ilvl w:val="0"/>
          <w:numId w:val="1"/>
        </w:numPr>
        <w:rPr>
          <w:noProof w:val="0"/>
          <w:lang w:val="en-US"/>
        </w:rPr>
      </w:pPr>
      <w:r w:rsidRPr="00610904">
        <w:rPr>
          <w:noProof w:val="0"/>
          <w:lang w:val="en-US"/>
        </w:rPr>
        <w:t>The obligation to ensure rights extends beyond the relationship between the State agents and the persons subject to their jurisdiction, also including the obligation to prevent third parties, in the private sphere, from violating the protected legal rights.</w:t>
      </w:r>
      <w:r w:rsidR="00D839BE" w:rsidRPr="00610904">
        <w:rPr>
          <w:noProof w:val="0"/>
          <w:vertAlign w:val="superscript"/>
          <w:lang w:val="en-US"/>
        </w:rPr>
        <w:footnoteReference w:id="195"/>
      </w:r>
      <w:r w:rsidRPr="00610904">
        <w:rPr>
          <w:noProof w:val="0"/>
          <w:lang w:val="en-US"/>
        </w:rPr>
        <w:t xml:space="preserve"> However, the Court has considered that a State cannot be </w:t>
      </w:r>
      <w:r w:rsidR="00856968" w:rsidRPr="00610904">
        <w:rPr>
          <w:noProof w:val="0"/>
          <w:lang w:val="en-US"/>
        </w:rPr>
        <w:t>responsible</w:t>
      </w:r>
      <w:r w:rsidRPr="00610904">
        <w:rPr>
          <w:noProof w:val="0"/>
          <w:lang w:val="en-US"/>
        </w:rPr>
        <w:t xml:space="preserve"> for all human rights violations committed among private individuals under its jurisdiction. The nature </w:t>
      </w:r>
      <w:r w:rsidRPr="00610904">
        <w:rPr>
          <w:i/>
          <w:noProof w:val="0"/>
          <w:lang w:val="en-US"/>
        </w:rPr>
        <w:t>erga omnes</w:t>
      </w:r>
      <w:r w:rsidRPr="00610904">
        <w:rPr>
          <w:noProof w:val="0"/>
          <w:lang w:val="en-US"/>
        </w:rPr>
        <w:t xml:space="preserve"> of the State’s treaty-based obligations to ensure rights, do</w:t>
      </w:r>
      <w:r w:rsidR="009303FF" w:rsidRPr="00610904">
        <w:rPr>
          <w:noProof w:val="0"/>
          <w:lang w:val="en-US"/>
        </w:rPr>
        <w:t>es</w:t>
      </w:r>
      <w:r w:rsidRPr="00610904">
        <w:rPr>
          <w:noProof w:val="0"/>
          <w:lang w:val="en-US"/>
        </w:rPr>
        <w:t xml:space="preserve"> not entail its unlimited responsibility in relation to any act by private individuals; because, even though an act or omission by a private individual has the legal consequence of violating certain human rights of another private individual, this cannot automatically be attributed to the State; rather, the specific circumstances of the case and the implementation of the said obligation to ensure rights must be taken into consideration.</w:t>
      </w:r>
      <w:r w:rsidR="00D839BE" w:rsidRPr="00610904">
        <w:rPr>
          <w:rStyle w:val="FootnoteReference"/>
          <w:rFonts w:cs="Verdana"/>
          <w:noProof w:val="0"/>
          <w:lang w:val="en-US"/>
        </w:rPr>
        <w:footnoteReference w:id="196"/>
      </w:r>
      <w:r w:rsidRPr="00610904">
        <w:rPr>
          <w:rFonts w:cs="Verdana"/>
          <w:noProof w:val="0"/>
          <w:lang w:val="en-US"/>
        </w:rPr>
        <w:t xml:space="preserve"> Thus, the Court must verify whether, in this specific case, international responsibility should be attributed to the State.</w:t>
      </w:r>
    </w:p>
    <w:p w:rsidR="00D839BE" w:rsidRPr="00610904" w:rsidRDefault="00D839BE" w:rsidP="00610904">
      <w:pPr>
        <w:rPr>
          <w:noProof w:val="0"/>
          <w:lang w:val="en-US"/>
        </w:rPr>
      </w:pPr>
    </w:p>
    <w:p w:rsidR="00D839BE" w:rsidRPr="00610904" w:rsidRDefault="0026427C" w:rsidP="00610904">
      <w:pPr>
        <w:numPr>
          <w:ilvl w:val="0"/>
          <w:numId w:val="1"/>
        </w:numPr>
        <w:rPr>
          <w:noProof w:val="0"/>
          <w:lang w:val="en-US"/>
        </w:rPr>
      </w:pPr>
      <w:r w:rsidRPr="00610904">
        <w:rPr>
          <w:noProof w:val="0"/>
          <w:lang w:val="en-US"/>
        </w:rPr>
        <w:t xml:space="preserve">With regard to the relationship of the obligation to ensure rights </w:t>
      </w:r>
      <w:r w:rsidR="00D839BE" w:rsidRPr="00610904">
        <w:rPr>
          <w:noProof w:val="0"/>
          <w:lang w:val="en-US"/>
        </w:rPr>
        <w:t>(</w:t>
      </w:r>
      <w:r w:rsidR="00A8072E" w:rsidRPr="00610904">
        <w:rPr>
          <w:noProof w:val="0"/>
          <w:lang w:val="en-US"/>
        </w:rPr>
        <w:t>Article</w:t>
      </w:r>
      <w:r w:rsidRPr="00610904">
        <w:rPr>
          <w:noProof w:val="0"/>
          <w:lang w:val="en-US"/>
        </w:rPr>
        <w:t xml:space="preserve"> 1(</w:t>
      </w:r>
      <w:r w:rsidR="00D839BE" w:rsidRPr="00610904">
        <w:rPr>
          <w:noProof w:val="0"/>
          <w:lang w:val="en-US"/>
        </w:rPr>
        <w:t>1</w:t>
      </w:r>
      <w:r w:rsidRPr="00610904">
        <w:rPr>
          <w:noProof w:val="0"/>
          <w:lang w:val="en-US"/>
        </w:rPr>
        <w:t>)</w:t>
      </w:r>
      <w:r w:rsidR="00D839BE" w:rsidRPr="00610904">
        <w:rPr>
          <w:noProof w:val="0"/>
          <w:lang w:val="en-US"/>
        </w:rPr>
        <w:t xml:space="preserve">) </w:t>
      </w:r>
      <w:r w:rsidRPr="00610904">
        <w:rPr>
          <w:noProof w:val="0"/>
          <w:lang w:val="en-US"/>
        </w:rPr>
        <w:t>to</w:t>
      </w:r>
      <w:r w:rsidR="00D839BE" w:rsidRPr="00610904">
        <w:rPr>
          <w:noProof w:val="0"/>
          <w:lang w:val="en-US"/>
        </w:rPr>
        <w:t xml:space="preserve"> </w:t>
      </w:r>
      <w:r w:rsidR="009F3D78" w:rsidRPr="00610904">
        <w:rPr>
          <w:noProof w:val="0"/>
          <w:lang w:val="en-US"/>
        </w:rPr>
        <w:t>Article</w:t>
      </w:r>
      <w:r w:rsidR="00D839BE" w:rsidRPr="00610904">
        <w:rPr>
          <w:noProof w:val="0"/>
          <w:lang w:val="en-US"/>
        </w:rPr>
        <w:t xml:space="preserve"> </w:t>
      </w:r>
      <w:r w:rsidR="004A6E8B" w:rsidRPr="00610904">
        <w:rPr>
          <w:noProof w:val="0"/>
          <w:lang w:val="en-US"/>
        </w:rPr>
        <w:t>5(1)</w:t>
      </w:r>
      <w:r w:rsidR="009F3D78" w:rsidRPr="00610904">
        <w:rPr>
          <w:noProof w:val="0"/>
          <w:lang w:val="en-US"/>
        </w:rPr>
        <w:t xml:space="preserve"> of the Convention</w:t>
      </w:r>
      <w:r w:rsidR="00D839BE" w:rsidRPr="00610904">
        <w:rPr>
          <w:noProof w:val="0"/>
          <w:lang w:val="en-US"/>
        </w:rPr>
        <w:t xml:space="preserve">, </w:t>
      </w:r>
      <w:r w:rsidR="009F3D78" w:rsidRPr="00610904">
        <w:rPr>
          <w:noProof w:val="0"/>
          <w:lang w:val="en-US"/>
        </w:rPr>
        <w:t>the Court</w:t>
      </w:r>
      <w:r w:rsidR="00D839BE" w:rsidRPr="00610904">
        <w:rPr>
          <w:noProof w:val="0"/>
          <w:lang w:val="en-US"/>
        </w:rPr>
        <w:t xml:space="preserve"> ha</w:t>
      </w:r>
      <w:r w:rsidRPr="00610904">
        <w:rPr>
          <w:noProof w:val="0"/>
          <w:lang w:val="en-US"/>
        </w:rPr>
        <w:t xml:space="preserve">s established that the right to </w:t>
      </w:r>
      <w:r w:rsidR="008956E2" w:rsidRPr="00610904">
        <w:rPr>
          <w:noProof w:val="0"/>
          <w:lang w:val="en-US"/>
        </w:rPr>
        <w:t>personal integrity</w:t>
      </w:r>
      <w:r w:rsidR="00D839BE" w:rsidRPr="00610904">
        <w:rPr>
          <w:noProof w:val="0"/>
          <w:lang w:val="en-US"/>
        </w:rPr>
        <w:t xml:space="preserve"> </w:t>
      </w:r>
      <w:r w:rsidRPr="00610904">
        <w:rPr>
          <w:noProof w:val="0"/>
          <w:lang w:val="en-US"/>
        </w:rPr>
        <w:t>is directly and immediately linked to health care,</w:t>
      </w:r>
      <w:r w:rsidR="00D839BE" w:rsidRPr="00610904">
        <w:rPr>
          <w:rStyle w:val="FootnoteReference"/>
          <w:noProof w:val="0"/>
          <w:lang w:val="en-US"/>
        </w:rPr>
        <w:footnoteReference w:id="197"/>
      </w:r>
      <w:r w:rsidR="009F3D78" w:rsidRPr="00610904">
        <w:rPr>
          <w:noProof w:val="0"/>
          <w:lang w:val="en-US"/>
        </w:rPr>
        <w:t xml:space="preserve"> and </w:t>
      </w:r>
      <w:r w:rsidR="009303FF" w:rsidRPr="00610904">
        <w:rPr>
          <w:noProof w:val="0"/>
          <w:lang w:val="en-US"/>
        </w:rPr>
        <w:t xml:space="preserve">that the lack of adequate </w:t>
      </w:r>
      <w:r w:rsidRPr="00610904">
        <w:rPr>
          <w:noProof w:val="0"/>
          <w:lang w:val="en-US"/>
        </w:rPr>
        <w:t xml:space="preserve">medical treatment may </w:t>
      </w:r>
      <w:r w:rsidR="00CD79DC" w:rsidRPr="00610904">
        <w:rPr>
          <w:noProof w:val="0"/>
          <w:lang w:val="en-US"/>
        </w:rPr>
        <w:t>result</w:t>
      </w:r>
      <w:r w:rsidRPr="00610904">
        <w:rPr>
          <w:noProof w:val="0"/>
          <w:lang w:val="en-US"/>
        </w:rPr>
        <w:t xml:space="preserve"> in a violation </w:t>
      </w:r>
      <w:r w:rsidR="006E502B" w:rsidRPr="00610904">
        <w:rPr>
          <w:noProof w:val="0"/>
          <w:lang w:val="en-US"/>
        </w:rPr>
        <w:t>of Article</w:t>
      </w:r>
      <w:r w:rsidR="00D839BE" w:rsidRPr="00610904">
        <w:rPr>
          <w:noProof w:val="0"/>
          <w:lang w:val="en-US"/>
        </w:rPr>
        <w:t xml:space="preserve"> </w:t>
      </w:r>
      <w:r w:rsidR="004A6E8B" w:rsidRPr="00610904">
        <w:rPr>
          <w:noProof w:val="0"/>
          <w:lang w:val="en-US"/>
        </w:rPr>
        <w:t>5(1)</w:t>
      </w:r>
      <w:r w:rsidR="009F3D78" w:rsidRPr="00610904">
        <w:rPr>
          <w:noProof w:val="0"/>
          <w:lang w:val="en-US"/>
        </w:rPr>
        <w:t xml:space="preserve"> of the Convention</w:t>
      </w:r>
      <w:r w:rsidRPr="00610904">
        <w:rPr>
          <w:noProof w:val="0"/>
          <w:lang w:val="en-US"/>
        </w:rPr>
        <w:t>.</w:t>
      </w:r>
      <w:r w:rsidR="00D839BE" w:rsidRPr="00610904">
        <w:rPr>
          <w:rStyle w:val="FootnoteReference"/>
          <w:rFonts w:cs="Verdana"/>
          <w:noProof w:val="0"/>
          <w:lang w:val="en-US"/>
        </w:rPr>
        <w:footnoteReference w:id="198"/>
      </w:r>
      <w:r w:rsidRPr="00610904">
        <w:rPr>
          <w:noProof w:val="0"/>
          <w:lang w:val="en-US"/>
        </w:rPr>
        <w:t xml:space="preserve"> Thus, the Court has affirmed that the protection of the right to</w:t>
      </w:r>
      <w:r w:rsidR="00D839BE" w:rsidRPr="00610904">
        <w:rPr>
          <w:noProof w:val="0"/>
          <w:lang w:val="en-US"/>
        </w:rPr>
        <w:t xml:space="preserve"> </w:t>
      </w:r>
      <w:r w:rsidR="008956E2" w:rsidRPr="00610904">
        <w:rPr>
          <w:noProof w:val="0"/>
          <w:lang w:val="en-US"/>
        </w:rPr>
        <w:t>personal integrity</w:t>
      </w:r>
      <w:r w:rsidR="00D839BE" w:rsidRPr="00610904">
        <w:rPr>
          <w:noProof w:val="0"/>
          <w:lang w:val="en-US"/>
        </w:rPr>
        <w:t xml:space="preserve"> sup</w:t>
      </w:r>
      <w:r w:rsidRPr="00610904">
        <w:rPr>
          <w:noProof w:val="0"/>
          <w:lang w:val="en-US"/>
        </w:rPr>
        <w:t xml:space="preserve">poses the regulation of the health care services in the domestic sphere, as well as the implementation of a series of mechanisms </w:t>
      </w:r>
      <w:r w:rsidR="00CD79DC" w:rsidRPr="00610904">
        <w:rPr>
          <w:noProof w:val="0"/>
          <w:lang w:val="en-US"/>
        </w:rPr>
        <w:t>designed</w:t>
      </w:r>
      <w:r w:rsidRPr="00610904">
        <w:rPr>
          <w:noProof w:val="0"/>
          <w:lang w:val="en-US"/>
        </w:rPr>
        <w:t xml:space="preserve"> to protect the effectiveness of this regulation.</w:t>
      </w:r>
      <w:r w:rsidR="00D839BE" w:rsidRPr="00610904">
        <w:rPr>
          <w:rStyle w:val="FootnoteReference"/>
          <w:noProof w:val="0"/>
          <w:lang w:val="en-US"/>
        </w:rPr>
        <w:footnoteReference w:id="199"/>
      </w:r>
      <w:r w:rsidRPr="00610904">
        <w:rPr>
          <w:noProof w:val="0"/>
          <w:lang w:val="en-US"/>
        </w:rPr>
        <w:t xml:space="preserve"> Consequently, the Court must decide whether, in this case, the State ensured</w:t>
      </w:r>
      <w:r w:rsidR="00D839BE" w:rsidRPr="00610904">
        <w:rPr>
          <w:noProof w:val="0"/>
          <w:lang w:val="en-US"/>
        </w:rPr>
        <w:t xml:space="preserve"> </w:t>
      </w:r>
      <w:r w:rsidR="008956E2" w:rsidRPr="00610904">
        <w:rPr>
          <w:noProof w:val="0"/>
          <w:lang w:val="en-US"/>
        </w:rPr>
        <w:t>personal integrity</w:t>
      </w:r>
      <w:r w:rsidR="00D839BE" w:rsidRPr="00610904">
        <w:rPr>
          <w:noProof w:val="0"/>
          <w:lang w:val="en-US"/>
        </w:rPr>
        <w:t xml:space="preserve"> </w:t>
      </w:r>
      <w:r w:rsidR="009303FF" w:rsidRPr="00610904">
        <w:rPr>
          <w:noProof w:val="0"/>
          <w:lang w:val="en-US"/>
        </w:rPr>
        <w:t xml:space="preserve">as </w:t>
      </w:r>
      <w:r w:rsidRPr="00610904">
        <w:rPr>
          <w:noProof w:val="0"/>
          <w:lang w:val="en-US"/>
        </w:rPr>
        <w:t>established in</w:t>
      </w:r>
      <w:r w:rsidR="00D839BE" w:rsidRPr="00610904">
        <w:rPr>
          <w:noProof w:val="0"/>
          <w:lang w:val="en-US"/>
        </w:rPr>
        <w:t xml:space="preserve"> </w:t>
      </w:r>
      <w:r w:rsidR="009F3D78" w:rsidRPr="00610904">
        <w:rPr>
          <w:noProof w:val="0"/>
          <w:lang w:val="en-US"/>
        </w:rPr>
        <w:t>Article</w:t>
      </w:r>
      <w:r w:rsidR="00D839BE" w:rsidRPr="00610904">
        <w:rPr>
          <w:noProof w:val="0"/>
          <w:lang w:val="en-US"/>
        </w:rPr>
        <w:t xml:space="preserve"> </w:t>
      </w:r>
      <w:r w:rsidR="004A6E8B" w:rsidRPr="00610904">
        <w:rPr>
          <w:noProof w:val="0"/>
          <w:lang w:val="en-US"/>
        </w:rPr>
        <w:t>5(1)</w:t>
      </w:r>
      <w:r w:rsidR="009F3D78" w:rsidRPr="00610904">
        <w:rPr>
          <w:noProof w:val="0"/>
          <w:lang w:val="en-US"/>
        </w:rPr>
        <w:t xml:space="preserve"> of the Convention</w:t>
      </w:r>
      <w:r w:rsidR="00D839BE" w:rsidRPr="00610904">
        <w:rPr>
          <w:noProof w:val="0"/>
          <w:lang w:val="en-US"/>
        </w:rPr>
        <w:t xml:space="preserve"> </w:t>
      </w:r>
      <w:r w:rsidR="004A6E8B" w:rsidRPr="00610904">
        <w:rPr>
          <w:noProof w:val="0"/>
          <w:lang w:val="en-US"/>
        </w:rPr>
        <w:t>in relation to</w:t>
      </w:r>
      <w:r w:rsidR="00D839BE" w:rsidRPr="00610904">
        <w:rPr>
          <w:noProof w:val="0"/>
          <w:lang w:val="en-US"/>
        </w:rPr>
        <w:t xml:space="preserve"> </w:t>
      </w:r>
      <w:r w:rsidR="006E502B" w:rsidRPr="00610904">
        <w:rPr>
          <w:noProof w:val="0"/>
          <w:lang w:val="en-US"/>
        </w:rPr>
        <w:t>Article 1(1)</w:t>
      </w:r>
      <w:r w:rsidR="00D839BE" w:rsidRPr="00610904">
        <w:rPr>
          <w:noProof w:val="0"/>
          <w:lang w:val="en-US"/>
        </w:rPr>
        <w:t xml:space="preserve"> </w:t>
      </w:r>
      <w:r w:rsidRPr="00610904">
        <w:rPr>
          <w:noProof w:val="0"/>
          <w:lang w:val="en-US"/>
        </w:rPr>
        <w:t>of this instrument.</w:t>
      </w:r>
      <w:r w:rsidR="00D839BE" w:rsidRPr="00610904">
        <w:rPr>
          <w:noProof w:val="0"/>
          <w:lang w:val="en-US"/>
        </w:rPr>
        <w:t xml:space="preserve">   </w:t>
      </w:r>
    </w:p>
    <w:p w:rsidR="00D839BE" w:rsidRPr="00610904" w:rsidRDefault="00D839BE" w:rsidP="00610904">
      <w:pPr>
        <w:rPr>
          <w:noProof w:val="0"/>
          <w:lang w:val="en-US"/>
        </w:rPr>
      </w:pPr>
    </w:p>
    <w:p w:rsidR="00D839BE" w:rsidRPr="00610904" w:rsidRDefault="0026427C" w:rsidP="00610904">
      <w:pPr>
        <w:numPr>
          <w:ilvl w:val="0"/>
          <w:numId w:val="1"/>
        </w:numPr>
        <w:tabs>
          <w:tab w:val="left" w:pos="720"/>
        </w:tabs>
        <w:rPr>
          <w:noProof w:val="0"/>
          <w:lang w:val="en-US"/>
        </w:rPr>
      </w:pPr>
      <w:r w:rsidRPr="00610904">
        <w:rPr>
          <w:noProof w:val="0"/>
          <w:lang w:val="en-US"/>
        </w:rPr>
        <w:t>In addition, the Court also finds it pertinent to recall the interdependence and indivisibility that exists between civil and political rights and economic, social and cultural rights, because they should be understood as a whole as human rights, without any order of precedence, and enforceable in all cases before the competent authorities.</w:t>
      </w:r>
      <w:r w:rsidR="00D839BE" w:rsidRPr="00610904">
        <w:rPr>
          <w:rStyle w:val="FootnoteReference"/>
          <w:noProof w:val="0"/>
          <w:lang w:val="en-US"/>
        </w:rPr>
        <w:footnoteReference w:id="200"/>
      </w:r>
      <w:r w:rsidRPr="00610904">
        <w:rPr>
          <w:noProof w:val="0"/>
          <w:lang w:val="en-US"/>
        </w:rPr>
        <w:t xml:space="preserve"> In this regard,</w:t>
      </w:r>
      <w:r w:rsidR="00D839BE" w:rsidRPr="00610904">
        <w:rPr>
          <w:noProof w:val="0"/>
          <w:lang w:val="en-US"/>
        </w:rPr>
        <w:t xml:space="preserve"> </w:t>
      </w:r>
      <w:r w:rsidRPr="00610904">
        <w:rPr>
          <w:noProof w:val="0"/>
          <w:lang w:val="en-US"/>
        </w:rPr>
        <w:lastRenderedPageBreak/>
        <w:t xml:space="preserve">Article XI of </w:t>
      </w:r>
      <w:r w:rsidR="0013395A" w:rsidRPr="00610904">
        <w:rPr>
          <w:noProof w:val="0"/>
          <w:lang w:val="en-US"/>
        </w:rPr>
        <w:t>the American Declaration of the Rights and Duties of Man</w:t>
      </w:r>
      <w:r w:rsidR="00D839BE" w:rsidRPr="00610904">
        <w:rPr>
          <w:noProof w:val="0"/>
          <w:lang w:val="en-US"/>
        </w:rPr>
        <w:t xml:space="preserve"> establ</w:t>
      </w:r>
      <w:r w:rsidRPr="00610904">
        <w:rPr>
          <w:noProof w:val="0"/>
          <w:lang w:val="en-US"/>
        </w:rPr>
        <w:t xml:space="preserve">ished that “every person has the right to the preservation of his health through sanitary and social measures relating to […] medical care, to the extent permitted by public and community resources.” </w:t>
      </w:r>
      <w:r w:rsidR="00C33211" w:rsidRPr="00610904">
        <w:rPr>
          <w:noProof w:val="0"/>
          <w:lang w:val="en-US"/>
        </w:rPr>
        <w:t>Meanwhile, Article 45 of the OAS Charter requires Member St</w:t>
      </w:r>
      <w:r w:rsidR="009303FF" w:rsidRPr="00610904">
        <w:rPr>
          <w:noProof w:val="0"/>
          <w:lang w:val="en-US"/>
        </w:rPr>
        <w:t xml:space="preserve">ates to “dedicate every effort </w:t>
      </w:r>
      <w:r w:rsidR="00C33211" w:rsidRPr="00610904">
        <w:rPr>
          <w:noProof w:val="0"/>
          <w:lang w:val="en-US"/>
        </w:rPr>
        <w:t>[…] to [the] development of an efficient social security policy.</w:t>
      </w:r>
      <w:r w:rsidR="00D839BE" w:rsidRPr="00610904">
        <w:rPr>
          <w:noProof w:val="0"/>
          <w:lang w:val="en-US"/>
        </w:rPr>
        <w:t>”</w:t>
      </w:r>
      <w:r w:rsidR="00D839BE" w:rsidRPr="00610904">
        <w:rPr>
          <w:rStyle w:val="FootnoteReference"/>
          <w:noProof w:val="0"/>
          <w:lang w:val="en-US"/>
        </w:rPr>
        <w:footnoteReference w:id="201"/>
      </w:r>
      <w:r w:rsidR="00C33211" w:rsidRPr="00610904">
        <w:rPr>
          <w:noProof w:val="0"/>
          <w:lang w:val="en-US"/>
        </w:rPr>
        <w:t xml:space="preserve"> Similarly, </w:t>
      </w:r>
      <w:r w:rsidR="009F3D78" w:rsidRPr="00610904">
        <w:rPr>
          <w:noProof w:val="0"/>
          <w:lang w:val="en-US"/>
        </w:rPr>
        <w:t>Article</w:t>
      </w:r>
      <w:r w:rsidR="00D839BE" w:rsidRPr="00610904">
        <w:rPr>
          <w:noProof w:val="0"/>
          <w:lang w:val="en-US"/>
        </w:rPr>
        <w:t xml:space="preserve"> 10</w:t>
      </w:r>
      <w:r w:rsidR="00BE7F56" w:rsidRPr="00610904">
        <w:rPr>
          <w:noProof w:val="0"/>
          <w:lang w:val="en-US"/>
        </w:rPr>
        <w:t xml:space="preserve"> </w:t>
      </w:r>
      <w:r w:rsidR="0013395A" w:rsidRPr="00610904">
        <w:rPr>
          <w:noProof w:val="0"/>
          <w:lang w:val="en-US"/>
        </w:rPr>
        <w:t xml:space="preserve">of the </w:t>
      </w:r>
      <w:r w:rsidR="00C33211" w:rsidRPr="00610904">
        <w:rPr>
          <w:noProof w:val="0"/>
          <w:lang w:val="en-US"/>
        </w:rPr>
        <w:t>Additional P</w:t>
      </w:r>
      <w:r w:rsidR="0013395A" w:rsidRPr="00610904">
        <w:rPr>
          <w:noProof w:val="0"/>
          <w:lang w:val="en-US"/>
        </w:rPr>
        <w:t>rotocol</w:t>
      </w:r>
      <w:r w:rsidR="00D839BE" w:rsidRPr="00610904">
        <w:rPr>
          <w:noProof w:val="0"/>
          <w:lang w:val="en-US"/>
        </w:rPr>
        <w:t xml:space="preserve"> </w:t>
      </w:r>
      <w:r w:rsidR="00C33211" w:rsidRPr="00610904">
        <w:rPr>
          <w:noProof w:val="0"/>
          <w:lang w:val="en-US"/>
        </w:rPr>
        <w:t>to</w:t>
      </w:r>
      <w:r w:rsidR="00D839BE" w:rsidRPr="00610904">
        <w:rPr>
          <w:rFonts w:cs="Verdana"/>
          <w:noProof w:val="0"/>
          <w:lang w:val="en-US"/>
        </w:rPr>
        <w:t xml:space="preserve"> </w:t>
      </w:r>
      <w:r w:rsidR="009F3D78" w:rsidRPr="00610904">
        <w:rPr>
          <w:rFonts w:cs="Verdana"/>
          <w:noProof w:val="0"/>
          <w:lang w:val="en-US"/>
        </w:rPr>
        <w:t>the American Convention on Human Rights</w:t>
      </w:r>
      <w:r w:rsidR="00D839BE" w:rsidRPr="00610904">
        <w:rPr>
          <w:rFonts w:cs="Verdana"/>
          <w:noProof w:val="0"/>
          <w:lang w:val="en-US"/>
        </w:rPr>
        <w:t xml:space="preserve"> </w:t>
      </w:r>
      <w:r w:rsidR="00C33211" w:rsidRPr="00610904">
        <w:rPr>
          <w:rFonts w:cs="Verdana"/>
          <w:noProof w:val="0"/>
          <w:lang w:val="en-US"/>
        </w:rPr>
        <w:t>in the Area of Economic, Social and Cultural Rights, ratified by Ecuador on Marc</w:t>
      </w:r>
      <w:r w:rsidRPr="00610904">
        <w:rPr>
          <w:rFonts w:cs="Verdana"/>
          <w:noProof w:val="0"/>
          <w:lang w:val="en-US"/>
        </w:rPr>
        <w:t xml:space="preserve">h 25, 1993, </w:t>
      </w:r>
      <w:r w:rsidR="00C33211" w:rsidRPr="00610904">
        <w:rPr>
          <w:rFonts w:cs="Verdana"/>
          <w:noProof w:val="0"/>
          <w:lang w:val="en-US"/>
        </w:rPr>
        <w:t xml:space="preserve">which entered into force </w:t>
      </w:r>
      <w:r w:rsidR="005C27CD" w:rsidRPr="00610904">
        <w:rPr>
          <w:rFonts w:cs="Verdana"/>
          <w:noProof w:val="0"/>
          <w:lang w:val="en-US"/>
        </w:rPr>
        <w:t>November 16,</w:t>
      </w:r>
      <w:r w:rsidR="00D839BE" w:rsidRPr="00610904">
        <w:rPr>
          <w:rFonts w:cs="Verdana"/>
          <w:noProof w:val="0"/>
          <w:lang w:val="en-US"/>
        </w:rPr>
        <w:t xml:space="preserve"> 1999, establ</w:t>
      </w:r>
      <w:r w:rsidR="00C33211" w:rsidRPr="00610904">
        <w:rPr>
          <w:rFonts w:cs="Verdana"/>
          <w:noProof w:val="0"/>
          <w:lang w:val="en-US"/>
        </w:rPr>
        <w:t>ishes that everyone has the right to health</w:t>
      </w:r>
      <w:r w:rsidR="00D839BE" w:rsidRPr="00610904">
        <w:rPr>
          <w:rFonts w:cs="Verdana"/>
          <w:noProof w:val="0"/>
          <w:lang w:val="en-US"/>
        </w:rPr>
        <w:t>,</w:t>
      </w:r>
      <w:r w:rsidR="00C33211" w:rsidRPr="00610904">
        <w:rPr>
          <w:rFonts w:cs="Verdana"/>
          <w:noProof w:val="0"/>
          <w:lang w:val="en-US"/>
        </w:rPr>
        <w:t xml:space="preserve"> understood to mean the enjoyment of the highest level of physical, mental and social well-being, and indicates that health is a public right.</w:t>
      </w:r>
      <w:r w:rsidR="00D839BE" w:rsidRPr="00610904">
        <w:rPr>
          <w:rStyle w:val="FootnoteReference"/>
          <w:rFonts w:cs="Verdana"/>
          <w:noProof w:val="0"/>
          <w:lang w:val="en-US"/>
        </w:rPr>
        <w:footnoteReference w:id="202"/>
      </w:r>
      <w:r w:rsidR="00D839BE" w:rsidRPr="00610904">
        <w:rPr>
          <w:noProof w:val="0"/>
          <w:lang w:val="en-US"/>
        </w:rPr>
        <w:t xml:space="preserve"> </w:t>
      </w:r>
      <w:r w:rsidR="00A22D50" w:rsidRPr="00610904">
        <w:rPr>
          <w:noProof w:val="0"/>
          <w:lang w:val="en-US"/>
        </w:rPr>
        <w:t>In addition, in July 2012, the</w:t>
      </w:r>
      <w:r w:rsidR="00D839BE" w:rsidRPr="00610904">
        <w:rPr>
          <w:noProof w:val="0"/>
          <w:lang w:val="en-US"/>
        </w:rPr>
        <w:t xml:space="preserve"> </w:t>
      </w:r>
      <w:r w:rsidR="00A8072E" w:rsidRPr="00610904">
        <w:rPr>
          <w:noProof w:val="0"/>
          <w:lang w:val="en-US"/>
        </w:rPr>
        <w:t>General Assembly</w:t>
      </w:r>
      <w:r w:rsidR="00D839BE" w:rsidRPr="00610904">
        <w:rPr>
          <w:noProof w:val="0"/>
          <w:lang w:val="en-US"/>
        </w:rPr>
        <w:t xml:space="preserve"> </w:t>
      </w:r>
      <w:r w:rsidR="00A22D50" w:rsidRPr="00610904">
        <w:rPr>
          <w:noProof w:val="0"/>
          <w:lang w:val="en-US"/>
        </w:rPr>
        <w:t>of the</w:t>
      </w:r>
      <w:r w:rsidR="00D839BE" w:rsidRPr="00610904">
        <w:rPr>
          <w:noProof w:val="0"/>
          <w:lang w:val="en-US"/>
        </w:rPr>
        <w:t xml:space="preserve"> </w:t>
      </w:r>
      <w:r w:rsidR="0013395A" w:rsidRPr="00610904">
        <w:rPr>
          <w:noProof w:val="0"/>
          <w:lang w:val="en-US"/>
        </w:rPr>
        <w:t>Organization of American States</w:t>
      </w:r>
      <w:r w:rsidR="00D839BE" w:rsidRPr="00610904">
        <w:rPr>
          <w:noProof w:val="0"/>
          <w:lang w:val="en-US"/>
        </w:rPr>
        <w:t xml:space="preserve"> </w:t>
      </w:r>
      <w:r w:rsidR="00A22D50" w:rsidRPr="00610904">
        <w:rPr>
          <w:noProof w:val="0"/>
          <w:lang w:val="en-US"/>
        </w:rPr>
        <w:t xml:space="preserve">emphasized the quality of health care establishments, good and services, which require the presence of </w:t>
      </w:r>
      <w:r w:rsidR="00C33211" w:rsidRPr="00610904">
        <w:rPr>
          <w:noProof w:val="0"/>
          <w:lang w:val="en-US"/>
        </w:rPr>
        <w:t xml:space="preserve">skilled medical personnel, and </w:t>
      </w:r>
      <w:r w:rsidR="00A22D50" w:rsidRPr="00610904">
        <w:rPr>
          <w:noProof w:val="0"/>
          <w:lang w:val="en-US"/>
        </w:rPr>
        <w:t xml:space="preserve">adequate </w:t>
      </w:r>
      <w:r w:rsidR="00C33211" w:rsidRPr="00610904">
        <w:rPr>
          <w:noProof w:val="0"/>
          <w:lang w:val="en-US"/>
        </w:rPr>
        <w:t>sanitation</w:t>
      </w:r>
      <w:r w:rsidR="00A22D50" w:rsidRPr="00610904">
        <w:rPr>
          <w:noProof w:val="0"/>
          <w:lang w:val="en-US"/>
        </w:rPr>
        <w:t>.</w:t>
      </w:r>
      <w:r w:rsidR="00D839BE" w:rsidRPr="00610904">
        <w:rPr>
          <w:rStyle w:val="FootnoteReference"/>
          <w:noProof w:val="0"/>
          <w:lang w:val="en-US"/>
        </w:rPr>
        <w:footnoteReference w:id="203"/>
      </w:r>
    </w:p>
    <w:p w:rsidR="00D839BE" w:rsidRPr="00610904" w:rsidRDefault="00D839BE" w:rsidP="00610904">
      <w:pPr>
        <w:rPr>
          <w:noProof w:val="0"/>
          <w:lang w:val="en-US"/>
        </w:rPr>
      </w:pPr>
      <w:bookmarkStart w:id="96" w:name="_Toc422436035"/>
    </w:p>
    <w:p w:rsidR="00D839BE" w:rsidRPr="00610904" w:rsidRDefault="00A22D50" w:rsidP="00610904">
      <w:pPr>
        <w:numPr>
          <w:ilvl w:val="0"/>
          <w:numId w:val="1"/>
        </w:numPr>
        <w:ind w:right="385"/>
        <w:rPr>
          <w:noProof w:val="0"/>
          <w:lang w:val="en-US"/>
        </w:rPr>
      </w:pPr>
      <w:r w:rsidRPr="00610904">
        <w:rPr>
          <w:noProof w:val="0"/>
          <w:lang w:val="en-US"/>
        </w:rPr>
        <w:t>Also</w:t>
      </w:r>
      <w:r w:rsidR="00D839BE" w:rsidRPr="00610904">
        <w:rPr>
          <w:noProof w:val="0"/>
          <w:lang w:val="en-US"/>
        </w:rPr>
        <w:t xml:space="preserve">, </w:t>
      </w:r>
      <w:r w:rsidR="0013395A" w:rsidRPr="00610904">
        <w:rPr>
          <w:noProof w:val="0"/>
          <w:lang w:val="en-US"/>
        </w:rPr>
        <w:t>the Committee on Economic, Social and Cultural Rights</w:t>
      </w:r>
      <w:r w:rsidR="00D839BE" w:rsidRPr="00610904">
        <w:rPr>
          <w:noProof w:val="0"/>
          <w:lang w:val="en-US"/>
        </w:rPr>
        <w:t xml:space="preserve"> ha</w:t>
      </w:r>
      <w:r w:rsidRPr="00610904">
        <w:rPr>
          <w:noProof w:val="0"/>
          <w:lang w:val="en-US"/>
        </w:rPr>
        <w:t xml:space="preserve">s indicated that all health services, </w:t>
      </w:r>
      <w:r w:rsidR="00C33211" w:rsidRPr="00610904">
        <w:rPr>
          <w:noProof w:val="0"/>
          <w:lang w:val="en-US"/>
        </w:rPr>
        <w:t>goods</w:t>
      </w:r>
      <w:r w:rsidRPr="00610904">
        <w:rPr>
          <w:noProof w:val="0"/>
          <w:lang w:val="en-US"/>
        </w:rPr>
        <w:t xml:space="preserve"> and facilities must comply with the requirements of </w:t>
      </w:r>
      <w:r w:rsidRPr="00610904">
        <w:rPr>
          <w:i/>
          <w:noProof w:val="0"/>
          <w:lang w:val="en-US"/>
        </w:rPr>
        <w:t xml:space="preserve">availability, accessibility, acceptability </w:t>
      </w:r>
      <w:r w:rsidRPr="00610904">
        <w:rPr>
          <w:noProof w:val="0"/>
          <w:lang w:val="en-US"/>
        </w:rPr>
        <w:t>and</w:t>
      </w:r>
      <w:r w:rsidRPr="00610904">
        <w:rPr>
          <w:i/>
          <w:noProof w:val="0"/>
          <w:lang w:val="en-US"/>
        </w:rPr>
        <w:t xml:space="preserve"> quality</w:t>
      </w:r>
      <w:r w:rsidRPr="00610904">
        <w:rPr>
          <w:noProof w:val="0"/>
          <w:lang w:val="en-US"/>
        </w:rPr>
        <w:t xml:space="preserve">. </w:t>
      </w:r>
      <w:r w:rsidR="00D839BE" w:rsidRPr="00610904">
        <w:rPr>
          <w:noProof w:val="0"/>
          <w:lang w:val="en-US"/>
        </w:rPr>
        <w:t xml:space="preserve"> </w:t>
      </w:r>
      <w:r w:rsidRPr="00610904">
        <w:rPr>
          <w:noProof w:val="0"/>
          <w:lang w:val="en-US"/>
        </w:rPr>
        <w:t>The Committee has defined the scope of these essential elements of the right to health as follows:</w:t>
      </w:r>
    </w:p>
    <w:p w:rsidR="00D839BE" w:rsidRPr="00610904" w:rsidRDefault="00D839BE" w:rsidP="00610904">
      <w:pPr>
        <w:ind w:right="385"/>
        <w:rPr>
          <w:noProof w:val="0"/>
          <w:sz w:val="16"/>
          <w:szCs w:val="16"/>
          <w:lang w:val="en-US"/>
        </w:rPr>
      </w:pPr>
    </w:p>
    <w:p w:rsidR="00A22D50" w:rsidRPr="00610904" w:rsidRDefault="00A22D50" w:rsidP="00610904">
      <w:pPr>
        <w:tabs>
          <w:tab w:val="left" w:pos="1260"/>
        </w:tabs>
        <w:ind w:left="1080" w:right="385" w:hanging="540"/>
        <w:rPr>
          <w:noProof w:val="0"/>
          <w:sz w:val="16"/>
          <w:szCs w:val="16"/>
          <w:lang w:val="en-US"/>
        </w:rPr>
      </w:pPr>
      <w:r w:rsidRPr="00610904">
        <w:rPr>
          <w:noProof w:val="0"/>
          <w:sz w:val="16"/>
          <w:szCs w:val="16"/>
          <w:lang w:val="en-US"/>
        </w:rPr>
        <w:t>(a)</w:t>
      </w:r>
      <w:r w:rsidRPr="00610904">
        <w:rPr>
          <w:i/>
          <w:noProof w:val="0"/>
          <w:sz w:val="16"/>
          <w:szCs w:val="16"/>
          <w:lang w:val="en-US"/>
        </w:rPr>
        <w:tab/>
        <w:t>Availability.</w:t>
      </w:r>
      <w:r w:rsidRPr="00610904">
        <w:rPr>
          <w:noProof w:val="0"/>
          <w:sz w:val="16"/>
          <w:szCs w:val="16"/>
          <w:lang w:val="en-US"/>
        </w:rPr>
        <w:t xml:space="preserve">  Functioning public health and health-care facilities, goods and services, as well as programmes, have to be available in sufficient quantity within the State party.  The precise nature of the facilities, goods and services will vary depending on numerous factors, including the State party’s developmental level.  They will include, however, the underlying determinants of health, such as safe and potable drinking water and adequate sanitation facilities, hospitals, clinics and other health-related</w:t>
      </w:r>
      <w:r w:rsidRPr="00610904">
        <w:rPr>
          <w:i/>
          <w:noProof w:val="0"/>
          <w:sz w:val="16"/>
          <w:szCs w:val="16"/>
          <w:lang w:val="en-US"/>
        </w:rPr>
        <w:t xml:space="preserve"> </w:t>
      </w:r>
      <w:r w:rsidRPr="00610904">
        <w:rPr>
          <w:noProof w:val="0"/>
          <w:sz w:val="16"/>
          <w:szCs w:val="16"/>
          <w:lang w:val="en-US"/>
        </w:rPr>
        <w:t xml:space="preserve">buildings, trained medical and professional personnel receiving domestically </w:t>
      </w:r>
      <w:r w:rsidRPr="00610904">
        <w:rPr>
          <w:noProof w:val="0"/>
          <w:sz w:val="16"/>
          <w:szCs w:val="16"/>
          <w:lang w:val="en-US"/>
        </w:rPr>
        <w:lastRenderedPageBreak/>
        <w:t>competitive salaries,</w:t>
      </w:r>
      <w:r w:rsidRPr="00610904">
        <w:rPr>
          <w:i/>
          <w:noProof w:val="0"/>
          <w:sz w:val="16"/>
          <w:szCs w:val="16"/>
          <w:lang w:val="en-US"/>
        </w:rPr>
        <w:t xml:space="preserve"> </w:t>
      </w:r>
      <w:r w:rsidRPr="00610904">
        <w:rPr>
          <w:noProof w:val="0"/>
          <w:sz w:val="16"/>
          <w:szCs w:val="16"/>
          <w:lang w:val="en-US"/>
        </w:rPr>
        <w:t>and essential drugs, as defined by the WHO Action Programme on Essential Drugs.</w:t>
      </w:r>
    </w:p>
    <w:p w:rsidR="00D839BE" w:rsidRPr="00610904" w:rsidRDefault="00D839BE" w:rsidP="00610904">
      <w:pPr>
        <w:ind w:left="1080" w:right="385" w:hanging="567"/>
        <w:rPr>
          <w:noProof w:val="0"/>
          <w:sz w:val="16"/>
          <w:szCs w:val="16"/>
          <w:lang w:val="en-US"/>
        </w:rPr>
      </w:pPr>
    </w:p>
    <w:p w:rsidR="00A22D50" w:rsidRPr="00610904" w:rsidRDefault="002A2E72" w:rsidP="00610904">
      <w:pPr>
        <w:tabs>
          <w:tab w:val="left" w:pos="1260"/>
        </w:tabs>
        <w:ind w:left="1080" w:right="385" w:hanging="540"/>
        <w:rPr>
          <w:noProof w:val="0"/>
          <w:sz w:val="16"/>
          <w:szCs w:val="16"/>
          <w:lang w:val="en-US"/>
        </w:rPr>
      </w:pPr>
      <w:r w:rsidRPr="00610904">
        <w:rPr>
          <w:sz w:val="16"/>
          <w:szCs w:val="16"/>
          <w:lang w:val="en-US"/>
        </w:rPr>
        <mc:AlternateContent>
          <mc:Choice Requires="wps">
            <w:drawing>
              <wp:anchor distT="0" distB="0" distL="114300" distR="114300" simplePos="0" relativeHeight="251658752" behindDoc="0" locked="1" layoutInCell="0" allowOverlap="1" wp14:anchorId="2F8D1558" wp14:editId="52789BBF">
                <wp:simplePos x="0" y="0"/>
                <wp:positionH relativeFrom="page">
                  <wp:posOffset>2434590</wp:posOffset>
                </wp:positionH>
                <wp:positionV relativeFrom="page">
                  <wp:posOffset>1893570</wp:posOffset>
                </wp:positionV>
                <wp:extent cx="1623060" cy="901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51F" w:rsidRDefault="0051351F" w:rsidP="00D83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8D1558" id="_x0000_t202" coordsize="21600,21600" o:spt="202" path="m,l,21600r21600,l21600,xe">
                <v:stroke joinstyle="miter"/>
                <v:path gradientshapeok="t" o:connecttype="rect"/>
              </v:shapetype>
              <v:shape id="Text Box 4" o:spid="_x0000_s1026" type="#_x0000_t202" style="position:absolute;left:0;text-align:left;margin-left:191.7pt;margin-top:149.1pt;width:127.8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a7swIAALg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" o:allowincell="f" filled="f" stroked="f">
                <v:textbox>
                  <w:txbxContent>
                    <w:p w:rsidR="0051351F" w:rsidRDefault="0051351F" w:rsidP="00D839BE"/>
                  </w:txbxContent>
                </v:textbox>
                <w10:wrap anchorx="page" anchory="page"/>
                <w10:anchorlock/>
              </v:shape>
            </w:pict>
          </mc:Fallback>
        </mc:AlternateContent>
      </w:r>
      <w:r w:rsidRPr="00610904">
        <w:rPr>
          <w:sz w:val="16"/>
          <w:szCs w:val="16"/>
          <w:lang w:val="en-US"/>
        </w:rPr>
        <mc:AlternateContent>
          <mc:Choice Requires="wps">
            <w:drawing>
              <wp:anchor distT="0" distB="0" distL="114300" distR="114300" simplePos="0" relativeHeight="251657728" behindDoc="0" locked="1" layoutInCell="0" allowOverlap="1" wp14:anchorId="77FBD2DD" wp14:editId="12D55862">
                <wp:simplePos x="0" y="0"/>
                <wp:positionH relativeFrom="page">
                  <wp:posOffset>1554480</wp:posOffset>
                </wp:positionH>
                <wp:positionV relativeFrom="page">
                  <wp:posOffset>1908175</wp:posOffset>
                </wp:positionV>
                <wp:extent cx="2073910" cy="90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51F" w:rsidRDefault="0051351F" w:rsidP="00D83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FBD2DD" id="Text Box 3" o:spid="_x0000_s1027" type="#_x0000_t202" style="position:absolute;left:0;text-align:left;margin-left:122.4pt;margin-top:150.25pt;width:163.3pt;height: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zNtwIAAL8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" o:allowincell="f" filled="f" stroked="f">
                <v:textbox>
                  <w:txbxContent>
                    <w:p w:rsidR="0051351F" w:rsidRDefault="0051351F" w:rsidP="00D839BE"/>
                  </w:txbxContent>
                </v:textbox>
                <w10:wrap anchorx="page" anchory="page"/>
                <w10:anchorlock/>
              </v:shape>
            </w:pict>
          </mc:Fallback>
        </mc:AlternateContent>
      </w:r>
      <w:r w:rsidRPr="00610904">
        <w:rPr>
          <w:sz w:val="16"/>
          <w:szCs w:val="16"/>
          <w:lang w:val="en-US"/>
        </w:rPr>
        <mc:AlternateContent>
          <mc:Choice Requires="wps">
            <w:drawing>
              <wp:anchor distT="0" distB="0" distL="114300" distR="114300" simplePos="0" relativeHeight="251656704" behindDoc="0" locked="1" layoutInCell="0" allowOverlap="1" wp14:anchorId="1DAC50E4" wp14:editId="76A7F186">
                <wp:simplePos x="0" y="0"/>
                <wp:positionH relativeFrom="page">
                  <wp:posOffset>2218690</wp:posOffset>
                </wp:positionH>
                <wp:positionV relativeFrom="page">
                  <wp:posOffset>1678138</wp:posOffset>
                </wp:positionV>
                <wp:extent cx="2306454" cy="854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454" cy="85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51F" w:rsidRDefault="0051351F" w:rsidP="00D83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C50E4" id="Text Box 2" o:spid="_x0000_s1028" type="#_x0000_t202" style="position:absolute;left:0;text-align:left;margin-left:174.7pt;margin-top:132.15pt;width:181.6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3l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" o:allowincell="f" filled="f" stroked="f">
                <v:textbox>
                  <w:txbxContent>
                    <w:p w:rsidR="0051351F" w:rsidRDefault="0051351F" w:rsidP="00D839BE"/>
                  </w:txbxContent>
                </v:textbox>
                <w10:wrap anchorx="page" anchory="page"/>
                <w10:anchorlock/>
              </v:shape>
            </w:pict>
          </mc:Fallback>
        </mc:AlternateContent>
      </w:r>
      <w:r w:rsidR="00A22D50" w:rsidRPr="00610904">
        <w:rPr>
          <w:noProof w:val="0"/>
          <w:sz w:val="16"/>
          <w:szCs w:val="16"/>
          <w:lang w:val="en-US"/>
        </w:rPr>
        <w:t>(b)</w:t>
      </w:r>
      <w:r w:rsidR="00A22D50" w:rsidRPr="00610904">
        <w:rPr>
          <w:i/>
          <w:noProof w:val="0"/>
          <w:sz w:val="16"/>
          <w:szCs w:val="16"/>
          <w:lang w:val="en-US"/>
        </w:rPr>
        <w:tab/>
        <w:t>Accessibility.</w:t>
      </w:r>
      <w:r w:rsidR="00A22D50" w:rsidRPr="00610904">
        <w:rPr>
          <w:noProof w:val="0"/>
          <w:sz w:val="16"/>
          <w:szCs w:val="16"/>
          <w:lang w:val="en-US"/>
        </w:rPr>
        <w:t xml:space="preserve">  Health facilities, goods and services have to be accessible to everyone without discrimination, within the jurisdiction of the State party.  Accessibility has four overlapping dimensions:</w:t>
      </w:r>
    </w:p>
    <w:p w:rsidR="00A22D50" w:rsidRPr="00610904" w:rsidRDefault="00C33211" w:rsidP="00610904">
      <w:pPr>
        <w:pStyle w:val="Rom2"/>
        <w:numPr>
          <w:ilvl w:val="0"/>
          <w:numId w:val="0"/>
        </w:numPr>
        <w:tabs>
          <w:tab w:val="left" w:pos="1800"/>
        </w:tabs>
        <w:ind w:left="1440" w:right="385" w:hanging="360"/>
        <w:jc w:val="both"/>
        <w:rPr>
          <w:rFonts w:ascii="Verdana" w:hAnsi="Verdana"/>
          <w:sz w:val="16"/>
          <w:szCs w:val="16"/>
          <w:lang w:val="en-US"/>
        </w:rPr>
      </w:pPr>
      <w:r w:rsidRPr="00610904">
        <w:rPr>
          <w:rFonts w:ascii="Verdana" w:hAnsi="Verdana"/>
          <w:sz w:val="16"/>
          <w:szCs w:val="16"/>
          <w:lang w:val="en-US"/>
        </w:rPr>
        <w:t xml:space="preserve">(i)   </w:t>
      </w:r>
      <w:r w:rsidR="00A22D50" w:rsidRPr="00610904">
        <w:rPr>
          <w:rFonts w:ascii="Verdana" w:hAnsi="Verdana"/>
          <w:sz w:val="16"/>
          <w:szCs w:val="16"/>
          <w:lang w:val="en-US"/>
        </w:rPr>
        <w:t>Non-discrimination:  health facilities, goods and services must be accessible to all, especially the most vulnerable or marginalized sections of the population, in law and in fact, without discrimination on any of the prohibited grounds.</w:t>
      </w:r>
    </w:p>
    <w:p w:rsidR="00A22D50" w:rsidRPr="00610904" w:rsidRDefault="00C33211" w:rsidP="00610904">
      <w:pPr>
        <w:pStyle w:val="Rom2"/>
        <w:numPr>
          <w:ilvl w:val="0"/>
          <w:numId w:val="0"/>
        </w:numPr>
        <w:tabs>
          <w:tab w:val="left" w:pos="1800"/>
        </w:tabs>
        <w:ind w:left="1440" w:right="385" w:hanging="360"/>
        <w:jc w:val="both"/>
        <w:rPr>
          <w:rFonts w:ascii="Verdana" w:hAnsi="Verdana"/>
          <w:sz w:val="16"/>
          <w:szCs w:val="16"/>
          <w:lang w:val="en-US"/>
        </w:rPr>
      </w:pPr>
      <w:r w:rsidRPr="00610904">
        <w:rPr>
          <w:rFonts w:ascii="Verdana" w:hAnsi="Verdana"/>
          <w:sz w:val="16"/>
          <w:szCs w:val="16"/>
          <w:lang w:val="en-US"/>
        </w:rPr>
        <w:t xml:space="preserve">(ii)  </w:t>
      </w:r>
      <w:r w:rsidR="00A22D50" w:rsidRPr="00610904">
        <w:rPr>
          <w:rFonts w:ascii="Verdana" w:hAnsi="Verdana"/>
          <w:sz w:val="16"/>
          <w:szCs w:val="16"/>
          <w:lang w:val="en-US"/>
        </w:rPr>
        <w:t>Physical accessibility:  health facilities, goods and services must be within safe physical reach for all sections of the population, especially vulnerable or marginalized groups, such as ethnic minorities and indigenous populations, women, children, adolescents, older persons, persons with disabilit</w:t>
      </w:r>
      <w:r w:rsidRPr="00610904">
        <w:rPr>
          <w:rFonts w:ascii="Verdana" w:hAnsi="Verdana"/>
          <w:sz w:val="16"/>
          <w:szCs w:val="16"/>
          <w:lang w:val="en-US"/>
        </w:rPr>
        <w:t>ies and persons with HIV/AIDS. […]</w:t>
      </w:r>
    </w:p>
    <w:p w:rsidR="00A22D50" w:rsidRPr="00610904" w:rsidRDefault="00C33211" w:rsidP="00610904">
      <w:pPr>
        <w:pStyle w:val="Rom2"/>
        <w:numPr>
          <w:ilvl w:val="0"/>
          <w:numId w:val="0"/>
        </w:numPr>
        <w:tabs>
          <w:tab w:val="left" w:pos="1800"/>
        </w:tabs>
        <w:ind w:left="1440" w:right="385" w:hanging="360"/>
        <w:jc w:val="both"/>
        <w:rPr>
          <w:rFonts w:ascii="Verdana" w:hAnsi="Verdana"/>
          <w:sz w:val="16"/>
          <w:szCs w:val="16"/>
          <w:lang w:val="en-US"/>
        </w:rPr>
      </w:pPr>
      <w:r w:rsidRPr="00610904">
        <w:rPr>
          <w:rFonts w:ascii="Verdana" w:hAnsi="Verdana"/>
          <w:sz w:val="16"/>
          <w:szCs w:val="16"/>
          <w:lang w:val="en-US"/>
        </w:rPr>
        <w:t xml:space="preserve">(iii) </w:t>
      </w:r>
      <w:r w:rsidR="00A22D50" w:rsidRPr="00610904">
        <w:rPr>
          <w:rFonts w:ascii="Verdana" w:hAnsi="Verdana"/>
          <w:sz w:val="16"/>
          <w:szCs w:val="16"/>
          <w:lang w:val="en-US"/>
        </w:rPr>
        <w:t>Economic accessibility (affordability):  health facilities, goods and services must be affordable for all.  Payment for health-care services, as well as services related to the underlying determinants of health, has to be based on the principle of equity, ensuring that these services, whether privately or publicly provided, are affordable for all, including socially disadvantaged groups.  Equity demands that poorer households should not be disproportionately burdened with health expenses as compared to richer households.</w:t>
      </w:r>
    </w:p>
    <w:p w:rsidR="00D839BE" w:rsidRPr="00610904" w:rsidRDefault="00C33211" w:rsidP="00610904">
      <w:pPr>
        <w:pStyle w:val="Rom2"/>
        <w:numPr>
          <w:ilvl w:val="0"/>
          <w:numId w:val="0"/>
        </w:numPr>
        <w:tabs>
          <w:tab w:val="left" w:pos="1260"/>
        </w:tabs>
        <w:ind w:left="1440" w:right="385" w:hanging="360"/>
        <w:jc w:val="both"/>
        <w:rPr>
          <w:rFonts w:ascii="Verdana" w:hAnsi="Verdana"/>
          <w:sz w:val="16"/>
          <w:szCs w:val="16"/>
          <w:lang w:val="en-US"/>
        </w:rPr>
      </w:pPr>
      <w:proofErr w:type="gramStart"/>
      <w:r w:rsidRPr="00610904">
        <w:rPr>
          <w:rFonts w:ascii="Verdana" w:hAnsi="Verdana"/>
          <w:sz w:val="16"/>
          <w:szCs w:val="16"/>
          <w:lang w:val="en-US"/>
        </w:rPr>
        <w:t>(iv) Information</w:t>
      </w:r>
      <w:proofErr w:type="gramEnd"/>
      <w:r w:rsidRPr="00610904">
        <w:rPr>
          <w:rFonts w:ascii="Verdana" w:hAnsi="Verdana"/>
          <w:sz w:val="16"/>
          <w:szCs w:val="16"/>
          <w:lang w:val="en-US"/>
        </w:rPr>
        <w:t xml:space="preserve"> accessibility:  accessibility includes the right to seek, receive and impart information and ideas concerning health issues.  However, accessibility of information should</w:t>
      </w:r>
      <w:r w:rsidRPr="00610904">
        <w:rPr>
          <w:rFonts w:ascii="Verdana" w:hAnsi="Verdana"/>
          <w:i/>
          <w:sz w:val="16"/>
          <w:szCs w:val="16"/>
          <w:lang w:val="en-US"/>
        </w:rPr>
        <w:t xml:space="preserve"> </w:t>
      </w:r>
      <w:r w:rsidRPr="00610904">
        <w:rPr>
          <w:rFonts w:ascii="Verdana" w:hAnsi="Verdana"/>
          <w:sz w:val="16"/>
          <w:szCs w:val="16"/>
          <w:lang w:val="en-US"/>
        </w:rPr>
        <w:t>not impair the right to have personal health data treated with confidentiality.</w:t>
      </w:r>
    </w:p>
    <w:p w:rsidR="00C33211" w:rsidRPr="00610904" w:rsidRDefault="00C33211" w:rsidP="00610904">
      <w:pPr>
        <w:tabs>
          <w:tab w:val="right" w:pos="1304"/>
        </w:tabs>
        <w:ind w:left="1134" w:right="385" w:hanging="567"/>
        <w:rPr>
          <w:noProof w:val="0"/>
          <w:sz w:val="16"/>
          <w:szCs w:val="16"/>
          <w:lang w:val="en-US"/>
        </w:rPr>
      </w:pPr>
    </w:p>
    <w:p w:rsidR="00C33211" w:rsidRPr="00610904" w:rsidRDefault="00C33211" w:rsidP="00610904">
      <w:pPr>
        <w:tabs>
          <w:tab w:val="left" w:pos="1260"/>
        </w:tabs>
        <w:ind w:left="1080" w:right="385" w:hanging="450"/>
        <w:rPr>
          <w:noProof w:val="0"/>
          <w:sz w:val="16"/>
          <w:szCs w:val="16"/>
          <w:lang w:val="en-US"/>
        </w:rPr>
      </w:pPr>
      <w:r w:rsidRPr="00610904">
        <w:rPr>
          <w:noProof w:val="0"/>
          <w:sz w:val="16"/>
          <w:szCs w:val="16"/>
          <w:lang w:val="en-US"/>
        </w:rPr>
        <w:t>(c)</w:t>
      </w:r>
      <w:r w:rsidRPr="00610904">
        <w:rPr>
          <w:noProof w:val="0"/>
          <w:sz w:val="16"/>
          <w:szCs w:val="16"/>
          <w:lang w:val="en-US"/>
        </w:rPr>
        <w:tab/>
      </w:r>
      <w:r w:rsidRPr="00610904">
        <w:rPr>
          <w:i/>
          <w:noProof w:val="0"/>
          <w:sz w:val="16"/>
          <w:szCs w:val="16"/>
          <w:lang w:val="en-US"/>
        </w:rPr>
        <w:t>Acceptability.</w:t>
      </w:r>
      <w:r w:rsidRPr="00610904">
        <w:rPr>
          <w:noProof w:val="0"/>
          <w:sz w:val="16"/>
          <w:szCs w:val="16"/>
          <w:lang w:val="en-US"/>
        </w:rPr>
        <w:t xml:space="preserve">  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w:t>
      </w:r>
    </w:p>
    <w:p w:rsidR="00C33211" w:rsidRPr="00610904" w:rsidRDefault="00C33211" w:rsidP="00610904">
      <w:pPr>
        <w:tabs>
          <w:tab w:val="left" w:pos="1260"/>
        </w:tabs>
        <w:ind w:left="1080" w:right="385" w:hanging="450"/>
        <w:rPr>
          <w:noProof w:val="0"/>
          <w:sz w:val="16"/>
          <w:szCs w:val="16"/>
          <w:lang w:val="en-US"/>
        </w:rPr>
      </w:pPr>
    </w:p>
    <w:p w:rsidR="00D839BE" w:rsidRPr="00610904" w:rsidRDefault="00C33211" w:rsidP="00610904">
      <w:pPr>
        <w:tabs>
          <w:tab w:val="left" w:pos="1260"/>
        </w:tabs>
        <w:ind w:left="1080" w:right="385" w:hanging="450"/>
        <w:rPr>
          <w:noProof w:val="0"/>
          <w:sz w:val="16"/>
          <w:szCs w:val="16"/>
          <w:lang w:val="en-US"/>
        </w:rPr>
      </w:pPr>
      <w:r w:rsidRPr="00610904">
        <w:rPr>
          <w:noProof w:val="0"/>
          <w:sz w:val="16"/>
          <w:szCs w:val="16"/>
          <w:lang w:val="en-US"/>
        </w:rPr>
        <w:t>(d)</w:t>
      </w:r>
      <w:r w:rsidRPr="00610904">
        <w:rPr>
          <w:i/>
          <w:noProof w:val="0"/>
          <w:sz w:val="16"/>
          <w:szCs w:val="16"/>
          <w:lang w:val="en-US"/>
        </w:rPr>
        <w:tab/>
        <w:t>Quality.</w:t>
      </w:r>
      <w:r w:rsidRPr="00610904">
        <w:rPr>
          <w:noProof w:val="0"/>
          <w:sz w:val="16"/>
          <w:szCs w:val="16"/>
          <w:lang w:val="en-US"/>
        </w:rPr>
        <w:t xml:space="preserve">  As well as being culturally acceptable, health facilities, goods and services must also be scientifically and medically appropriate and of good quality. This requires, </w:t>
      </w:r>
      <w:r w:rsidRPr="00610904">
        <w:rPr>
          <w:i/>
          <w:noProof w:val="0"/>
          <w:sz w:val="16"/>
          <w:szCs w:val="16"/>
          <w:lang w:val="en-US"/>
        </w:rPr>
        <w:t>inter alia</w:t>
      </w:r>
      <w:r w:rsidRPr="00610904">
        <w:rPr>
          <w:noProof w:val="0"/>
          <w:sz w:val="16"/>
          <w:szCs w:val="16"/>
          <w:lang w:val="en-US"/>
        </w:rPr>
        <w:t>, skilled medical personnel, scientifically approved and unexpired</w:t>
      </w:r>
      <w:r w:rsidRPr="00610904">
        <w:rPr>
          <w:i/>
          <w:noProof w:val="0"/>
          <w:sz w:val="16"/>
          <w:szCs w:val="16"/>
          <w:lang w:val="en-US"/>
        </w:rPr>
        <w:t xml:space="preserve"> </w:t>
      </w:r>
      <w:r w:rsidRPr="00610904">
        <w:rPr>
          <w:noProof w:val="0"/>
          <w:sz w:val="16"/>
          <w:szCs w:val="16"/>
          <w:lang w:val="en-US"/>
        </w:rPr>
        <w:t>drugs and hospital equipment, safe and potable water, and adequate sanitation.</w:t>
      </w:r>
      <w:r w:rsidR="00D839BE" w:rsidRPr="00610904">
        <w:rPr>
          <w:rStyle w:val="FootnoteReference"/>
          <w:noProof w:val="0"/>
          <w:sz w:val="16"/>
          <w:szCs w:val="16"/>
          <w:lang w:val="en-US"/>
        </w:rPr>
        <w:footnoteReference w:id="204"/>
      </w:r>
      <w:r w:rsidR="00D839BE" w:rsidRPr="00610904">
        <w:rPr>
          <w:noProof w:val="0"/>
          <w:sz w:val="16"/>
          <w:szCs w:val="16"/>
          <w:lang w:val="en-US"/>
        </w:rPr>
        <w:t xml:space="preserve"> </w:t>
      </w:r>
    </w:p>
    <w:p w:rsidR="00D839BE" w:rsidRPr="00610904" w:rsidRDefault="00D839BE" w:rsidP="00610904">
      <w:pPr>
        <w:tabs>
          <w:tab w:val="right" w:pos="1304"/>
        </w:tabs>
        <w:ind w:left="1134" w:right="422" w:hanging="567"/>
        <w:rPr>
          <w:noProof w:val="0"/>
          <w:sz w:val="16"/>
          <w:szCs w:val="16"/>
          <w:lang w:val="en-US"/>
        </w:rPr>
      </w:pPr>
    </w:p>
    <w:p w:rsidR="00D839BE" w:rsidRPr="00610904" w:rsidRDefault="00C33211" w:rsidP="00610904">
      <w:pPr>
        <w:numPr>
          <w:ilvl w:val="0"/>
          <w:numId w:val="1"/>
        </w:numPr>
        <w:rPr>
          <w:noProof w:val="0"/>
          <w:lang w:val="en-US"/>
        </w:rPr>
      </w:pPr>
      <w:r w:rsidRPr="00610904">
        <w:rPr>
          <w:noProof w:val="0"/>
          <w:lang w:val="en-US"/>
        </w:rPr>
        <w:t xml:space="preserve">With regard to the condition of </w:t>
      </w:r>
      <w:r w:rsidR="00D839BE" w:rsidRPr="00610904">
        <w:rPr>
          <w:noProof w:val="0"/>
          <w:lang w:val="en-US"/>
        </w:rPr>
        <w:t>Talía Gonzales Lluy</w:t>
      </w:r>
      <w:r w:rsidRPr="00610904">
        <w:rPr>
          <w:noProof w:val="0"/>
          <w:lang w:val="en-US"/>
        </w:rPr>
        <w:t xml:space="preserve"> as a minor</w:t>
      </w:r>
      <w:r w:rsidR="00D839BE" w:rsidRPr="00610904">
        <w:rPr>
          <w:noProof w:val="0"/>
          <w:lang w:val="en-US"/>
        </w:rPr>
        <w:t xml:space="preserve">, </w:t>
      </w:r>
      <w:r w:rsidR="009F3D78" w:rsidRPr="00610904">
        <w:rPr>
          <w:noProof w:val="0"/>
          <w:lang w:val="en-US"/>
        </w:rPr>
        <w:t>Article</w:t>
      </w:r>
      <w:r w:rsidR="00D839BE" w:rsidRPr="00610904">
        <w:rPr>
          <w:noProof w:val="0"/>
          <w:lang w:val="en-US"/>
        </w:rPr>
        <w:t xml:space="preserve"> 24</w:t>
      </w:r>
      <w:r w:rsidR="009F3D78" w:rsidRPr="00610904">
        <w:rPr>
          <w:noProof w:val="0"/>
          <w:lang w:val="en-US"/>
        </w:rPr>
        <w:t xml:space="preserve"> of the </w:t>
      </w:r>
      <w:r w:rsidRPr="00610904">
        <w:rPr>
          <w:noProof w:val="0"/>
          <w:lang w:val="en-US"/>
        </w:rPr>
        <w:t>Convention on the Rights of the Child</w:t>
      </w:r>
      <w:r w:rsidR="003A3A82" w:rsidRPr="00610904">
        <w:rPr>
          <w:rStyle w:val="FootnoteReference"/>
          <w:noProof w:val="0"/>
          <w:lang w:val="en-US"/>
        </w:rPr>
        <w:footnoteReference w:id="205"/>
      </w:r>
      <w:r w:rsidR="003A3A82" w:rsidRPr="00610904">
        <w:rPr>
          <w:noProof w:val="0"/>
          <w:lang w:val="en-US"/>
        </w:rPr>
        <w:t xml:space="preserve"> </w:t>
      </w:r>
      <w:r w:rsidRPr="00610904">
        <w:rPr>
          <w:noProof w:val="0"/>
          <w:lang w:val="en-US"/>
        </w:rPr>
        <w:t xml:space="preserve">establishes </w:t>
      </w:r>
      <w:r w:rsidR="00D839BE" w:rsidRPr="00610904">
        <w:rPr>
          <w:noProof w:val="0"/>
          <w:lang w:val="en-US"/>
        </w:rPr>
        <w:t>“</w:t>
      </w:r>
      <w:r w:rsidRPr="00610904">
        <w:rPr>
          <w:noProof w:val="0"/>
          <w:lang w:val="en-US"/>
        </w:rPr>
        <w:t>the right of the child to the enjoyment of the highest attainable standard of health and to facilities for the treatment of illness and rehabilitation of health.” According to</w:t>
      </w:r>
      <w:r w:rsidR="00D839BE" w:rsidRPr="00610904">
        <w:rPr>
          <w:noProof w:val="0"/>
          <w:lang w:val="en-US"/>
        </w:rPr>
        <w:t xml:space="preserve"> </w:t>
      </w:r>
      <w:r w:rsidR="00A8072E" w:rsidRPr="00610904">
        <w:rPr>
          <w:noProof w:val="0"/>
          <w:lang w:val="en-US"/>
        </w:rPr>
        <w:t>Article</w:t>
      </w:r>
      <w:r w:rsidRPr="00610904">
        <w:rPr>
          <w:noProof w:val="0"/>
          <w:lang w:val="en-US"/>
        </w:rPr>
        <w:t xml:space="preserve"> 2(</w:t>
      </w:r>
      <w:r w:rsidR="00D839BE" w:rsidRPr="00610904">
        <w:rPr>
          <w:noProof w:val="0"/>
          <w:lang w:val="en-US"/>
        </w:rPr>
        <w:t xml:space="preserve">b) </w:t>
      </w:r>
      <w:r w:rsidRPr="00610904">
        <w:rPr>
          <w:noProof w:val="0"/>
          <w:lang w:val="en-US"/>
        </w:rPr>
        <w:t>of this article, States Parties, “shall take appropriate measures: […] to ensure the provision of necessary medical assistance and health care to all children with emphasis on the development of primary health care.”</w:t>
      </w:r>
    </w:p>
    <w:p w:rsidR="00D839BE" w:rsidRPr="00610904" w:rsidRDefault="00D839BE" w:rsidP="00610904">
      <w:pPr>
        <w:rPr>
          <w:noProof w:val="0"/>
          <w:lang w:val="en-US"/>
        </w:rPr>
      </w:pPr>
    </w:p>
    <w:p w:rsidR="00D839BE" w:rsidRPr="00610904" w:rsidRDefault="00D839BE" w:rsidP="00610904">
      <w:pPr>
        <w:pStyle w:val="Heading2"/>
        <w:numPr>
          <w:ilvl w:val="0"/>
          <w:numId w:val="16"/>
        </w:numPr>
        <w:rPr>
          <w:noProof w:val="0"/>
          <w:lang w:val="en-US"/>
        </w:rPr>
      </w:pPr>
      <w:bookmarkStart w:id="97" w:name="_Toc429519500"/>
      <w:bookmarkStart w:id="98" w:name="_Toc422436037"/>
      <w:r w:rsidRPr="00610904">
        <w:rPr>
          <w:noProof w:val="0"/>
          <w:lang w:val="en-US"/>
        </w:rPr>
        <w:t xml:space="preserve"> </w:t>
      </w:r>
      <w:bookmarkStart w:id="99" w:name="_Toc443399099"/>
      <w:r w:rsidR="008357AC" w:rsidRPr="00610904">
        <w:rPr>
          <w:noProof w:val="0"/>
          <w:lang w:val="en-US"/>
        </w:rPr>
        <w:t>Right to life, right to personal integrity and right to health</w:t>
      </w:r>
      <w:r w:rsidRPr="00610904">
        <w:rPr>
          <w:noProof w:val="0"/>
          <w:lang w:val="en-US"/>
        </w:rPr>
        <w:t xml:space="preserve"> </w:t>
      </w:r>
      <w:r w:rsidR="008357AC" w:rsidRPr="00610904">
        <w:rPr>
          <w:noProof w:val="0"/>
          <w:lang w:val="en-US"/>
        </w:rPr>
        <w:t xml:space="preserve">in relation to the obligation to regulate, monitor and supervise the services provided by private health </w:t>
      </w:r>
      <w:r w:rsidR="007C152C" w:rsidRPr="00610904">
        <w:rPr>
          <w:noProof w:val="0"/>
          <w:lang w:val="en-US"/>
        </w:rPr>
        <w:t xml:space="preserve">care </w:t>
      </w:r>
      <w:r w:rsidR="008357AC" w:rsidRPr="00610904">
        <w:rPr>
          <w:noProof w:val="0"/>
          <w:lang w:val="en-US"/>
        </w:rPr>
        <w:t>centers</w:t>
      </w:r>
      <w:bookmarkEnd w:id="97"/>
      <w:bookmarkEnd w:id="99"/>
    </w:p>
    <w:p w:rsidR="00D839BE" w:rsidRPr="00610904" w:rsidRDefault="00D839BE" w:rsidP="00610904">
      <w:pPr>
        <w:rPr>
          <w:noProof w:val="0"/>
          <w:szCs w:val="20"/>
          <w:lang w:val="en-US"/>
        </w:rPr>
      </w:pPr>
    </w:p>
    <w:p w:rsidR="00D839BE" w:rsidRPr="00610904" w:rsidRDefault="00D33231" w:rsidP="00610904">
      <w:pPr>
        <w:numPr>
          <w:ilvl w:val="0"/>
          <w:numId w:val="1"/>
        </w:numPr>
        <w:rPr>
          <w:noProof w:val="0"/>
          <w:szCs w:val="20"/>
          <w:lang w:val="en-US"/>
        </w:rPr>
      </w:pPr>
      <w:r w:rsidRPr="00610904">
        <w:rPr>
          <w:noProof w:val="0"/>
          <w:szCs w:val="20"/>
          <w:lang w:val="en-US"/>
        </w:rPr>
        <w:t xml:space="preserve">In view of the fact that, in this case, the interference with the right to life and to </w:t>
      </w:r>
      <w:r w:rsidR="008956E2" w:rsidRPr="00610904">
        <w:rPr>
          <w:noProof w:val="0"/>
          <w:szCs w:val="20"/>
          <w:lang w:val="en-US"/>
        </w:rPr>
        <w:t>personal integrity</w:t>
      </w:r>
      <w:r w:rsidR="00D839BE" w:rsidRPr="00610904">
        <w:rPr>
          <w:b/>
          <w:noProof w:val="0"/>
          <w:szCs w:val="20"/>
          <w:lang w:val="en-US"/>
        </w:rPr>
        <w:t xml:space="preserve"> </w:t>
      </w:r>
      <w:r w:rsidR="00D839BE" w:rsidRPr="00610904">
        <w:rPr>
          <w:noProof w:val="0"/>
          <w:szCs w:val="20"/>
          <w:lang w:val="en-US"/>
        </w:rPr>
        <w:t>(contamina</w:t>
      </w:r>
      <w:r w:rsidRPr="00610904">
        <w:rPr>
          <w:noProof w:val="0"/>
          <w:szCs w:val="20"/>
          <w:lang w:val="en-US"/>
        </w:rPr>
        <w:t>tion with HIV-infected blood) originated from the conduct of private third parties (private health care institution and private blood bank), the Court finds it relevant to refer to its previous rulings on international responsibility for facts that result from the conduct of private health care providers</w:t>
      </w:r>
      <w:r w:rsidR="00D839BE" w:rsidRPr="00610904">
        <w:rPr>
          <w:noProof w:val="0"/>
          <w:lang w:val="en-US"/>
        </w:rPr>
        <w:t xml:space="preserve">. </w:t>
      </w:r>
      <w:r w:rsidR="00C33211" w:rsidRPr="00610904">
        <w:rPr>
          <w:noProof w:val="0"/>
          <w:lang w:val="en-US"/>
        </w:rPr>
        <w:t>In the case of</w:t>
      </w:r>
      <w:r w:rsidR="00D839BE" w:rsidRPr="00610904">
        <w:rPr>
          <w:i/>
          <w:noProof w:val="0"/>
          <w:lang w:val="en-US"/>
        </w:rPr>
        <w:t xml:space="preserve"> Ximenes Lopes v. </w:t>
      </w:r>
      <w:r w:rsidR="00C33211" w:rsidRPr="00610904">
        <w:rPr>
          <w:i/>
          <w:noProof w:val="0"/>
          <w:lang w:val="en-US"/>
        </w:rPr>
        <w:t>Brazil</w:t>
      </w:r>
      <w:r w:rsidR="00D839BE" w:rsidRPr="00610904">
        <w:rPr>
          <w:noProof w:val="0"/>
          <w:lang w:val="en-US"/>
        </w:rPr>
        <w:t xml:space="preserve">, </w:t>
      </w:r>
      <w:r w:rsidR="009F3D78" w:rsidRPr="00610904">
        <w:rPr>
          <w:noProof w:val="0"/>
          <w:lang w:val="en-US"/>
        </w:rPr>
        <w:t>the Court</w:t>
      </w:r>
      <w:r w:rsidR="00D839BE" w:rsidRPr="00610904">
        <w:rPr>
          <w:noProof w:val="0"/>
          <w:lang w:val="en-US"/>
        </w:rPr>
        <w:t xml:space="preserve"> </w:t>
      </w:r>
      <w:r w:rsidRPr="00610904">
        <w:rPr>
          <w:noProof w:val="0"/>
          <w:lang w:val="en-US"/>
        </w:rPr>
        <w:t>stated that</w:t>
      </w:r>
      <w:r w:rsidR="00D839BE" w:rsidRPr="00610904">
        <w:rPr>
          <w:noProof w:val="0"/>
          <w:lang w:val="en-US"/>
        </w:rPr>
        <w:t>:</w:t>
      </w:r>
    </w:p>
    <w:p w:rsidR="00D839BE" w:rsidRPr="00610904" w:rsidRDefault="00D839BE" w:rsidP="00610904">
      <w:pPr>
        <w:rPr>
          <w:noProof w:val="0"/>
          <w:lang w:val="en-US"/>
        </w:rPr>
      </w:pPr>
    </w:p>
    <w:p w:rsidR="00C33211" w:rsidRPr="00610904" w:rsidRDefault="00D839BE" w:rsidP="003D3ABA">
      <w:pPr>
        <w:tabs>
          <w:tab w:val="left" w:pos="1260"/>
        </w:tabs>
        <w:ind w:left="720" w:right="475"/>
        <w:rPr>
          <w:rFonts w:cs="Arial"/>
          <w:noProof w:val="0"/>
          <w:sz w:val="16"/>
          <w:szCs w:val="16"/>
          <w:lang w:val="en-US"/>
        </w:rPr>
      </w:pPr>
      <w:r w:rsidRPr="00610904">
        <w:rPr>
          <w:noProof w:val="0"/>
          <w:sz w:val="16"/>
          <w:szCs w:val="16"/>
          <w:lang w:val="en-US"/>
        </w:rPr>
        <w:t xml:space="preserve">89. </w:t>
      </w:r>
      <w:r w:rsidR="00BA561C" w:rsidRPr="00610904">
        <w:rPr>
          <w:noProof w:val="0"/>
          <w:sz w:val="16"/>
          <w:szCs w:val="16"/>
          <w:lang w:val="en-US"/>
        </w:rPr>
        <w:tab/>
      </w:r>
      <w:r w:rsidR="00C33211" w:rsidRPr="00610904">
        <w:rPr>
          <w:rFonts w:cs="Arial"/>
          <w:noProof w:val="0"/>
          <w:sz w:val="16"/>
          <w:szCs w:val="16"/>
          <w:lang w:val="en-US"/>
        </w:rPr>
        <w:t xml:space="preserve">As to the persons who are under medical treatment, and since health is a public interest the protection of which is a </w:t>
      </w:r>
      <w:r w:rsidR="00D33231" w:rsidRPr="00610904">
        <w:rPr>
          <w:rFonts w:cs="Arial"/>
          <w:noProof w:val="0"/>
          <w:sz w:val="16"/>
          <w:szCs w:val="16"/>
          <w:lang w:val="en-US"/>
        </w:rPr>
        <w:t>State obligation, States</w:t>
      </w:r>
      <w:r w:rsidR="00C33211" w:rsidRPr="00610904">
        <w:rPr>
          <w:rFonts w:cs="Arial"/>
          <w:noProof w:val="0"/>
          <w:sz w:val="16"/>
          <w:szCs w:val="16"/>
          <w:lang w:val="en-US"/>
        </w:rPr>
        <w:t xml:space="preserve"> must prevent third parties from unduly interfering with the enjoyment of the rights to life and </w:t>
      </w:r>
      <w:r w:rsidR="00D33231" w:rsidRPr="00610904">
        <w:rPr>
          <w:rFonts w:cs="Arial"/>
          <w:noProof w:val="0"/>
          <w:sz w:val="16"/>
          <w:szCs w:val="16"/>
          <w:lang w:val="en-US"/>
        </w:rPr>
        <w:t xml:space="preserve">to </w:t>
      </w:r>
      <w:r w:rsidR="00C33211" w:rsidRPr="00610904">
        <w:rPr>
          <w:rFonts w:cs="Arial"/>
          <w:noProof w:val="0"/>
          <w:sz w:val="16"/>
          <w:szCs w:val="16"/>
          <w:lang w:val="en-US"/>
        </w:rPr>
        <w:t xml:space="preserve">personal integrity, which are particularly vulnerable when a person is undergoing health treatment. The Court considers that States must regulate and </w:t>
      </w:r>
      <w:r w:rsidR="00D33231" w:rsidRPr="00610904">
        <w:rPr>
          <w:rFonts w:cs="Arial"/>
          <w:noProof w:val="0"/>
          <w:sz w:val="16"/>
          <w:szCs w:val="16"/>
          <w:lang w:val="en-US"/>
        </w:rPr>
        <w:t>supervise all activities relating</w:t>
      </w:r>
      <w:r w:rsidR="00C33211" w:rsidRPr="00610904">
        <w:rPr>
          <w:rFonts w:cs="Arial"/>
          <w:noProof w:val="0"/>
          <w:sz w:val="16"/>
          <w:szCs w:val="16"/>
          <w:lang w:val="en-US"/>
        </w:rPr>
        <w:t xml:space="preserve"> to the health care </w:t>
      </w:r>
      <w:r w:rsidR="00D33231" w:rsidRPr="00610904">
        <w:rPr>
          <w:rFonts w:cs="Arial"/>
          <w:noProof w:val="0"/>
          <w:sz w:val="16"/>
          <w:szCs w:val="16"/>
          <w:lang w:val="en-US"/>
        </w:rPr>
        <w:t>provided to persons subject to their</w:t>
      </w:r>
      <w:r w:rsidR="00C33211" w:rsidRPr="00610904">
        <w:rPr>
          <w:rFonts w:cs="Arial"/>
          <w:noProof w:val="0"/>
          <w:sz w:val="16"/>
          <w:szCs w:val="16"/>
          <w:lang w:val="en-US"/>
        </w:rPr>
        <w:t xml:space="preserve"> jurisdiction, as a </w:t>
      </w:r>
      <w:r w:rsidR="00C33211" w:rsidRPr="00610904">
        <w:rPr>
          <w:rFonts w:cs="Arial"/>
          <w:noProof w:val="0"/>
          <w:sz w:val="16"/>
          <w:szCs w:val="16"/>
          <w:lang w:val="en-US"/>
        </w:rPr>
        <w:lastRenderedPageBreak/>
        <w:t xml:space="preserve">special duty to protect life and personal integrity, regardless of the public or private nature of the entity </w:t>
      </w:r>
      <w:r w:rsidR="00D33231" w:rsidRPr="00610904">
        <w:rPr>
          <w:rFonts w:cs="Arial"/>
          <w:noProof w:val="0"/>
          <w:sz w:val="16"/>
          <w:szCs w:val="16"/>
          <w:lang w:val="en-US"/>
        </w:rPr>
        <w:t>providing</w:t>
      </w:r>
      <w:r w:rsidR="00C33211" w:rsidRPr="00610904">
        <w:rPr>
          <w:rFonts w:cs="Arial"/>
          <w:noProof w:val="0"/>
          <w:sz w:val="16"/>
          <w:szCs w:val="16"/>
          <w:lang w:val="en-US"/>
        </w:rPr>
        <w:t xml:space="preserve"> such health care. </w:t>
      </w:r>
    </w:p>
    <w:p w:rsidR="00C33211" w:rsidRPr="00610904" w:rsidRDefault="00C33211" w:rsidP="003D3ABA">
      <w:pPr>
        <w:tabs>
          <w:tab w:val="left" w:pos="1260"/>
        </w:tabs>
        <w:ind w:left="720" w:right="475"/>
        <w:rPr>
          <w:noProof w:val="0"/>
          <w:sz w:val="16"/>
          <w:szCs w:val="16"/>
          <w:lang w:val="en-US"/>
        </w:rPr>
      </w:pPr>
    </w:p>
    <w:p w:rsidR="00D839BE" w:rsidRPr="00610904" w:rsidRDefault="00C33211" w:rsidP="003D3ABA">
      <w:pPr>
        <w:tabs>
          <w:tab w:val="left" w:pos="1260"/>
        </w:tabs>
        <w:ind w:left="720" w:right="475"/>
        <w:rPr>
          <w:rFonts w:cs="Arial"/>
          <w:noProof w:val="0"/>
          <w:sz w:val="16"/>
          <w:szCs w:val="16"/>
          <w:lang w:val="en-US"/>
        </w:rPr>
      </w:pPr>
      <w:r w:rsidRPr="00610904">
        <w:rPr>
          <w:rFonts w:cs="Arial"/>
          <w:noProof w:val="0"/>
          <w:sz w:val="16"/>
          <w:szCs w:val="16"/>
          <w:lang w:val="en-US"/>
        </w:rPr>
        <w:t xml:space="preserve">90. </w:t>
      </w:r>
      <w:r w:rsidRPr="00610904">
        <w:rPr>
          <w:rFonts w:cs="Arial"/>
          <w:noProof w:val="0"/>
          <w:sz w:val="16"/>
          <w:szCs w:val="16"/>
          <w:lang w:val="en-US"/>
        </w:rPr>
        <w:tab/>
        <w:t xml:space="preserve">The failure to regulate and supervise such activities gives rise to international </w:t>
      </w:r>
      <w:r w:rsidR="00D33231" w:rsidRPr="00610904">
        <w:rPr>
          <w:rFonts w:cs="Arial"/>
          <w:noProof w:val="0"/>
          <w:sz w:val="16"/>
          <w:szCs w:val="16"/>
          <w:lang w:val="en-US"/>
        </w:rPr>
        <w:t>responsibility, as</w:t>
      </w:r>
      <w:r w:rsidRPr="00610904">
        <w:rPr>
          <w:rFonts w:cs="Arial"/>
          <w:noProof w:val="0"/>
          <w:sz w:val="16"/>
          <w:szCs w:val="16"/>
          <w:lang w:val="en-US"/>
        </w:rPr>
        <w:t xml:space="preserve"> States are </w:t>
      </w:r>
      <w:r w:rsidR="00D33231" w:rsidRPr="00610904">
        <w:rPr>
          <w:rFonts w:cs="Arial"/>
          <w:noProof w:val="0"/>
          <w:sz w:val="16"/>
          <w:szCs w:val="16"/>
          <w:lang w:val="en-US"/>
        </w:rPr>
        <w:t>responsible</w:t>
      </w:r>
      <w:r w:rsidRPr="00610904">
        <w:rPr>
          <w:rFonts w:cs="Arial"/>
          <w:noProof w:val="0"/>
          <w:sz w:val="16"/>
          <w:szCs w:val="16"/>
          <w:lang w:val="en-US"/>
        </w:rPr>
        <w:t xml:space="preserve"> for the acts </w:t>
      </w:r>
      <w:r w:rsidR="00D33231" w:rsidRPr="00610904">
        <w:rPr>
          <w:rFonts w:cs="Arial"/>
          <w:noProof w:val="0"/>
          <w:sz w:val="16"/>
          <w:szCs w:val="16"/>
          <w:lang w:val="en-US"/>
        </w:rPr>
        <w:t>of</w:t>
      </w:r>
      <w:r w:rsidRPr="00610904">
        <w:rPr>
          <w:rFonts w:cs="Arial"/>
          <w:noProof w:val="0"/>
          <w:sz w:val="16"/>
          <w:szCs w:val="16"/>
          <w:lang w:val="en-US"/>
        </w:rPr>
        <w:t xml:space="preserve"> both public and private entities </w:t>
      </w:r>
      <w:r w:rsidR="00D33231" w:rsidRPr="00610904">
        <w:rPr>
          <w:rFonts w:cs="Arial"/>
          <w:noProof w:val="0"/>
          <w:sz w:val="16"/>
          <w:szCs w:val="16"/>
          <w:lang w:val="en-US"/>
        </w:rPr>
        <w:t>that provide</w:t>
      </w:r>
      <w:r w:rsidRPr="00610904">
        <w:rPr>
          <w:rFonts w:cs="Arial"/>
          <w:noProof w:val="0"/>
          <w:sz w:val="16"/>
          <w:szCs w:val="16"/>
          <w:lang w:val="en-US"/>
        </w:rPr>
        <w:t xml:space="preserve"> medical </w:t>
      </w:r>
      <w:r w:rsidR="00D33231" w:rsidRPr="00610904">
        <w:rPr>
          <w:rFonts w:cs="Arial"/>
          <w:noProof w:val="0"/>
          <w:sz w:val="16"/>
          <w:szCs w:val="16"/>
          <w:lang w:val="en-US"/>
        </w:rPr>
        <w:t>care</w:t>
      </w:r>
      <w:r w:rsidRPr="00610904">
        <w:rPr>
          <w:rFonts w:cs="Arial"/>
          <w:noProof w:val="0"/>
          <w:sz w:val="16"/>
          <w:szCs w:val="16"/>
          <w:lang w:val="en-US"/>
        </w:rPr>
        <w:t xml:space="preserve">, since under the American Convention international </w:t>
      </w:r>
      <w:r w:rsidR="00D33231" w:rsidRPr="00610904">
        <w:rPr>
          <w:rFonts w:cs="Arial"/>
          <w:noProof w:val="0"/>
          <w:sz w:val="16"/>
          <w:szCs w:val="16"/>
          <w:lang w:val="en-US"/>
        </w:rPr>
        <w:t>responsibility</w:t>
      </w:r>
      <w:r w:rsidRPr="00610904">
        <w:rPr>
          <w:rFonts w:cs="Arial"/>
          <w:noProof w:val="0"/>
          <w:sz w:val="16"/>
          <w:szCs w:val="16"/>
          <w:lang w:val="en-US"/>
        </w:rPr>
        <w:t xml:space="preserve"> comprises the acts performed by private entities acting </w:t>
      </w:r>
      <w:r w:rsidR="00D33231" w:rsidRPr="00610904">
        <w:rPr>
          <w:rFonts w:cs="Arial"/>
          <w:noProof w:val="0"/>
          <w:sz w:val="16"/>
          <w:szCs w:val="16"/>
          <w:lang w:val="en-US"/>
        </w:rPr>
        <w:t>on behalf of the State</w:t>
      </w:r>
      <w:r w:rsidRPr="00610904">
        <w:rPr>
          <w:rFonts w:cs="Arial"/>
          <w:noProof w:val="0"/>
          <w:sz w:val="16"/>
          <w:szCs w:val="16"/>
          <w:lang w:val="en-US"/>
        </w:rPr>
        <w:t xml:space="preserve">, as well as the acts committed by third parties when the State fails to fulfill its </w:t>
      </w:r>
      <w:r w:rsidR="00D33231" w:rsidRPr="00610904">
        <w:rPr>
          <w:rFonts w:cs="Arial"/>
          <w:noProof w:val="0"/>
          <w:sz w:val="16"/>
          <w:szCs w:val="16"/>
          <w:lang w:val="en-US"/>
        </w:rPr>
        <w:t>obligation</w:t>
      </w:r>
      <w:r w:rsidRPr="00610904">
        <w:rPr>
          <w:rFonts w:cs="Arial"/>
          <w:noProof w:val="0"/>
          <w:sz w:val="16"/>
          <w:szCs w:val="16"/>
          <w:lang w:val="en-US"/>
        </w:rPr>
        <w:t xml:space="preserve"> to regulate and supervise them.</w:t>
      </w:r>
      <w:r w:rsidRPr="00610904">
        <w:rPr>
          <w:rStyle w:val="FootnoteReference"/>
          <w:noProof w:val="0"/>
          <w:sz w:val="16"/>
          <w:szCs w:val="16"/>
          <w:lang w:val="en-US"/>
        </w:rPr>
        <w:footnoteReference w:id="206"/>
      </w:r>
      <w:r w:rsidRPr="00610904">
        <w:rPr>
          <w:rFonts w:cs="Arial"/>
          <w:noProof w:val="0"/>
          <w:sz w:val="16"/>
          <w:szCs w:val="16"/>
          <w:lang w:val="en-US"/>
        </w:rPr>
        <w:t xml:space="preserve"> Therefore, the </w:t>
      </w:r>
      <w:r w:rsidR="00D33231" w:rsidRPr="00610904">
        <w:rPr>
          <w:rFonts w:cs="Arial"/>
          <w:noProof w:val="0"/>
          <w:sz w:val="16"/>
          <w:szCs w:val="16"/>
          <w:lang w:val="en-US"/>
        </w:rPr>
        <w:t>obligation</w:t>
      </w:r>
      <w:r w:rsidRPr="00610904">
        <w:rPr>
          <w:rFonts w:cs="Arial"/>
          <w:noProof w:val="0"/>
          <w:sz w:val="16"/>
          <w:szCs w:val="16"/>
          <w:lang w:val="en-US"/>
        </w:rPr>
        <w:t xml:space="preserve"> of the States to regulate these acts is not limited to public hospitals, but includes any and all health care institutions.</w:t>
      </w:r>
      <w:r w:rsidR="00D839BE" w:rsidRPr="00610904">
        <w:rPr>
          <w:rStyle w:val="FootnoteReference"/>
          <w:noProof w:val="0"/>
          <w:sz w:val="16"/>
          <w:szCs w:val="16"/>
          <w:lang w:val="en-US"/>
        </w:rPr>
        <w:footnoteReference w:id="207"/>
      </w:r>
    </w:p>
    <w:p w:rsidR="00D839BE" w:rsidRPr="00610904" w:rsidRDefault="00D839BE" w:rsidP="00610904">
      <w:pPr>
        <w:rPr>
          <w:noProof w:val="0"/>
          <w:lang w:val="en-US"/>
        </w:rPr>
      </w:pPr>
    </w:p>
    <w:p w:rsidR="00D839BE" w:rsidRPr="00610904" w:rsidRDefault="00D33231" w:rsidP="00610904">
      <w:pPr>
        <w:numPr>
          <w:ilvl w:val="0"/>
          <w:numId w:val="1"/>
        </w:numPr>
        <w:tabs>
          <w:tab w:val="left" w:pos="720"/>
        </w:tabs>
        <w:rPr>
          <w:noProof w:val="0"/>
          <w:szCs w:val="20"/>
          <w:lang w:val="en-US"/>
        </w:rPr>
      </w:pPr>
      <w:r w:rsidRPr="00610904">
        <w:rPr>
          <w:noProof w:val="0"/>
          <w:lang w:val="en-US"/>
        </w:rPr>
        <w:t xml:space="preserve">The Court will now examine the facts of the case in light of the obligation to regulate and supervise the provision of services by </w:t>
      </w:r>
      <w:r w:rsidR="00A8072E" w:rsidRPr="00610904">
        <w:rPr>
          <w:noProof w:val="0"/>
          <w:lang w:val="en-US"/>
        </w:rPr>
        <w:t xml:space="preserve">the </w:t>
      </w:r>
      <w:r w:rsidRPr="00610904">
        <w:rPr>
          <w:noProof w:val="0"/>
          <w:lang w:val="en-US"/>
        </w:rPr>
        <w:t>private blood b</w:t>
      </w:r>
      <w:r w:rsidR="00A8072E" w:rsidRPr="00610904">
        <w:rPr>
          <w:noProof w:val="0"/>
          <w:lang w:val="en-US"/>
        </w:rPr>
        <w:t>ank</w:t>
      </w:r>
      <w:r w:rsidRPr="00610904">
        <w:rPr>
          <w:noProof w:val="0"/>
          <w:lang w:val="en-US"/>
        </w:rPr>
        <w:t xml:space="preserve"> that intervened in this case. It shoul</w:t>
      </w:r>
      <w:r w:rsidR="000D3C50" w:rsidRPr="00610904">
        <w:rPr>
          <w:noProof w:val="0"/>
          <w:lang w:val="en-US"/>
        </w:rPr>
        <w:t>d be underlined that this exami</w:t>
      </w:r>
      <w:r w:rsidRPr="00610904">
        <w:rPr>
          <w:noProof w:val="0"/>
          <w:lang w:val="en-US"/>
        </w:rPr>
        <w:t>n</w:t>
      </w:r>
      <w:r w:rsidR="000D3C50" w:rsidRPr="00610904">
        <w:rPr>
          <w:noProof w:val="0"/>
          <w:lang w:val="en-US"/>
        </w:rPr>
        <w:t>a</w:t>
      </w:r>
      <w:r w:rsidRPr="00610904">
        <w:rPr>
          <w:noProof w:val="0"/>
          <w:lang w:val="en-US"/>
        </w:rPr>
        <w:t xml:space="preserve">tion will take into account the State obligation in relation to the </w:t>
      </w:r>
      <w:r w:rsidRPr="00610904">
        <w:rPr>
          <w:i/>
          <w:noProof w:val="0"/>
          <w:lang w:val="en-US"/>
        </w:rPr>
        <w:t xml:space="preserve">acceptability </w:t>
      </w:r>
      <w:r w:rsidRPr="00610904">
        <w:rPr>
          <w:noProof w:val="0"/>
          <w:lang w:val="en-US"/>
        </w:rPr>
        <w:t xml:space="preserve">of the health facilities, goods and services (which </w:t>
      </w:r>
      <w:r w:rsidRPr="00610904">
        <w:rPr>
          <w:noProof w:val="0"/>
          <w:szCs w:val="20"/>
          <w:lang w:val="en-US"/>
        </w:rPr>
        <w:t xml:space="preserve">“must be respectful of medical ethics and culturally appropriate”), and their </w:t>
      </w:r>
      <w:r w:rsidRPr="00610904">
        <w:rPr>
          <w:i/>
          <w:noProof w:val="0"/>
          <w:szCs w:val="20"/>
          <w:lang w:val="en-US"/>
        </w:rPr>
        <w:t>quality</w:t>
      </w:r>
      <w:r w:rsidRPr="00610904">
        <w:rPr>
          <w:noProof w:val="0"/>
          <w:szCs w:val="20"/>
          <w:lang w:val="en-US"/>
        </w:rPr>
        <w:t xml:space="preserve"> (“health facilities, goods and services must also be scientifically and medically appropriate and of good quality”)</w:t>
      </w:r>
      <w:r w:rsidR="00610904">
        <w:rPr>
          <w:noProof w:val="0"/>
          <w:szCs w:val="20"/>
          <w:lang w:val="en-US"/>
        </w:rPr>
        <w:t xml:space="preserve"> </w:t>
      </w:r>
      <w:r w:rsidR="00D839BE" w:rsidRPr="00610904">
        <w:rPr>
          <w:noProof w:val="0"/>
          <w:lang w:val="en-US"/>
        </w:rPr>
        <w:t>(</w:t>
      </w:r>
      <w:r w:rsidR="00D839BE" w:rsidRPr="00610904">
        <w:rPr>
          <w:i/>
          <w:noProof w:val="0"/>
          <w:lang w:val="en-US"/>
        </w:rPr>
        <w:t xml:space="preserve">supra </w:t>
      </w:r>
      <w:r w:rsidR="006E502B" w:rsidRPr="00610904">
        <w:rPr>
          <w:noProof w:val="0"/>
          <w:lang w:val="en-US"/>
        </w:rPr>
        <w:t>para.</w:t>
      </w:r>
      <w:r w:rsidR="00D839BE" w:rsidRPr="00610904">
        <w:rPr>
          <w:noProof w:val="0"/>
          <w:lang w:val="en-US"/>
        </w:rPr>
        <w:t xml:space="preserve"> 173)</w:t>
      </w:r>
      <w:r w:rsidR="0076468C" w:rsidRPr="00610904">
        <w:rPr>
          <w:noProof w:val="0"/>
          <w:lang w:val="en-US"/>
        </w:rPr>
        <w:t>.</w:t>
      </w:r>
      <w:r w:rsidR="00D839BE" w:rsidRPr="00610904">
        <w:rPr>
          <w:noProof w:val="0"/>
          <w:lang w:val="en-US"/>
        </w:rPr>
        <w:t xml:space="preserve"> </w:t>
      </w:r>
      <w:r w:rsidRPr="00610904">
        <w:rPr>
          <w:noProof w:val="0"/>
          <w:lang w:val="en-US"/>
        </w:rPr>
        <w:t>Indeed, these notions of acceptability and quality entail a reference to the ethical and technical standards of the profession and those that have been established for blood donations and transfusions.</w:t>
      </w:r>
    </w:p>
    <w:p w:rsidR="00D839BE" w:rsidRPr="00610904" w:rsidRDefault="00D839BE" w:rsidP="00610904">
      <w:pPr>
        <w:tabs>
          <w:tab w:val="left" w:pos="720"/>
        </w:tabs>
        <w:rPr>
          <w:noProof w:val="0"/>
          <w:szCs w:val="20"/>
          <w:lang w:val="en-US"/>
        </w:rPr>
      </w:pPr>
    </w:p>
    <w:p w:rsidR="00D839BE" w:rsidRPr="00610904" w:rsidRDefault="00D33231" w:rsidP="00610904">
      <w:pPr>
        <w:numPr>
          <w:ilvl w:val="0"/>
          <w:numId w:val="1"/>
        </w:numPr>
        <w:tabs>
          <w:tab w:val="left" w:pos="720"/>
        </w:tabs>
        <w:rPr>
          <w:noProof w:val="0"/>
          <w:szCs w:val="20"/>
          <w:lang w:val="en-US"/>
        </w:rPr>
      </w:pPr>
      <w:r w:rsidRPr="00610904">
        <w:rPr>
          <w:noProof w:val="0"/>
          <w:lang w:val="en-US"/>
        </w:rPr>
        <w:t>Regarding the content of th</w:t>
      </w:r>
      <w:r w:rsidR="000D3C50" w:rsidRPr="00610904">
        <w:rPr>
          <w:noProof w:val="0"/>
          <w:lang w:val="en-US"/>
        </w:rPr>
        <w:t>e</w:t>
      </w:r>
      <w:r w:rsidRPr="00610904">
        <w:rPr>
          <w:noProof w:val="0"/>
          <w:lang w:val="en-US"/>
        </w:rPr>
        <w:t xml:space="preserve"> obligation of regulation, in previous cases, the Court has indicated the following:</w:t>
      </w:r>
    </w:p>
    <w:p w:rsidR="00D839BE" w:rsidRPr="00610904" w:rsidRDefault="00D839BE" w:rsidP="00610904">
      <w:pPr>
        <w:rPr>
          <w:noProof w:val="0"/>
          <w:sz w:val="16"/>
          <w:szCs w:val="16"/>
          <w:lang w:val="en-US"/>
        </w:rPr>
      </w:pPr>
    </w:p>
    <w:p w:rsidR="00D839BE" w:rsidRPr="00610904" w:rsidRDefault="00EF6ACC" w:rsidP="003D3ABA">
      <w:pPr>
        <w:ind w:left="720" w:right="475"/>
        <w:rPr>
          <w:noProof w:val="0"/>
          <w:sz w:val="16"/>
          <w:szCs w:val="16"/>
          <w:lang w:val="en-US"/>
        </w:rPr>
      </w:pPr>
      <w:r w:rsidRPr="00610904">
        <w:rPr>
          <w:rFonts w:cs="Arial"/>
          <w:noProof w:val="0"/>
          <w:sz w:val="16"/>
          <w:szCs w:val="16"/>
          <w:lang w:val="en-US"/>
        </w:rPr>
        <w:t xml:space="preserve">States are responsible for regulating […] at all times the provision of services and the implementation of the national programs relating to the provision of quality public health care services so that they may deter any threat to the right to the life and the physical integrity of persons undergoing medical treatment. They must, </w:t>
      </w:r>
      <w:r w:rsidRPr="00610904">
        <w:rPr>
          <w:rFonts w:cs="Arial"/>
          <w:i/>
          <w:noProof w:val="0"/>
          <w:sz w:val="16"/>
          <w:szCs w:val="16"/>
          <w:lang w:val="en-US"/>
        </w:rPr>
        <w:t>inter alia,</w:t>
      </w:r>
      <w:r w:rsidRPr="00610904">
        <w:rPr>
          <w:rFonts w:cs="Arial"/>
          <w:noProof w:val="0"/>
          <w:sz w:val="16"/>
          <w:szCs w:val="16"/>
          <w:lang w:val="en-US"/>
        </w:rPr>
        <w:t xml:space="preserve"> establish the proper mechanisms to inspect […] institutions, submit, investigate, and resolve complaints, and establish appropriate disciplinary or judicial procedures for cases of professional misconduct or the violation of the rights of the patients.</w:t>
      </w:r>
      <w:r w:rsidR="00D839BE" w:rsidRPr="00610904">
        <w:rPr>
          <w:rStyle w:val="FootnoteReference"/>
          <w:rFonts w:cs="Verdana"/>
          <w:noProof w:val="0"/>
          <w:sz w:val="16"/>
          <w:szCs w:val="16"/>
          <w:lang w:val="en-US"/>
        </w:rPr>
        <w:footnoteReference w:id="208"/>
      </w:r>
    </w:p>
    <w:p w:rsidR="00D839BE" w:rsidRPr="00610904" w:rsidRDefault="00D839BE" w:rsidP="00610904">
      <w:pPr>
        <w:rPr>
          <w:noProof w:val="0"/>
          <w:szCs w:val="20"/>
          <w:lang w:val="en-US"/>
        </w:rPr>
      </w:pPr>
    </w:p>
    <w:p w:rsidR="00D839BE" w:rsidRPr="00610904" w:rsidRDefault="00EF6ACC" w:rsidP="00610904">
      <w:pPr>
        <w:numPr>
          <w:ilvl w:val="0"/>
          <w:numId w:val="1"/>
        </w:numPr>
        <w:rPr>
          <w:noProof w:val="0"/>
          <w:szCs w:val="20"/>
          <w:lang w:val="en-US"/>
        </w:rPr>
      </w:pPr>
      <w:r w:rsidRPr="00610904">
        <w:rPr>
          <w:noProof w:val="0"/>
          <w:lang w:val="en-US"/>
        </w:rPr>
        <w:t>On this point, the Court considers that there are certain activities, such as the operation of blood banks, that entail significant risks for human health and, therefore, State</w:t>
      </w:r>
      <w:r w:rsidR="000D3C50" w:rsidRPr="00610904">
        <w:rPr>
          <w:noProof w:val="0"/>
          <w:lang w:val="en-US"/>
        </w:rPr>
        <w:t>s</w:t>
      </w:r>
      <w:r w:rsidRPr="00610904">
        <w:rPr>
          <w:noProof w:val="0"/>
          <w:lang w:val="en-US"/>
        </w:rPr>
        <w:t xml:space="preserve"> have the obligation to regulate them specifically.</w:t>
      </w:r>
      <w:r w:rsidRPr="00610904">
        <w:rPr>
          <w:rStyle w:val="FootnoteReference"/>
          <w:noProof w:val="0"/>
          <w:lang w:val="en-US"/>
        </w:rPr>
        <w:footnoteReference w:id="209"/>
      </w:r>
      <w:r w:rsidRPr="00610904">
        <w:rPr>
          <w:noProof w:val="0"/>
          <w:lang w:val="en-US"/>
        </w:rPr>
        <w:t xml:space="preserve"> In this case, given that the Red Cross, a private </w:t>
      </w:r>
      <w:r w:rsidR="000D3C50" w:rsidRPr="00610904">
        <w:rPr>
          <w:noProof w:val="0"/>
          <w:lang w:val="en-US"/>
        </w:rPr>
        <w:t>entity, was the sole</w:t>
      </w:r>
      <w:r w:rsidRPr="00610904">
        <w:rPr>
          <w:noProof w:val="0"/>
          <w:lang w:val="en-US"/>
        </w:rPr>
        <w:t xml:space="preserve"> entity </w:t>
      </w:r>
      <w:r w:rsidR="000D3C50" w:rsidRPr="00610904">
        <w:rPr>
          <w:noProof w:val="0"/>
          <w:lang w:val="en-US"/>
        </w:rPr>
        <w:t>responsible</w:t>
      </w:r>
      <w:r w:rsidRPr="00610904">
        <w:rPr>
          <w:noProof w:val="0"/>
          <w:lang w:val="en-US"/>
        </w:rPr>
        <w:t xml:space="preserve"> for managing blood banks at the time of the </w:t>
      </w:r>
      <w:r w:rsidRPr="00610904">
        <w:rPr>
          <w:noProof w:val="0"/>
          <w:lang w:val="en-US"/>
        </w:rPr>
        <w:lastRenderedPageBreak/>
        <w:t>facts, the supervision and monitoring of this institution should have been at the highest level possible, taking into account the necessary care that must be taken in activities associated with blood transfusion and in view of the fact that there were less controls than those to which State officials are subject in the provision of public services.</w:t>
      </w:r>
      <w:r w:rsidR="00D839BE" w:rsidRPr="00610904">
        <w:rPr>
          <w:rStyle w:val="FootnoteReference"/>
          <w:noProof w:val="0"/>
          <w:color w:val="000000"/>
          <w:lang w:val="en-US" w:eastAsia="es-CO"/>
        </w:rPr>
        <w:footnoteReference w:id="210"/>
      </w:r>
    </w:p>
    <w:p w:rsidR="00D839BE" w:rsidRPr="00610904" w:rsidRDefault="00D839BE" w:rsidP="00610904">
      <w:pPr>
        <w:rPr>
          <w:rFonts w:cs="Arial"/>
          <w:noProof w:val="0"/>
          <w:color w:val="000000"/>
          <w:szCs w:val="16"/>
          <w:lang w:val="en-US" w:eastAsia="es-CO"/>
        </w:rPr>
      </w:pPr>
    </w:p>
    <w:p w:rsidR="00D839BE" w:rsidRPr="00610904" w:rsidRDefault="009F3D78" w:rsidP="00610904">
      <w:pPr>
        <w:numPr>
          <w:ilvl w:val="0"/>
          <w:numId w:val="1"/>
        </w:numPr>
        <w:rPr>
          <w:noProof w:val="0"/>
          <w:szCs w:val="20"/>
          <w:lang w:val="en-US"/>
        </w:rPr>
      </w:pPr>
      <w:r w:rsidRPr="00610904">
        <w:rPr>
          <w:noProof w:val="0"/>
          <w:lang w:val="en-US"/>
        </w:rPr>
        <w:t>The Court</w:t>
      </w:r>
      <w:r w:rsidR="00EF6ACC" w:rsidRPr="00610904">
        <w:rPr>
          <w:noProof w:val="0"/>
          <w:lang w:val="en-US"/>
        </w:rPr>
        <w:t xml:space="preserve"> notes that, at the time of the facts, </w:t>
      </w:r>
      <w:r w:rsidR="00A8072E" w:rsidRPr="00610904">
        <w:rPr>
          <w:noProof w:val="0"/>
          <w:lang w:val="en-US"/>
        </w:rPr>
        <w:t>Ecuador</w:t>
      </w:r>
      <w:r w:rsidR="00D839BE" w:rsidRPr="00610904">
        <w:rPr>
          <w:noProof w:val="0"/>
          <w:lang w:val="en-US"/>
        </w:rPr>
        <w:t xml:space="preserve"> </w:t>
      </w:r>
      <w:r w:rsidR="00EF6ACC" w:rsidRPr="00610904">
        <w:rPr>
          <w:noProof w:val="0"/>
          <w:lang w:val="en-US"/>
        </w:rPr>
        <w:t xml:space="preserve">had general rules on the right to health contained in </w:t>
      </w:r>
      <w:r w:rsidR="00A8072E" w:rsidRPr="00610904">
        <w:rPr>
          <w:noProof w:val="0"/>
          <w:lang w:val="en-US"/>
        </w:rPr>
        <w:t>the 1971 Health Code</w:t>
      </w:r>
      <w:r w:rsidR="00D839BE" w:rsidRPr="00610904">
        <w:rPr>
          <w:noProof w:val="0"/>
          <w:lang w:val="en-US"/>
        </w:rPr>
        <w:t xml:space="preserve"> (</w:t>
      </w:r>
      <w:r w:rsidR="00D839BE" w:rsidRPr="00610904">
        <w:rPr>
          <w:i/>
          <w:noProof w:val="0"/>
          <w:lang w:val="en-US"/>
        </w:rPr>
        <w:t>supra</w:t>
      </w:r>
      <w:r w:rsidR="00D839BE" w:rsidRPr="00610904">
        <w:rPr>
          <w:noProof w:val="0"/>
          <w:lang w:val="en-US"/>
        </w:rPr>
        <w:t xml:space="preserve"> </w:t>
      </w:r>
      <w:r w:rsidR="006E502B" w:rsidRPr="00610904">
        <w:rPr>
          <w:noProof w:val="0"/>
          <w:lang w:val="en-US"/>
        </w:rPr>
        <w:t>para.</w:t>
      </w:r>
      <w:r w:rsidR="00D839BE" w:rsidRPr="00610904">
        <w:rPr>
          <w:noProof w:val="0"/>
          <w:lang w:val="en-US"/>
        </w:rPr>
        <w:t xml:space="preserve"> 70). </w:t>
      </w:r>
      <w:r w:rsidR="00EF6ACC" w:rsidRPr="00610904">
        <w:rPr>
          <w:noProof w:val="0"/>
          <w:lang w:val="en-US"/>
        </w:rPr>
        <w:t>This Code indicated that the health authority would establish the norms and requirements that health care facilities must meet, and would carry out periodic inspections and evaluations.</w:t>
      </w:r>
      <w:r w:rsidR="00EF6ACC" w:rsidRPr="00610904">
        <w:rPr>
          <w:noProof w:val="0"/>
          <w:szCs w:val="20"/>
          <w:lang w:val="en-US"/>
        </w:rPr>
        <w:t xml:space="preserve"> </w:t>
      </w:r>
      <w:r w:rsidR="00EF6ACC" w:rsidRPr="00610904">
        <w:rPr>
          <w:noProof w:val="0"/>
          <w:lang w:val="en-US"/>
        </w:rPr>
        <w:t xml:space="preserve">It also established that health care facilities would submit their annual </w:t>
      </w:r>
      <w:r w:rsidR="00856968" w:rsidRPr="00610904">
        <w:rPr>
          <w:noProof w:val="0"/>
          <w:lang w:val="en-US"/>
        </w:rPr>
        <w:t>programs</w:t>
      </w:r>
      <w:r w:rsidR="00EF6ACC" w:rsidRPr="00610904">
        <w:rPr>
          <w:noProof w:val="0"/>
          <w:lang w:val="en-US"/>
        </w:rPr>
        <w:t xml:space="preserve"> and their regulations to the health authority for approval</w:t>
      </w:r>
      <w:r w:rsidR="00D839BE" w:rsidRPr="00610904">
        <w:rPr>
          <w:noProof w:val="0"/>
          <w:lang w:val="en-US"/>
        </w:rPr>
        <w:t xml:space="preserve"> (</w:t>
      </w:r>
      <w:r w:rsidR="00D839BE" w:rsidRPr="00610904">
        <w:rPr>
          <w:i/>
          <w:noProof w:val="0"/>
          <w:lang w:val="en-US"/>
        </w:rPr>
        <w:t>supra</w:t>
      </w:r>
      <w:r w:rsidR="00D839BE" w:rsidRPr="00610904">
        <w:rPr>
          <w:noProof w:val="0"/>
          <w:lang w:val="en-US"/>
        </w:rPr>
        <w:t xml:space="preserve"> </w:t>
      </w:r>
      <w:r w:rsidR="006E502B" w:rsidRPr="00610904">
        <w:rPr>
          <w:noProof w:val="0"/>
          <w:lang w:val="en-US"/>
        </w:rPr>
        <w:t>para.</w:t>
      </w:r>
      <w:r w:rsidR="00D839BE" w:rsidRPr="00610904">
        <w:rPr>
          <w:noProof w:val="0"/>
          <w:lang w:val="en-US"/>
        </w:rPr>
        <w:t xml:space="preserve"> 70). </w:t>
      </w:r>
      <w:r w:rsidR="00EF6ACC" w:rsidRPr="00610904">
        <w:rPr>
          <w:noProof w:val="0"/>
          <w:lang w:val="en-US"/>
        </w:rPr>
        <w:t>This Code did not stipulate or regulate the supply of blood or blood products, or establish any sanction</w:t>
      </w:r>
      <w:r w:rsidR="00817165" w:rsidRPr="00610904">
        <w:rPr>
          <w:noProof w:val="0"/>
          <w:lang w:val="en-US"/>
        </w:rPr>
        <w:t>s</w:t>
      </w:r>
      <w:r w:rsidR="00EF6ACC" w:rsidRPr="00610904">
        <w:rPr>
          <w:noProof w:val="0"/>
          <w:lang w:val="en-US"/>
        </w:rPr>
        <w:t xml:space="preserve"> in this</w:t>
      </w:r>
      <w:r w:rsidR="00817165" w:rsidRPr="00610904">
        <w:rPr>
          <w:noProof w:val="0"/>
          <w:lang w:val="en-US"/>
        </w:rPr>
        <w:t xml:space="preserve"> regard</w:t>
      </w:r>
      <w:r w:rsidR="00EF6ACC" w:rsidRPr="00610904">
        <w:rPr>
          <w:noProof w:val="0"/>
          <w:lang w:val="en-US"/>
        </w:rPr>
        <w:t>.</w:t>
      </w:r>
      <w:r w:rsidR="00D839BE" w:rsidRPr="00610904">
        <w:rPr>
          <w:rStyle w:val="FootnoteReference"/>
          <w:noProof w:val="0"/>
          <w:lang w:val="en-US"/>
        </w:rPr>
        <w:footnoteReference w:id="211"/>
      </w:r>
    </w:p>
    <w:p w:rsidR="00D839BE" w:rsidRPr="00610904" w:rsidRDefault="00D839BE" w:rsidP="00610904">
      <w:pPr>
        <w:rPr>
          <w:noProof w:val="0"/>
          <w:szCs w:val="20"/>
          <w:lang w:val="en-US"/>
        </w:rPr>
      </w:pPr>
    </w:p>
    <w:p w:rsidR="00D839BE" w:rsidRPr="00610904" w:rsidRDefault="009F3D78" w:rsidP="00610904">
      <w:pPr>
        <w:numPr>
          <w:ilvl w:val="0"/>
          <w:numId w:val="1"/>
        </w:numPr>
        <w:rPr>
          <w:noProof w:val="0"/>
          <w:szCs w:val="20"/>
          <w:lang w:val="en-US"/>
        </w:rPr>
      </w:pPr>
      <w:r w:rsidRPr="00610904">
        <w:rPr>
          <w:noProof w:val="0"/>
          <w:szCs w:val="20"/>
          <w:lang w:val="en-US"/>
        </w:rPr>
        <w:t>The Court</w:t>
      </w:r>
      <w:r w:rsidR="00050D21" w:rsidRPr="00610904">
        <w:rPr>
          <w:noProof w:val="0"/>
          <w:szCs w:val="20"/>
          <w:lang w:val="en-US"/>
        </w:rPr>
        <w:t xml:space="preserve"> notes that, although the 1971 Health Code did not contain specific regulations on the operation of </w:t>
      </w:r>
      <w:r w:rsidR="00A8072E" w:rsidRPr="00610904">
        <w:rPr>
          <w:noProof w:val="0"/>
          <w:szCs w:val="20"/>
          <w:lang w:val="en-US"/>
        </w:rPr>
        <w:t>blood banks</w:t>
      </w:r>
      <w:r w:rsidR="00050D21" w:rsidRPr="00610904">
        <w:rPr>
          <w:noProof w:val="0"/>
          <w:szCs w:val="20"/>
          <w:lang w:val="en-US"/>
        </w:rPr>
        <w:t>, since</w:t>
      </w:r>
      <w:r w:rsidR="00D839BE" w:rsidRPr="00610904">
        <w:rPr>
          <w:noProof w:val="0"/>
          <w:szCs w:val="20"/>
          <w:lang w:val="en-US"/>
        </w:rPr>
        <w:t xml:space="preserve"> 1984</w:t>
      </w:r>
      <w:r w:rsidRPr="00610904">
        <w:rPr>
          <w:noProof w:val="0"/>
          <w:szCs w:val="20"/>
          <w:lang w:val="en-US"/>
        </w:rPr>
        <w:t xml:space="preserve"> and </w:t>
      </w:r>
      <w:r w:rsidR="00D839BE" w:rsidRPr="00610904">
        <w:rPr>
          <w:noProof w:val="0"/>
          <w:szCs w:val="20"/>
          <w:lang w:val="en-US"/>
        </w:rPr>
        <w:t>1986</w:t>
      </w:r>
      <w:r w:rsidR="00050D21" w:rsidRPr="00610904">
        <w:rPr>
          <w:noProof w:val="0"/>
          <w:szCs w:val="20"/>
          <w:lang w:val="en-US"/>
        </w:rPr>
        <w:t xml:space="preserve">, there have been laws that regulated voluntary blood donations, and also the supply and use of blood and blood products </w:t>
      </w:r>
      <w:r w:rsidR="00D839BE" w:rsidRPr="00610904">
        <w:rPr>
          <w:noProof w:val="0"/>
          <w:szCs w:val="20"/>
          <w:lang w:val="en-US"/>
        </w:rPr>
        <w:t>(</w:t>
      </w:r>
      <w:r w:rsidR="00D839BE" w:rsidRPr="00610904">
        <w:rPr>
          <w:i/>
          <w:noProof w:val="0"/>
          <w:szCs w:val="20"/>
          <w:lang w:val="en-US"/>
        </w:rPr>
        <w:t>supra</w:t>
      </w:r>
      <w:r w:rsidR="00D839BE" w:rsidRPr="00610904">
        <w:rPr>
          <w:noProof w:val="0"/>
          <w:szCs w:val="20"/>
          <w:lang w:val="en-US"/>
        </w:rPr>
        <w:t xml:space="preserve"> </w:t>
      </w:r>
      <w:r w:rsidR="006E502B" w:rsidRPr="00610904">
        <w:rPr>
          <w:noProof w:val="0"/>
          <w:szCs w:val="20"/>
          <w:lang w:val="en-US"/>
        </w:rPr>
        <w:t>para.</w:t>
      </w:r>
      <w:r w:rsidR="00D839BE" w:rsidRPr="00610904">
        <w:rPr>
          <w:noProof w:val="0"/>
          <w:szCs w:val="20"/>
          <w:lang w:val="en-US"/>
        </w:rPr>
        <w:t xml:space="preserve"> 74). </w:t>
      </w:r>
      <w:r w:rsidR="00050D21" w:rsidRPr="00610904">
        <w:rPr>
          <w:noProof w:val="0"/>
          <w:szCs w:val="20"/>
          <w:lang w:val="en-US"/>
        </w:rPr>
        <w:t xml:space="preserve">Subsequently, in </w:t>
      </w:r>
      <w:r w:rsidR="00D839BE" w:rsidRPr="00610904">
        <w:rPr>
          <w:noProof w:val="0"/>
          <w:szCs w:val="20"/>
          <w:lang w:val="en-US"/>
        </w:rPr>
        <w:t>1987</w:t>
      </w:r>
      <w:r w:rsidR="00050D21" w:rsidRPr="00610904">
        <w:rPr>
          <w:noProof w:val="0"/>
          <w:szCs w:val="20"/>
          <w:lang w:val="en-US"/>
        </w:rPr>
        <w:t xml:space="preserve">, norms were </w:t>
      </w:r>
      <w:r w:rsidR="00856968" w:rsidRPr="00610904">
        <w:rPr>
          <w:noProof w:val="0"/>
          <w:szCs w:val="20"/>
          <w:lang w:val="en-US"/>
        </w:rPr>
        <w:t>established</w:t>
      </w:r>
      <w:r w:rsidR="00050D21" w:rsidRPr="00610904">
        <w:rPr>
          <w:noProof w:val="0"/>
          <w:szCs w:val="20"/>
          <w:lang w:val="en-US"/>
        </w:rPr>
        <w:t xml:space="preserve"> that regulated compulsory testing of all blood units and blood products</w:t>
      </w:r>
      <w:r w:rsidR="00817165" w:rsidRPr="00610904">
        <w:rPr>
          <w:noProof w:val="0"/>
          <w:szCs w:val="20"/>
          <w:lang w:val="en-US"/>
        </w:rPr>
        <w:t xml:space="preserve"> for HIV</w:t>
      </w:r>
      <w:r w:rsidR="00050D21" w:rsidRPr="00610904">
        <w:rPr>
          <w:noProof w:val="0"/>
          <w:szCs w:val="20"/>
          <w:lang w:val="en-US"/>
        </w:rPr>
        <w:t xml:space="preserve">, in all </w:t>
      </w:r>
      <w:r w:rsidR="00817165" w:rsidRPr="00610904">
        <w:rPr>
          <w:noProof w:val="0"/>
          <w:szCs w:val="20"/>
          <w:lang w:val="en-US"/>
        </w:rPr>
        <w:t>Ecuador’s</w:t>
      </w:r>
      <w:r w:rsidR="00A8072E" w:rsidRPr="00610904">
        <w:rPr>
          <w:noProof w:val="0"/>
          <w:szCs w:val="20"/>
          <w:lang w:val="en-US"/>
        </w:rPr>
        <w:t xml:space="preserve"> blood banks </w:t>
      </w:r>
      <w:r w:rsidR="00D839BE" w:rsidRPr="00610904">
        <w:rPr>
          <w:noProof w:val="0"/>
          <w:szCs w:val="20"/>
          <w:lang w:val="en-US"/>
        </w:rPr>
        <w:t>(</w:t>
      </w:r>
      <w:r w:rsidR="00D839BE" w:rsidRPr="00610904">
        <w:rPr>
          <w:i/>
          <w:noProof w:val="0"/>
          <w:szCs w:val="20"/>
          <w:lang w:val="en-US"/>
        </w:rPr>
        <w:t xml:space="preserve">supra </w:t>
      </w:r>
      <w:r w:rsidR="006E502B" w:rsidRPr="00610904">
        <w:rPr>
          <w:noProof w:val="0"/>
          <w:szCs w:val="20"/>
          <w:lang w:val="en-US"/>
        </w:rPr>
        <w:t>para.</w:t>
      </w:r>
      <w:r w:rsidR="00D839BE" w:rsidRPr="00610904">
        <w:rPr>
          <w:noProof w:val="0"/>
          <w:szCs w:val="20"/>
          <w:lang w:val="en-US"/>
        </w:rPr>
        <w:t xml:space="preserve"> 71). </w:t>
      </w:r>
      <w:r w:rsidR="00050D21" w:rsidRPr="00610904">
        <w:rPr>
          <w:noProof w:val="0"/>
          <w:szCs w:val="20"/>
          <w:lang w:val="en-US"/>
        </w:rPr>
        <w:t xml:space="preserve">In addition, the norms </w:t>
      </w:r>
      <w:r w:rsidR="00817165" w:rsidRPr="00610904">
        <w:rPr>
          <w:noProof w:val="0"/>
          <w:szCs w:val="20"/>
          <w:lang w:val="en-US"/>
        </w:rPr>
        <w:t>specified</w:t>
      </w:r>
      <w:r w:rsidR="00050D21" w:rsidRPr="00610904">
        <w:rPr>
          <w:noProof w:val="0"/>
          <w:szCs w:val="20"/>
          <w:lang w:val="en-US"/>
        </w:rPr>
        <w:t xml:space="preserve"> </w:t>
      </w:r>
      <w:r w:rsidR="00817165" w:rsidRPr="00610904">
        <w:rPr>
          <w:noProof w:val="0"/>
          <w:szCs w:val="20"/>
          <w:lang w:val="en-US"/>
        </w:rPr>
        <w:t xml:space="preserve">that </w:t>
      </w:r>
      <w:r w:rsidR="00050D21" w:rsidRPr="00610904">
        <w:rPr>
          <w:noProof w:val="0"/>
          <w:szCs w:val="20"/>
          <w:lang w:val="en-US"/>
        </w:rPr>
        <w:t xml:space="preserve">the health authorities </w:t>
      </w:r>
      <w:r w:rsidR="00817165" w:rsidRPr="00610904">
        <w:rPr>
          <w:noProof w:val="0"/>
          <w:szCs w:val="20"/>
          <w:lang w:val="en-US"/>
        </w:rPr>
        <w:t xml:space="preserve">were </w:t>
      </w:r>
      <w:r w:rsidR="00050D21" w:rsidRPr="00610904">
        <w:rPr>
          <w:noProof w:val="0"/>
          <w:szCs w:val="20"/>
          <w:lang w:val="en-US"/>
        </w:rPr>
        <w:t>responsible for sanctioning failure to comply with these norms.</w:t>
      </w:r>
      <w:r w:rsidR="00F626C8" w:rsidRPr="00610904">
        <w:rPr>
          <w:rStyle w:val="FootnoteReference"/>
          <w:noProof w:val="0"/>
          <w:lang w:val="en-US"/>
        </w:rPr>
        <w:footnoteReference w:id="212"/>
      </w:r>
    </w:p>
    <w:p w:rsidR="00D839BE" w:rsidRPr="00610904" w:rsidRDefault="00D839BE" w:rsidP="00610904">
      <w:pPr>
        <w:rPr>
          <w:noProof w:val="0"/>
          <w:szCs w:val="20"/>
          <w:lang w:val="en-US"/>
        </w:rPr>
      </w:pPr>
    </w:p>
    <w:p w:rsidR="00D839BE" w:rsidRPr="00610904" w:rsidRDefault="00050D21" w:rsidP="00610904">
      <w:pPr>
        <w:numPr>
          <w:ilvl w:val="0"/>
          <w:numId w:val="1"/>
        </w:numPr>
        <w:rPr>
          <w:noProof w:val="0"/>
          <w:szCs w:val="20"/>
          <w:lang w:val="en-US"/>
        </w:rPr>
      </w:pPr>
      <w:r w:rsidRPr="00610904">
        <w:rPr>
          <w:noProof w:val="0"/>
          <w:szCs w:val="20"/>
          <w:lang w:val="en-US"/>
        </w:rPr>
        <w:lastRenderedPageBreak/>
        <w:t xml:space="preserve">Furthermore, norms established in </w:t>
      </w:r>
      <w:r w:rsidR="00D839BE" w:rsidRPr="00610904">
        <w:rPr>
          <w:noProof w:val="0"/>
          <w:szCs w:val="20"/>
          <w:lang w:val="en-US"/>
        </w:rPr>
        <w:t>1992</w:t>
      </w:r>
      <w:r w:rsidR="009F3D78" w:rsidRPr="00610904">
        <w:rPr>
          <w:noProof w:val="0"/>
          <w:szCs w:val="20"/>
          <w:lang w:val="en-US"/>
        </w:rPr>
        <w:t xml:space="preserve"> and </w:t>
      </w:r>
      <w:r w:rsidR="00D839BE" w:rsidRPr="00610904">
        <w:rPr>
          <w:noProof w:val="0"/>
          <w:szCs w:val="20"/>
          <w:lang w:val="en-US"/>
        </w:rPr>
        <w:t>1998</w:t>
      </w:r>
      <w:r w:rsidRPr="00610904">
        <w:rPr>
          <w:noProof w:val="0"/>
          <w:szCs w:val="20"/>
          <w:lang w:val="en-US"/>
        </w:rPr>
        <w:t xml:space="preserve">, identified agencies such as </w:t>
      </w:r>
      <w:r w:rsidR="004016D9" w:rsidRPr="00610904">
        <w:rPr>
          <w:noProof w:val="0"/>
          <w:szCs w:val="20"/>
          <w:lang w:val="en-US"/>
        </w:rPr>
        <w:t>the National Blood Secretariat</w:t>
      </w:r>
      <w:r w:rsidR="00D839BE" w:rsidRPr="00610904">
        <w:rPr>
          <w:noProof w:val="0"/>
          <w:szCs w:val="20"/>
          <w:lang w:val="en-US"/>
        </w:rPr>
        <w:t xml:space="preserve">, </w:t>
      </w:r>
      <w:r w:rsidRPr="00610904">
        <w:rPr>
          <w:noProof w:val="0"/>
          <w:szCs w:val="20"/>
          <w:lang w:val="en-US"/>
        </w:rPr>
        <w:t xml:space="preserve">in charge of supervising compliance with the regulatory provisions and operating manuals, indicating the sanctions established in case of failure to abide by these provisions and manuals </w:t>
      </w:r>
      <w:r w:rsidR="00D839BE" w:rsidRPr="00610904">
        <w:rPr>
          <w:noProof w:val="0"/>
          <w:szCs w:val="20"/>
          <w:lang w:val="en-US"/>
        </w:rPr>
        <w:t>(</w:t>
      </w:r>
      <w:r w:rsidR="00D839BE" w:rsidRPr="00610904">
        <w:rPr>
          <w:i/>
          <w:noProof w:val="0"/>
          <w:szCs w:val="20"/>
          <w:lang w:val="en-US"/>
        </w:rPr>
        <w:t>supra</w:t>
      </w:r>
      <w:r w:rsidR="00677EC3" w:rsidRPr="00610904">
        <w:rPr>
          <w:noProof w:val="0"/>
          <w:szCs w:val="20"/>
          <w:lang w:val="en-US"/>
        </w:rPr>
        <w:t xml:space="preserve"> </w:t>
      </w:r>
      <w:r w:rsidR="006E502B" w:rsidRPr="00610904">
        <w:rPr>
          <w:noProof w:val="0"/>
          <w:szCs w:val="20"/>
          <w:lang w:val="en-US"/>
        </w:rPr>
        <w:t>para.</w:t>
      </w:r>
      <w:r w:rsidR="00677EC3" w:rsidRPr="00610904">
        <w:rPr>
          <w:noProof w:val="0"/>
          <w:szCs w:val="20"/>
          <w:lang w:val="en-US"/>
        </w:rPr>
        <w:t xml:space="preserve"> </w:t>
      </w:r>
      <w:r w:rsidR="00D839BE" w:rsidRPr="00610904">
        <w:rPr>
          <w:noProof w:val="0"/>
          <w:szCs w:val="20"/>
          <w:lang w:val="en-US"/>
        </w:rPr>
        <w:t xml:space="preserve">71). </w:t>
      </w:r>
      <w:r w:rsidRPr="00610904">
        <w:rPr>
          <w:noProof w:val="0"/>
          <w:szCs w:val="20"/>
          <w:lang w:val="en-US"/>
        </w:rPr>
        <w:t xml:space="preserve">In addition, in 1998, the </w:t>
      </w:r>
      <w:r w:rsidR="00817165" w:rsidRPr="00610904">
        <w:rPr>
          <w:noProof w:val="0"/>
          <w:szCs w:val="20"/>
          <w:lang w:val="en-US"/>
        </w:rPr>
        <w:t>procedures</w:t>
      </w:r>
      <w:r w:rsidRPr="00610904">
        <w:rPr>
          <w:noProof w:val="0"/>
          <w:szCs w:val="20"/>
          <w:lang w:val="en-US"/>
        </w:rPr>
        <w:t xml:space="preserve"> to be used by </w:t>
      </w:r>
      <w:r w:rsidR="00A8072E" w:rsidRPr="00610904">
        <w:rPr>
          <w:noProof w:val="0"/>
          <w:szCs w:val="20"/>
          <w:lang w:val="en-US"/>
        </w:rPr>
        <w:t>the blood banks</w:t>
      </w:r>
      <w:r w:rsidRPr="00610904">
        <w:rPr>
          <w:noProof w:val="0"/>
          <w:szCs w:val="20"/>
          <w:lang w:val="en-US"/>
        </w:rPr>
        <w:t xml:space="preserve"> in order to colle</w:t>
      </w:r>
      <w:r w:rsidR="00817165" w:rsidRPr="00610904">
        <w:rPr>
          <w:noProof w:val="0"/>
          <w:szCs w:val="20"/>
          <w:lang w:val="en-US"/>
        </w:rPr>
        <w:t>ct blood and for its end use were</w:t>
      </w:r>
      <w:r w:rsidRPr="00610904">
        <w:rPr>
          <w:noProof w:val="0"/>
          <w:szCs w:val="20"/>
          <w:lang w:val="en-US"/>
        </w:rPr>
        <w:t xml:space="preserve"> established, in order to avoid the transmission of infections by transfusion </w:t>
      </w:r>
      <w:r w:rsidR="00D839BE" w:rsidRPr="00610904">
        <w:rPr>
          <w:noProof w:val="0"/>
          <w:szCs w:val="20"/>
          <w:lang w:val="en-US"/>
        </w:rPr>
        <w:t>(</w:t>
      </w:r>
      <w:r w:rsidR="00D839BE" w:rsidRPr="00610904">
        <w:rPr>
          <w:i/>
          <w:noProof w:val="0"/>
          <w:szCs w:val="20"/>
          <w:lang w:val="en-US"/>
        </w:rPr>
        <w:t>supra</w:t>
      </w:r>
      <w:r w:rsidR="00D839BE" w:rsidRPr="00610904">
        <w:rPr>
          <w:noProof w:val="0"/>
          <w:szCs w:val="20"/>
          <w:lang w:val="en-US"/>
        </w:rPr>
        <w:t xml:space="preserve"> </w:t>
      </w:r>
      <w:r w:rsidR="006E502B" w:rsidRPr="00610904">
        <w:rPr>
          <w:noProof w:val="0"/>
          <w:szCs w:val="20"/>
          <w:lang w:val="en-US"/>
        </w:rPr>
        <w:t>para.</w:t>
      </w:r>
      <w:r w:rsidR="00D839BE" w:rsidRPr="00610904">
        <w:rPr>
          <w:noProof w:val="0"/>
          <w:szCs w:val="20"/>
          <w:lang w:val="en-US"/>
        </w:rPr>
        <w:t xml:space="preserve"> 72). </w:t>
      </w:r>
      <w:r w:rsidRPr="00610904">
        <w:rPr>
          <w:noProof w:val="0"/>
          <w:szCs w:val="20"/>
          <w:lang w:val="en-US"/>
        </w:rPr>
        <w:t xml:space="preserve">Similarly, the 1998 Constitution established the national health policy and the supervision of entities providing private health </w:t>
      </w:r>
      <w:r w:rsidR="00817165" w:rsidRPr="00610904">
        <w:rPr>
          <w:noProof w:val="0"/>
          <w:szCs w:val="20"/>
          <w:lang w:val="en-US"/>
        </w:rPr>
        <w:t xml:space="preserve">care </w:t>
      </w:r>
      <w:r w:rsidRPr="00610904">
        <w:rPr>
          <w:noProof w:val="0"/>
          <w:szCs w:val="20"/>
          <w:lang w:val="en-US"/>
        </w:rPr>
        <w:t xml:space="preserve">services </w:t>
      </w:r>
      <w:r w:rsidR="00D839BE" w:rsidRPr="00610904">
        <w:rPr>
          <w:noProof w:val="0"/>
          <w:szCs w:val="20"/>
          <w:lang w:val="en-US"/>
        </w:rPr>
        <w:t>(</w:t>
      </w:r>
      <w:r w:rsidR="00D839BE" w:rsidRPr="00610904">
        <w:rPr>
          <w:i/>
          <w:noProof w:val="0"/>
          <w:szCs w:val="20"/>
          <w:lang w:val="en-US"/>
        </w:rPr>
        <w:t>supra</w:t>
      </w:r>
      <w:r w:rsidR="00D839BE" w:rsidRPr="00610904">
        <w:rPr>
          <w:noProof w:val="0"/>
          <w:szCs w:val="20"/>
          <w:lang w:val="en-US"/>
        </w:rPr>
        <w:t xml:space="preserve"> </w:t>
      </w:r>
      <w:r w:rsidR="006E502B" w:rsidRPr="00610904">
        <w:rPr>
          <w:noProof w:val="0"/>
          <w:szCs w:val="20"/>
          <w:lang w:val="en-US"/>
        </w:rPr>
        <w:t>para.</w:t>
      </w:r>
      <w:r w:rsidR="00D839BE" w:rsidRPr="00610904">
        <w:rPr>
          <w:noProof w:val="0"/>
          <w:szCs w:val="20"/>
          <w:lang w:val="en-US"/>
        </w:rPr>
        <w:t xml:space="preserve"> 73).</w:t>
      </w:r>
    </w:p>
    <w:p w:rsidR="00D839BE" w:rsidRPr="00610904" w:rsidRDefault="00D839BE" w:rsidP="00610904">
      <w:pPr>
        <w:rPr>
          <w:noProof w:val="0"/>
          <w:szCs w:val="20"/>
          <w:lang w:val="en-US"/>
        </w:rPr>
      </w:pPr>
    </w:p>
    <w:p w:rsidR="00D839BE" w:rsidRPr="00610904" w:rsidRDefault="00050D21" w:rsidP="00610904">
      <w:pPr>
        <w:numPr>
          <w:ilvl w:val="0"/>
          <w:numId w:val="1"/>
        </w:numPr>
        <w:rPr>
          <w:noProof w:val="0"/>
          <w:szCs w:val="20"/>
          <w:lang w:val="en-US"/>
        </w:rPr>
      </w:pPr>
      <w:r w:rsidRPr="00610904">
        <w:rPr>
          <w:noProof w:val="0"/>
          <w:lang w:val="en-US"/>
        </w:rPr>
        <w:t>The deleg</w:t>
      </w:r>
      <w:r w:rsidR="00817165" w:rsidRPr="00610904">
        <w:rPr>
          <w:noProof w:val="0"/>
          <w:lang w:val="en-US"/>
        </w:rPr>
        <w:t>a</w:t>
      </w:r>
      <w:r w:rsidRPr="00610904">
        <w:rPr>
          <w:noProof w:val="0"/>
          <w:lang w:val="en-US"/>
        </w:rPr>
        <w:t xml:space="preserve">tion to </w:t>
      </w:r>
      <w:r w:rsidR="00A8072E" w:rsidRPr="00610904">
        <w:rPr>
          <w:noProof w:val="0"/>
          <w:lang w:val="en-US"/>
        </w:rPr>
        <w:t>the Red Cross</w:t>
      </w:r>
      <w:r w:rsidR="00AD28F4" w:rsidRPr="00610904">
        <w:rPr>
          <w:noProof w:val="0"/>
          <w:lang w:val="en-US"/>
        </w:rPr>
        <w:t xml:space="preserve"> </w:t>
      </w:r>
      <w:r w:rsidRPr="00610904">
        <w:rPr>
          <w:noProof w:val="0"/>
          <w:lang w:val="en-US"/>
        </w:rPr>
        <w:t xml:space="preserve">of the management </w:t>
      </w:r>
      <w:r w:rsidR="00A8072E" w:rsidRPr="00610904">
        <w:rPr>
          <w:noProof w:val="0"/>
          <w:lang w:val="en-US"/>
        </w:rPr>
        <w:t>of the blood banks</w:t>
      </w:r>
      <w:r w:rsidR="00D839BE" w:rsidRPr="00610904">
        <w:rPr>
          <w:noProof w:val="0"/>
          <w:lang w:val="en-US"/>
        </w:rPr>
        <w:t xml:space="preserve"> </w:t>
      </w:r>
      <w:r w:rsidRPr="00610904">
        <w:rPr>
          <w:noProof w:val="0"/>
          <w:lang w:val="en-US"/>
        </w:rPr>
        <w:t xml:space="preserve">was maintained until 2006, when the Organic Health Act was enacted in which the State again assumed the administration </w:t>
      </w:r>
      <w:r w:rsidR="00A8072E" w:rsidRPr="00610904">
        <w:rPr>
          <w:noProof w:val="0"/>
          <w:lang w:val="en-US"/>
        </w:rPr>
        <w:t>of the blood banks</w:t>
      </w:r>
      <w:r w:rsidRPr="00610904">
        <w:rPr>
          <w:noProof w:val="0"/>
          <w:lang w:val="en-US"/>
        </w:rPr>
        <w:t>.</w:t>
      </w:r>
      <w:r w:rsidR="00D839BE" w:rsidRPr="00610904">
        <w:rPr>
          <w:rStyle w:val="FootnoteReference"/>
          <w:noProof w:val="0"/>
          <w:lang w:val="en-US"/>
        </w:rPr>
        <w:footnoteReference w:id="213"/>
      </w:r>
      <w:r w:rsidR="00D839BE" w:rsidRPr="00610904">
        <w:rPr>
          <w:noProof w:val="0"/>
          <w:lang w:val="en-US"/>
        </w:rPr>
        <w:t xml:space="preserve"> </w:t>
      </w:r>
    </w:p>
    <w:p w:rsidR="00D839BE" w:rsidRPr="00610904" w:rsidRDefault="00D839BE" w:rsidP="00610904">
      <w:pPr>
        <w:rPr>
          <w:noProof w:val="0"/>
          <w:szCs w:val="20"/>
          <w:lang w:val="en-US"/>
        </w:rPr>
      </w:pPr>
    </w:p>
    <w:p w:rsidR="00050D21" w:rsidRPr="00610904" w:rsidRDefault="00050D21" w:rsidP="00610904">
      <w:pPr>
        <w:numPr>
          <w:ilvl w:val="0"/>
          <w:numId w:val="1"/>
        </w:numPr>
        <w:rPr>
          <w:noProof w:val="0"/>
          <w:szCs w:val="20"/>
          <w:lang w:val="en-US"/>
        </w:rPr>
      </w:pPr>
      <w:r w:rsidRPr="00610904">
        <w:rPr>
          <w:noProof w:val="0"/>
          <w:lang w:val="en-US"/>
        </w:rPr>
        <w:t>Although it is true that the laws in force at the time of the facts did not s</w:t>
      </w:r>
      <w:r w:rsidR="005F5ABF" w:rsidRPr="00610904">
        <w:rPr>
          <w:noProof w:val="0"/>
          <w:lang w:val="en-US"/>
        </w:rPr>
        <w:t>pecify</w:t>
      </w:r>
      <w:r w:rsidRPr="00610904">
        <w:rPr>
          <w:noProof w:val="0"/>
          <w:lang w:val="en-US"/>
        </w:rPr>
        <w:t xml:space="preserve"> the frequency and the </w:t>
      </w:r>
      <w:r w:rsidR="005F5ABF" w:rsidRPr="00610904">
        <w:rPr>
          <w:noProof w:val="0"/>
          <w:lang w:val="en-US"/>
        </w:rPr>
        <w:t>particular</w:t>
      </w:r>
      <w:r w:rsidRPr="00610904">
        <w:rPr>
          <w:noProof w:val="0"/>
          <w:lang w:val="en-US"/>
        </w:rPr>
        <w:t xml:space="preserve"> way in which the monitoring and supervisio</w:t>
      </w:r>
      <w:r w:rsidR="005F5ABF" w:rsidRPr="00610904">
        <w:rPr>
          <w:noProof w:val="0"/>
          <w:lang w:val="en-US"/>
        </w:rPr>
        <w:t>n would be implemented, or the specific</w:t>
      </w:r>
      <w:r w:rsidRPr="00610904">
        <w:rPr>
          <w:noProof w:val="0"/>
          <w:lang w:val="en-US"/>
        </w:rPr>
        <w:t xml:space="preserve"> aspects that would be monitored and supervised, this Court considers that a regulation existed in this matter the purpose of which was to control the quality of the service so that, diseases such as HIV would not be transmitted through blood transfusions. In view of this conclusion on the issue of regulation, the Court will focus its analysis on the problems of supervision and monitoring. </w:t>
      </w:r>
    </w:p>
    <w:p w:rsidR="00D839BE" w:rsidRPr="00610904" w:rsidRDefault="00D839BE" w:rsidP="00610904">
      <w:pPr>
        <w:rPr>
          <w:noProof w:val="0"/>
          <w:szCs w:val="20"/>
          <w:lang w:val="en-US"/>
        </w:rPr>
      </w:pPr>
    </w:p>
    <w:p w:rsidR="00D839BE" w:rsidRPr="00610904" w:rsidRDefault="00050D21" w:rsidP="00610904">
      <w:pPr>
        <w:numPr>
          <w:ilvl w:val="0"/>
          <w:numId w:val="1"/>
        </w:numPr>
        <w:rPr>
          <w:noProof w:val="0"/>
          <w:szCs w:val="20"/>
          <w:lang w:val="en-US"/>
        </w:rPr>
      </w:pPr>
      <w:r w:rsidRPr="00610904">
        <w:rPr>
          <w:noProof w:val="0"/>
          <w:lang w:val="en-US"/>
        </w:rPr>
        <w:t>In this regard, it should be stressed that it is the State that has the obligation to</w:t>
      </w:r>
      <w:r w:rsidR="005F5ABF" w:rsidRPr="00610904">
        <w:rPr>
          <w:noProof w:val="0"/>
          <w:lang w:val="en-US"/>
        </w:rPr>
        <w:t xml:space="preserve"> supervise and monitor. E</w:t>
      </w:r>
      <w:r w:rsidRPr="00610904">
        <w:rPr>
          <w:noProof w:val="0"/>
          <w:lang w:val="en-US"/>
        </w:rPr>
        <w:t>ven when the health service is</w:t>
      </w:r>
      <w:r w:rsidR="005F5ABF" w:rsidRPr="00610904">
        <w:rPr>
          <w:noProof w:val="0"/>
          <w:lang w:val="en-US"/>
        </w:rPr>
        <w:t xml:space="preserve"> provided by a private entity, t</w:t>
      </w:r>
      <w:r w:rsidRPr="00610904">
        <w:rPr>
          <w:noProof w:val="0"/>
          <w:lang w:val="en-US"/>
        </w:rPr>
        <w:t>he State maintains the obligation to provide public services and to protect the respective public right.</w:t>
      </w:r>
      <w:r w:rsidR="00D839BE" w:rsidRPr="00610904">
        <w:rPr>
          <w:rStyle w:val="FootnoteReference"/>
          <w:noProof w:val="0"/>
          <w:lang w:val="en-US"/>
        </w:rPr>
        <w:footnoteReference w:id="214"/>
      </w:r>
      <w:r w:rsidR="00D839BE" w:rsidRPr="00610904">
        <w:rPr>
          <w:noProof w:val="0"/>
          <w:lang w:val="en-US"/>
        </w:rPr>
        <w:t xml:space="preserve"> </w:t>
      </w:r>
      <w:r w:rsidRPr="00610904">
        <w:rPr>
          <w:noProof w:val="0"/>
          <w:lang w:val="en-US"/>
        </w:rPr>
        <w:t>In this regard, the Court has established that, “when health care is public, it is the State that provides the service directly to the population […].  The public health service […] is, above all, provided by the public hospitals; however, private initiative, acting in a supplementary role, and by the signature of conventions and contracts, also provides health services under the auspices of the [State]. In both situations, whether the patient is interned in a public hospital</w:t>
      </w:r>
      <w:r w:rsidR="005F5ABF" w:rsidRPr="00610904">
        <w:rPr>
          <w:noProof w:val="0"/>
          <w:lang w:val="en-US"/>
        </w:rPr>
        <w:t>,</w:t>
      </w:r>
      <w:r w:rsidRPr="00610904">
        <w:rPr>
          <w:noProof w:val="0"/>
          <w:lang w:val="en-US"/>
        </w:rPr>
        <w:t xml:space="preserve"> or a private hospital which has a convention or contract […],</w:t>
      </w:r>
      <w:r w:rsidR="005F5ABF" w:rsidRPr="00610904">
        <w:rPr>
          <w:noProof w:val="0"/>
          <w:lang w:val="en-US"/>
        </w:rPr>
        <w:t xml:space="preserve"> the individual is in the car</w:t>
      </w:r>
      <w:r w:rsidRPr="00610904">
        <w:rPr>
          <w:noProof w:val="0"/>
          <w:lang w:val="en-US"/>
        </w:rPr>
        <w:t>e of the […] State.</w:t>
      </w:r>
      <w:r w:rsidR="00D839BE" w:rsidRPr="00610904">
        <w:rPr>
          <w:noProof w:val="0"/>
          <w:lang w:val="en-US"/>
        </w:rPr>
        <w:t>”</w:t>
      </w:r>
      <w:r w:rsidR="00D839BE" w:rsidRPr="00610904">
        <w:rPr>
          <w:rStyle w:val="FootnoteReference"/>
          <w:noProof w:val="0"/>
          <w:lang w:val="en-US"/>
        </w:rPr>
        <w:footnoteReference w:id="215"/>
      </w:r>
      <w:r w:rsidRPr="00610904">
        <w:rPr>
          <w:noProof w:val="0"/>
          <w:lang w:val="en-US"/>
        </w:rPr>
        <w:t xml:space="preserve"> In addition, the Court has cited the European C</w:t>
      </w:r>
      <w:r w:rsidR="009F3D78" w:rsidRPr="00610904">
        <w:rPr>
          <w:noProof w:val="0"/>
          <w:lang w:val="en-US"/>
        </w:rPr>
        <w:t>ourt</w:t>
      </w:r>
      <w:r w:rsidR="00D839BE" w:rsidRPr="00610904">
        <w:rPr>
          <w:noProof w:val="0"/>
          <w:lang w:val="en-US"/>
        </w:rPr>
        <w:t xml:space="preserve"> </w:t>
      </w:r>
      <w:r w:rsidRPr="00610904">
        <w:rPr>
          <w:noProof w:val="0"/>
          <w:lang w:val="en-US"/>
        </w:rPr>
        <w:t xml:space="preserve">of Human Rights to point out that the State </w:t>
      </w:r>
      <w:r w:rsidR="00466122" w:rsidRPr="00610904">
        <w:rPr>
          <w:noProof w:val="0"/>
          <w:lang w:val="en-US"/>
        </w:rPr>
        <w:t xml:space="preserve">remains under </w:t>
      </w:r>
      <w:r w:rsidR="005F5ABF" w:rsidRPr="00610904">
        <w:rPr>
          <w:noProof w:val="0"/>
          <w:lang w:val="en-US"/>
        </w:rPr>
        <w:t xml:space="preserve">a duty </w:t>
      </w:r>
      <w:r w:rsidRPr="00610904">
        <w:rPr>
          <w:noProof w:val="0"/>
          <w:lang w:val="en-US"/>
        </w:rPr>
        <w:t>to grant licenses and exercise supervisio</w:t>
      </w:r>
      <w:r w:rsidR="00D839BE" w:rsidRPr="00610904">
        <w:rPr>
          <w:noProof w:val="0"/>
          <w:lang w:val="en-US"/>
        </w:rPr>
        <w:t>n</w:t>
      </w:r>
      <w:r w:rsidR="009F3D78" w:rsidRPr="00610904">
        <w:rPr>
          <w:noProof w:val="0"/>
          <w:lang w:val="en-US"/>
        </w:rPr>
        <w:t xml:space="preserve"> and </w:t>
      </w:r>
      <w:r w:rsidR="00D839BE" w:rsidRPr="00610904">
        <w:rPr>
          <w:noProof w:val="0"/>
          <w:lang w:val="en-US"/>
        </w:rPr>
        <w:t xml:space="preserve">control </w:t>
      </w:r>
      <w:r w:rsidRPr="00610904">
        <w:rPr>
          <w:noProof w:val="0"/>
          <w:lang w:val="en-US"/>
        </w:rPr>
        <w:t>over private institutions.</w:t>
      </w:r>
      <w:r w:rsidR="00D839BE" w:rsidRPr="00610904">
        <w:rPr>
          <w:rStyle w:val="FootnoteReference"/>
          <w:noProof w:val="0"/>
          <w:lang w:val="en-US"/>
        </w:rPr>
        <w:footnoteReference w:id="216"/>
      </w:r>
      <w:r w:rsidRPr="00610904">
        <w:rPr>
          <w:noProof w:val="0"/>
          <w:lang w:val="en-US"/>
        </w:rPr>
        <w:t xml:space="preserve"> It has also indicated that the State’s monitoring obligation covers the services provided </w:t>
      </w:r>
      <w:r w:rsidR="005F5ABF" w:rsidRPr="00610904">
        <w:rPr>
          <w:noProof w:val="0"/>
          <w:lang w:val="en-US"/>
        </w:rPr>
        <w:t xml:space="preserve">both </w:t>
      </w:r>
      <w:r w:rsidRPr="00610904">
        <w:rPr>
          <w:noProof w:val="0"/>
          <w:lang w:val="en-US"/>
        </w:rPr>
        <w:t>directly or indirectly by the State, and also those offered by private entities.</w:t>
      </w:r>
      <w:r w:rsidR="00D839BE" w:rsidRPr="00610904">
        <w:rPr>
          <w:rStyle w:val="FootnoteReference"/>
          <w:rFonts w:cs="Verdana"/>
          <w:noProof w:val="0"/>
          <w:lang w:val="en-US"/>
        </w:rPr>
        <w:footnoteReference w:id="217"/>
      </w:r>
      <w:r w:rsidR="00D839BE" w:rsidRPr="00610904">
        <w:rPr>
          <w:noProof w:val="0"/>
          <w:lang w:val="en-US"/>
        </w:rPr>
        <w:t xml:space="preserve"> </w:t>
      </w:r>
      <w:r w:rsidR="009F3D78" w:rsidRPr="00610904">
        <w:rPr>
          <w:noProof w:val="0"/>
          <w:lang w:val="en-US"/>
        </w:rPr>
        <w:t xml:space="preserve">The </w:t>
      </w:r>
      <w:r w:rsidR="005F5ABF" w:rsidRPr="00610904">
        <w:rPr>
          <w:noProof w:val="0"/>
          <w:lang w:val="en-US"/>
        </w:rPr>
        <w:t xml:space="preserve">Inter-American </w:t>
      </w:r>
      <w:r w:rsidR="009F3D78" w:rsidRPr="00610904">
        <w:rPr>
          <w:noProof w:val="0"/>
          <w:lang w:val="en-US"/>
        </w:rPr>
        <w:t>Court</w:t>
      </w:r>
      <w:r w:rsidR="00D839BE" w:rsidRPr="00610904">
        <w:rPr>
          <w:noProof w:val="0"/>
          <w:lang w:val="en-US"/>
        </w:rPr>
        <w:t xml:space="preserve"> ha</w:t>
      </w:r>
      <w:r w:rsidRPr="00610904">
        <w:rPr>
          <w:noProof w:val="0"/>
          <w:lang w:val="en-US"/>
        </w:rPr>
        <w:t>s specified the scope of the State’s responsibility when it fails to comply with these obligations in the case of private entities as follows:</w:t>
      </w:r>
    </w:p>
    <w:p w:rsidR="00D839BE" w:rsidRPr="00610904" w:rsidRDefault="00D839BE" w:rsidP="00610904">
      <w:pPr>
        <w:rPr>
          <w:noProof w:val="0"/>
          <w:szCs w:val="20"/>
          <w:lang w:val="en-US"/>
        </w:rPr>
      </w:pPr>
    </w:p>
    <w:p w:rsidR="00D839BE" w:rsidRPr="00610904" w:rsidRDefault="005F5ABF" w:rsidP="003D3ABA">
      <w:pPr>
        <w:autoSpaceDE w:val="0"/>
        <w:autoSpaceDN w:val="0"/>
        <w:adjustRightInd w:val="0"/>
        <w:ind w:left="709" w:right="475"/>
        <w:rPr>
          <w:rFonts w:cs="Verdana"/>
          <w:noProof w:val="0"/>
          <w:sz w:val="16"/>
          <w:szCs w:val="16"/>
          <w:lang w:val="en-US"/>
        </w:rPr>
      </w:pPr>
      <w:r w:rsidRPr="00610904">
        <w:rPr>
          <w:rFonts w:cs="Verdana"/>
          <w:noProof w:val="0"/>
          <w:sz w:val="16"/>
          <w:szCs w:val="16"/>
          <w:lang w:val="en-US"/>
        </w:rPr>
        <w:t>Regarding</w:t>
      </w:r>
      <w:r w:rsidR="00466122" w:rsidRPr="00610904">
        <w:rPr>
          <w:rFonts w:cs="Verdana"/>
          <w:noProof w:val="0"/>
          <w:sz w:val="16"/>
          <w:szCs w:val="16"/>
          <w:lang w:val="en-US"/>
        </w:rPr>
        <w:t xml:space="preserve"> essential competences related to the supervision </w:t>
      </w:r>
      <w:r w:rsidRPr="00610904">
        <w:rPr>
          <w:rFonts w:cs="Verdana"/>
          <w:noProof w:val="0"/>
          <w:sz w:val="16"/>
          <w:szCs w:val="16"/>
          <w:lang w:val="en-US"/>
        </w:rPr>
        <w:t>and monitoring of the provision</w:t>
      </w:r>
      <w:r w:rsidR="00466122" w:rsidRPr="00610904">
        <w:rPr>
          <w:rFonts w:cs="Verdana"/>
          <w:noProof w:val="0"/>
          <w:sz w:val="16"/>
          <w:szCs w:val="16"/>
          <w:lang w:val="en-US"/>
        </w:rPr>
        <w:t xml:space="preserve"> of services of public interest, such as health care, by either public or private entities (</w:t>
      </w:r>
      <w:r w:rsidRPr="00610904">
        <w:rPr>
          <w:rFonts w:cs="Verdana"/>
          <w:noProof w:val="0"/>
          <w:sz w:val="16"/>
          <w:szCs w:val="16"/>
          <w:lang w:val="en-US"/>
        </w:rPr>
        <w:t>as is the cas</w:t>
      </w:r>
      <w:r w:rsidR="00466122" w:rsidRPr="00610904">
        <w:rPr>
          <w:rFonts w:cs="Verdana"/>
          <w:noProof w:val="0"/>
          <w:sz w:val="16"/>
          <w:szCs w:val="16"/>
          <w:lang w:val="en-US"/>
        </w:rPr>
        <w:t xml:space="preserve">e of a </w:t>
      </w:r>
      <w:r w:rsidR="00466122" w:rsidRPr="00610904">
        <w:rPr>
          <w:rFonts w:cs="Verdana"/>
          <w:noProof w:val="0"/>
          <w:sz w:val="16"/>
          <w:szCs w:val="16"/>
          <w:lang w:val="en-US"/>
        </w:rPr>
        <w:lastRenderedPageBreak/>
        <w:t>private hospita</w:t>
      </w:r>
      <w:r w:rsidRPr="00610904">
        <w:rPr>
          <w:rFonts w:cs="Verdana"/>
          <w:noProof w:val="0"/>
          <w:sz w:val="16"/>
          <w:szCs w:val="16"/>
          <w:lang w:val="en-US"/>
        </w:rPr>
        <w:t>l), the responsibility arises based on the</w:t>
      </w:r>
      <w:r w:rsidR="00466122" w:rsidRPr="00610904">
        <w:rPr>
          <w:rFonts w:cs="Verdana"/>
          <w:noProof w:val="0"/>
          <w:sz w:val="16"/>
          <w:szCs w:val="16"/>
          <w:lang w:val="en-US"/>
        </w:rPr>
        <w:t xml:space="preserve"> omission to comply with the obli</w:t>
      </w:r>
      <w:r w:rsidRPr="00610904">
        <w:rPr>
          <w:rFonts w:cs="Verdana"/>
          <w:noProof w:val="0"/>
          <w:sz w:val="16"/>
          <w:szCs w:val="16"/>
          <w:lang w:val="en-US"/>
        </w:rPr>
        <w:t>g</w:t>
      </w:r>
      <w:r w:rsidR="00466122" w:rsidRPr="00610904">
        <w:rPr>
          <w:rFonts w:cs="Verdana"/>
          <w:noProof w:val="0"/>
          <w:sz w:val="16"/>
          <w:szCs w:val="16"/>
          <w:lang w:val="en-US"/>
        </w:rPr>
        <w:t>ation to supervise the provision of the service in order to protect the respective right.</w:t>
      </w:r>
      <w:r w:rsidR="00D839BE" w:rsidRPr="00610904">
        <w:rPr>
          <w:rStyle w:val="FootnoteReference"/>
          <w:rFonts w:cs="Verdana"/>
          <w:noProof w:val="0"/>
          <w:sz w:val="16"/>
          <w:szCs w:val="16"/>
          <w:lang w:val="en-US"/>
        </w:rPr>
        <w:footnoteReference w:id="218"/>
      </w:r>
    </w:p>
    <w:p w:rsidR="00D839BE" w:rsidRPr="00610904" w:rsidRDefault="00D839BE" w:rsidP="00610904">
      <w:pPr>
        <w:rPr>
          <w:noProof w:val="0"/>
          <w:szCs w:val="20"/>
          <w:lang w:val="en-US"/>
        </w:rPr>
      </w:pPr>
    </w:p>
    <w:p w:rsidR="00D839BE" w:rsidRPr="00610904" w:rsidRDefault="00215C41" w:rsidP="00610904">
      <w:pPr>
        <w:numPr>
          <w:ilvl w:val="0"/>
          <w:numId w:val="1"/>
        </w:numPr>
        <w:rPr>
          <w:noProof w:val="0"/>
          <w:szCs w:val="20"/>
          <w:lang w:val="en-US"/>
        </w:rPr>
      </w:pPr>
      <w:r w:rsidRPr="00610904">
        <w:rPr>
          <w:noProof w:val="0"/>
          <w:szCs w:val="16"/>
          <w:lang w:val="en-US"/>
        </w:rPr>
        <w:t>I</w:t>
      </w:r>
      <w:r w:rsidR="00D839BE" w:rsidRPr="00610904">
        <w:rPr>
          <w:noProof w:val="0"/>
          <w:szCs w:val="16"/>
          <w:lang w:val="en-US"/>
        </w:rPr>
        <w:t xml:space="preserve">n </w:t>
      </w:r>
      <w:r w:rsidRPr="00610904">
        <w:rPr>
          <w:noProof w:val="0"/>
          <w:szCs w:val="16"/>
          <w:lang w:val="en-US"/>
        </w:rPr>
        <w:t>a similar case, the European Court</w:t>
      </w:r>
      <w:r w:rsidR="00D839BE" w:rsidRPr="00610904">
        <w:rPr>
          <w:noProof w:val="0"/>
          <w:szCs w:val="16"/>
          <w:lang w:val="en-US"/>
        </w:rPr>
        <w:t xml:space="preserve"> </w:t>
      </w:r>
      <w:r w:rsidRPr="00610904">
        <w:rPr>
          <w:noProof w:val="0"/>
          <w:szCs w:val="16"/>
          <w:lang w:val="en-US"/>
        </w:rPr>
        <w:t xml:space="preserve">examined the situation of a minor who required several transfusions of blood </w:t>
      </w:r>
      <w:r w:rsidR="009F3D78" w:rsidRPr="00610904">
        <w:rPr>
          <w:noProof w:val="0"/>
          <w:szCs w:val="16"/>
          <w:lang w:val="en-US"/>
        </w:rPr>
        <w:t xml:space="preserve">and </w:t>
      </w:r>
      <w:r w:rsidR="00D839BE" w:rsidRPr="00610904">
        <w:rPr>
          <w:noProof w:val="0"/>
          <w:szCs w:val="16"/>
          <w:lang w:val="en-US"/>
        </w:rPr>
        <w:t>plasma</w:t>
      </w:r>
      <w:r w:rsidR="00830022" w:rsidRPr="00610904">
        <w:rPr>
          <w:noProof w:val="0"/>
          <w:szCs w:val="16"/>
          <w:lang w:val="en-US"/>
        </w:rPr>
        <w:t xml:space="preserve"> during </w:t>
      </w:r>
      <w:r w:rsidR="005F5ABF" w:rsidRPr="00610904">
        <w:rPr>
          <w:noProof w:val="0"/>
          <w:szCs w:val="16"/>
          <w:lang w:val="en-US"/>
        </w:rPr>
        <w:t>the first months of his</w:t>
      </w:r>
      <w:r w:rsidRPr="00610904">
        <w:rPr>
          <w:noProof w:val="0"/>
          <w:szCs w:val="16"/>
          <w:lang w:val="en-US"/>
        </w:rPr>
        <w:t xml:space="preserve"> life. His parents acquired the necessary blood and plasma from the Turkish </w:t>
      </w:r>
      <w:r w:rsidR="00A8072E" w:rsidRPr="00610904">
        <w:rPr>
          <w:noProof w:val="0"/>
          <w:szCs w:val="16"/>
          <w:lang w:val="en-US"/>
        </w:rPr>
        <w:t>Red Cross</w:t>
      </w:r>
      <w:r w:rsidRPr="00610904">
        <w:rPr>
          <w:noProof w:val="0"/>
          <w:szCs w:val="16"/>
          <w:lang w:val="en-US"/>
        </w:rPr>
        <w:t xml:space="preserve">. Four months after the hospital </w:t>
      </w:r>
      <w:r w:rsidR="00CC1A4E" w:rsidRPr="00610904">
        <w:rPr>
          <w:noProof w:val="0"/>
          <w:szCs w:val="16"/>
          <w:lang w:val="en-US"/>
        </w:rPr>
        <w:t xml:space="preserve">personnel </w:t>
      </w:r>
      <w:r w:rsidRPr="00610904">
        <w:rPr>
          <w:noProof w:val="0"/>
          <w:szCs w:val="16"/>
          <w:lang w:val="en-US"/>
        </w:rPr>
        <w:t xml:space="preserve">had carried out the blood transfusions, the parents found out that their son had </w:t>
      </w:r>
      <w:r w:rsidR="00CC1A4E" w:rsidRPr="00610904">
        <w:rPr>
          <w:noProof w:val="0"/>
          <w:szCs w:val="16"/>
          <w:lang w:val="en-US"/>
        </w:rPr>
        <w:t>been infected with the</w:t>
      </w:r>
      <w:r w:rsidRPr="00610904">
        <w:rPr>
          <w:noProof w:val="0"/>
          <w:szCs w:val="16"/>
          <w:lang w:val="en-US"/>
        </w:rPr>
        <w:t xml:space="preserve"> HIV</w:t>
      </w:r>
      <w:r w:rsidR="00CC1A4E" w:rsidRPr="00610904">
        <w:rPr>
          <w:noProof w:val="0"/>
          <w:szCs w:val="16"/>
          <w:lang w:val="en-US"/>
        </w:rPr>
        <w:t xml:space="preserve"> virus</w:t>
      </w:r>
      <w:r w:rsidRPr="00610904">
        <w:rPr>
          <w:noProof w:val="0"/>
          <w:szCs w:val="16"/>
          <w:lang w:val="en-US"/>
        </w:rPr>
        <w:t>. Subsequently, the Government discovered that a person who had donated blood to the Turkish Red Cross was HIV positive and that this particular donor had previously donated blood and plasma. It was then discov</w:t>
      </w:r>
      <w:r w:rsidR="00CC1A4E" w:rsidRPr="00610904">
        <w:rPr>
          <w:noProof w:val="0"/>
          <w:szCs w:val="16"/>
          <w:lang w:val="en-US"/>
        </w:rPr>
        <w:t xml:space="preserve">ered that a unit of plasma </w:t>
      </w:r>
      <w:r w:rsidRPr="00610904">
        <w:rPr>
          <w:noProof w:val="0"/>
          <w:szCs w:val="16"/>
          <w:lang w:val="en-US"/>
        </w:rPr>
        <w:t>given to the baby had come from this HIV-positive donor. Following a series of proceedings, including a civil action against the Red Cross and an administrative action against the Ministry of Health</w:t>
      </w:r>
      <w:r w:rsidR="00D839BE" w:rsidRPr="00610904">
        <w:rPr>
          <w:noProof w:val="0"/>
          <w:szCs w:val="16"/>
          <w:lang w:val="en-US"/>
        </w:rPr>
        <w:t xml:space="preserve">, </w:t>
      </w:r>
      <w:r w:rsidRPr="00610904">
        <w:rPr>
          <w:noProof w:val="0"/>
          <w:szCs w:val="16"/>
          <w:lang w:val="en-US"/>
        </w:rPr>
        <w:t>which lasted over nine years, the Administrative Court determined that the Ministry of Health</w:t>
      </w:r>
      <w:r w:rsidR="00D839BE" w:rsidRPr="00610904">
        <w:rPr>
          <w:noProof w:val="0"/>
          <w:szCs w:val="16"/>
          <w:lang w:val="en-US"/>
        </w:rPr>
        <w:t xml:space="preserve"> </w:t>
      </w:r>
      <w:r w:rsidR="00CC1A4E" w:rsidRPr="00610904">
        <w:rPr>
          <w:noProof w:val="0"/>
          <w:szCs w:val="16"/>
          <w:lang w:val="en-US"/>
        </w:rPr>
        <w:t xml:space="preserve">personnel </w:t>
      </w:r>
      <w:r w:rsidR="00D839BE" w:rsidRPr="00610904">
        <w:rPr>
          <w:noProof w:val="0"/>
          <w:szCs w:val="16"/>
          <w:lang w:val="en-US"/>
        </w:rPr>
        <w:t>ha</w:t>
      </w:r>
      <w:r w:rsidRPr="00610904">
        <w:rPr>
          <w:noProof w:val="0"/>
          <w:szCs w:val="16"/>
          <w:lang w:val="en-US"/>
        </w:rPr>
        <w:t xml:space="preserve">d been negligent in the performance of their duties. The compensation </w:t>
      </w:r>
      <w:r w:rsidR="00CC1A4E" w:rsidRPr="00610904">
        <w:rPr>
          <w:noProof w:val="0"/>
          <w:szCs w:val="16"/>
          <w:lang w:val="en-US"/>
        </w:rPr>
        <w:t>awarded</w:t>
      </w:r>
      <w:r w:rsidRPr="00610904">
        <w:rPr>
          <w:noProof w:val="0"/>
          <w:szCs w:val="16"/>
          <w:lang w:val="en-US"/>
        </w:rPr>
        <w:t xml:space="preserve"> only covered </w:t>
      </w:r>
      <w:r w:rsidR="00CC1A4E" w:rsidRPr="00610904">
        <w:rPr>
          <w:noProof w:val="0"/>
          <w:szCs w:val="16"/>
          <w:lang w:val="en-US"/>
        </w:rPr>
        <w:t>“one year’s medical treatment expenses and did not suffice to pay the costs of medication</w:t>
      </w:r>
      <w:r w:rsidRPr="00610904">
        <w:rPr>
          <w:noProof w:val="0"/>
          <w:szCs w:val="16"/>
          <w:lang w:val="en-US"/>
        </w:rPr>
        <w:t>.</w:t>
      </w:r>
      <w:r w:rsidR="00CC1A4E" w:rsidRPr="00610904">
        <w:rPr>
          <w:noProof w:val="0"/>
          <w:szCs w:val="16"/>
          <w:lang w:val="en-US"/>
        </w:rPr>
        <w:t>”</w:t>
      </w:r>
      <w:r w:rsidRPr="00610904">
        <w:rPr>
          <w:noProof w:val="0"/>
          <w:szCs w:val="16"/>
          <w:lang w:val="en-US"/>
        </w:rPr>
        <w:t xml:space="preserve"> When examining the case, the European Court</w:t>
      </w:r>
      <w:r w:rsidR="00D839BE" w:rsidRPr="00610904">
        <w:rPr>
          <w:noProof w:val="0"/>
          <w:szCs w:val="16"/>
          <w:lang w:val="en-US"/>
        </w:rPr>
        <w:t xml:space="preserve"> t</w:t>
      </w:r>
      <w:r w:rsidRPr="00610904">
        <w:rPr>
          <w:noProof w:val="0"/>
          <w:szCs w:val="16"/>
          <w:lang w:val="en-US"/>
        </w:rPr>
        <w:t>ook into account the excessive duration of the administrative proceeding</w:t>
      </w:r>
      <w:r w:rsidR="005F5ABF" w:rsidRPr="00610904">
        <w:rPr>
          <w:noProof w:val="0"/>
          <w:szCs w:val="16"/>
          <w:lang w:val="en-US"/>
        </w:rPr>
        <w:t>s</w:t>
      </w:r>
      <w:r w:rsidRPr="00610904">
        <w:rPr>
          <w:noProof w:val="0"/>
          <w:szCs w:val="16"/>
          <w:lang w:val="en-US"/>
        </w:rPr>
        <w:t>, general considerations on public health, and the prevention of similar errors, and declared a violation of the right to life.</w:t>
      </w:r>
      <w:r w:rsidR="00D839BE" w:rsidRPr="00610904">
        <w:rPr>
          <w:rStyle w:val="FootnoteReference"/>
          <w:noProof w:val="0"/>
          <w:lang w:val="en-US"/>
        </w:rPr>
        <w:footnoteReference w:id="219"/>
      </w:r>
      <w:r w:rsidR="00D839BE" w:rsidRPr="00610904">
        <w:rPr>
          <w:noProof w:val="0"/>
          <w:szCs w:val="16"/>
          <w:lang w:val="en-US"/>
        </w:rPr>
        <w:t xml:space="preserve"> </w:t>
      </w:r>
    </w:p>
    <w:p w:rsidR="00D839BE" w:rsidRPr="00610904" w:rsidRDefault="00D839BE" w:rsidP="00610904">
      <w:pPr>
        <w:rPr>
          <w:noProof w:val="0"/>
          <w:szCs w:val="20"/>
          <w:lang w:val="en-US"/>
        </w:rPr>
      </w:pPr>
    </w:p>
    <w:p w:rsidR="00A9743F" w:rsidRPr="00610904" w:rsidRDefault="005F5ABF" w:rsidP="00610904">
      <w:pPr>
        <w:numPr>
          <w:ilvl w:val="0"/>
          <w:numId w:val="1"/>
        </w:numPr>
        <w:rPr>
          <w:noProof w:val="0"/>
          <w:szCs w:val="20"/>
          <w:lang w:val="en-US"/>
        </w:rPr>
      </w:pPr>
      <w:r w:rsidRPr="00610904">
        <w:rPr>
          <w:noProof w:val="0"/>
          <w:lang w:val="en-US"/>
        </w:rPr>
        <w:t>In the instant</w:t>
      </w:r>
      <w:r w:rsidR="00A9743F" w:rsidRPr="00610904">
        <w:rPr>
          <w:noProof w:val="0"/>
          <w:lang w:val="en-US"/>
        </w:rPr>
        <w:t xml:space="preserve"> case, the laws and regulations </w:t>
      </w:r>
      <w:r w:rsidRPr="00610904">
        <w:rPr>
          <w:noProof w:val="0"/>
          <w:lang w:val="en-US"/>
        </w:rPr>
        <w:t>provided</w:t>
      </w:r>
      <w:r w:rsidR="00A9743F" w:rsidRPr="00610904">
        <w:rPr>
          <w:noProof w:val="0"/>
          <w:lang w:val="en-US"/>
        </w:rPr>
        <w:t xml:space="preserve"> by the State reveal that </w:t>
      </w:r>
      <w:r w:rsidR="004016D9" w:rsidRPr="00610904">
        <w:rPr>
          <w:noProof w:val="0"/>
          <w:lang w:val="en-US"/>
        </w:rPr>
        <w:t>the National Blood Secretariat</w:t>
      </w:r>
      <w:r w:rsidR="00BA708E" w:rsidRPr="00610904">
        <w:rPr>
          <w:noProof w:val="0"/>
          <w:lang w:val="en-US"/>
        </w:rPr>
        <w:t xml:space="preserve">, </w:t>
      </w:r>
      <w:r w:rsidR="00A9743F" w:rsidRPr="00610904">
        <w:rPr>
          <w:noProof w:val="0"/>
          <w:lang w:val="en-US"/>
        </w:rPr>
        <w:t xml:space="preserve">an auxiliary body </w:t>
      </w:r>
      <w:r w:rsidR="00A8072E" w:rsidRPr="00610904">
        <w:rPr>
          <w:noProof w:val="0"/>
          <w:lang w:val="en-US"/>
        </w:rPr>
        <w:t>of the Red Cross</w:t>
      </w:r>
      <w:r w:rsidR="00BA708E" w:rsidRPr="00610904">
        <w:rPr>
          <w:noProof w:val="0"/>
          <w:lang w:val="en-US"/>
        </w:rPr>
        <w:t xml:space="preserve">, </w:t>
      </w:r>
      <w:r w:rsidR="00A9743F" w:rsidRPr="00610904">
        <w:rPr>
          <w:noProof w:val="0"/>
          <w:lang w:val="en-US"/>
        </w:rPr>
        <w:t xml:space="preserve">was the entity responsible for applying the sanctions for non-compliance with the regulations on how blood should be handled </w:t>
      </w:r>
      <w:r w:rsidR="00BA708E" w:rsidRPr="00610904">
        <w:rPr>
          <w:noProof w:val="0"/>
          <w:lang w:val="en-US"/>
        </w:rPr>
        <w:t>(</w:t>
      </w:r>
      <w:r w:rsidR="00BA708E" w:rsidRPr="00610904">
        <w:rPr>
          <w:i/>
          <w:noProof w:val="0"/>
          <w:lang w:val="en-US"/>
        </w:rPr>
        <w:t xml:space="preserve">supra </w:t>
      </w:r>
      <w:r w:rsidR="006E502B" w:rsidRPr="00610904">
        <w:rPr>
          <w:noProof w:val="0"/>
          <w:lang w:val="en-US"/>
        </w:rPr>
        <w:t>para.</w:t>
      </w:r>
      <w:r w:rsidR="00BA708E" w:rsidRPr="00610904">
        <w:rPr>
          <w:noProof w:val="0"/>
          <w:lang w:val="en-US"/>
        </w:rPr>
        <w:t xml:space="preserve"> 71). </w:t>
      </w:r>
      <w:r w:rsidR="009F3D78" w:rsidRPr="00610904">
        <w:rPr>
          <w:noProof w:val="0"/>
          <w:lang w:val="en-US"/>
        </w:rPr>
        <w:t>The Court</w:t>
      </w:r>
      <w:r w:rsidR="00BA708E" w:rsidRPr="00610904">
        <w:rPr>
          <w:noProof w:val="0"/>
          <w:lang w:val="en-US"/>
        </w:rPr>
        <w:t xml:space="preserve"> observ</w:t>
      </w:r>
      <w:r w:rsidR="00A9743F" w:rsidRPr="00610904">
        <w:rPr>
          <w:noProof w:val="0"/>
          <w:lang w:val="en-US"/>
        </w:rPr>
        <w:t>es that this implied a delegation of the functions of monitoring and supervision to the same private entity that had been delegated the task of managing the blood banks,</w:t>
      </w:r>
      <w:r w:rsidRPr="00610904">
        <w:rPr>
          <w:noProof w:val="0"/>
          <w:lang w:val="en-US"/>
        </w:rPr>
        <w:t xml:space="preserve"> which was especially problematic</w:t>
      </w:r>
      <w:r w:rsidR="00A9743F" w:rsidRPr="00610904">
        <w:rPr>
          <w:noProof w:val="0"/>
          <w:lang w:val="en-US"/>
        </w:rPr>
        <w:t xml:space="preserve"> </w:t>
      </w:r>
      <w:r w:rsidRPr="00610904">
        <w:rPr>
          <w:noProof w:val="0"/>
          <w:lang w:val="en-US"/>
        </w:rPr>
        <w:t>as regards</w:t>
      </w:r>
      <w:r w:rsidR="00A9743F" w:rsidRPr="00610904">
        <w:rPr>
          <w:noProof w:val="0"/>
          <w:lang w:val="en-US"/>
        </w:rPr>
        <w:t xml:space="preserve"> due diligence in </w:t>
      </w:r>
      <w:r w:rsidR="00856968" w:rsidRPr="00610904">
        <w:rPr>
          <w:noProof w:val="0"/>
          <w:lang w:val="en-US"/>
        </w:rPr>
        <w:t>the</w:t>
      </w:r>
      <w:r w:rsidRPr="00610904">
        <w:rPr>
          <w:noProof w:val="0"/>
          <w:lang w:val="en-US"/>
        </w:rPr>
        <w:t xml:space="preserve"> </w:t>
      </w:r>
      <w:r w:rsidR="00A9743F" w:rsidRPr="00610904">
        <w:rPr>
          <w:noProof w:val="0"/>
          <w:lang w:val="en-US"/>
        </w:rPr>
        <w:t xml:space="preserve">institutional monitoring structure, because this task should </w:t>
      </w:r>
      <w:r w:rsidRPr="00610904">
        <w:rPr>
          <w:noProof w:val="0"/>
          <w:lang w:val="en-US"/>
        </w:rPr>
        <w:t xml:space="preserve">have </w:t>
      </w:r>
      <w:r w:rsidR="00A9743F" w:rsidRPr="00610904">
        <w:rPr>
          <w:noProof w:val="0"/>
          <w:lang w:val="en-US"/>
        </w:rPr>
        <w:t>be</w:t>
      </w:r>
      <w:r w:rsidRPr="00610904">
        <w:rPr>
          <w:noProof w:val="0"/>
          <w:lang w:val="en-US"/>
        </w:rPr>
        <w:t>en</w:t>
      </w:r>
      <w:r w:rsidR="00A9743F" w:rsidRPr="00610904">
        <w:rPr>
          <w:noProof w:val="0"/>
          <w:lang w:val="en-US"/>
        </w:rPr>
        <w:t xml:space="preserve"> performed by the State. On this point, the Court refers back to the State’s acknowledgment that it should not have delegated the management of the bloo</w:t>
      </w:r>
      <w:r w:rsidRPr="00610904">
        <w:rPr>
          <w:noProof w:val="0"/>
          <w:lang w:val="en-US"/>
        </w:rPr>
        <w:t>d banks to the Red Cross in that</w:t>
      </w:r>
      <w:r w:rsidR="00A9743F" w:rsidRPr="00610904">
        <w:rPr>
          <w:noProof w:val="0"/>
          <w:lang w:val="en-US"/>
        </w:rPr>
        <w:t xml:space="preserve"> way; in oth</w:t>
      </w:r>
      <w:r w:rsidR="006E3F86" w:rsidRPr="00610904">
        <w:rPr>
          <w:noProof w:val="0"/>
          <w:lang w:val="en-US"/>
        </w:rPr>
        <w:t xml:space="preserve">er words, a delegation that did not </w:t>
      </w:r>
      <w:r w:rsidR="00856968" w:rsidRPr="00610904">
        <w:rPr>
          <w:noProof w:val="0"/>
          <w:lang w:val="en-US"/>
        </w:rPr>
        <w:t>establish</w:t>
      </w:r>
      <w:r w:rsidR="006E3F86" w:rsidRPr="00610904">
        <w:rPr>
          <w:noProof w:val="0"/>
          <w:lang w:val="en-US"/>
        </w:rPr>
        <w:t xml:space="preserve"> adequate levels of supervision. It should be noted that the case file does not cont</w:t>
      </w:r>
      <w:r w:rsidRPr="00610904">
        <w:rPr>
          <w:noProof w:val="0"/>
          <w:lang w:val="en-US"/>
        </w:rPr>
        <w:t>a</w:t>
      </w:r>
      <w:r w:rsidR="006E3F86" w:rsidRPr="00610904">
        <w:rPr>
          <w:noProof w:val="0"/>
          <w:lang w:val="en-US"/>
        </w:rPr>
        <w:t>in evidence of activities to monitor, control and supervise the blood bank prior to the facts.</w:t>
      </w:r>
    </w:p>
    <w:p w:rsidR="00D839BE" w:rsidRPr="00610904" w:rsidRDefault="00D839BE" w:rsidP="00610904">
      <w:pPr>
        <w:rPr>
          <w:noProof w:val="0"/>
          <w:szCs w:val="20"/>
          <w:lang w:val="en-US"/>
        </w:rPr>
      </w:pPr>
    </w:p>
    <w:p w:rsidR="00D839BE" w:rsidRPr="00610904" w:rsidRDefault="006E3F86" w:rsidP="00610904">
      <w:pPr>
        <w:numPr>
          <w:ilvl w:val="0"/>
          <w:numId w:val="1"/>
        </w:numPr>
        <w:rPr>
          <w:noProof w:val="0"/>
          <w:szCs w:val="20"/>
          <w:lang w:val="en-US"/>
        </w:rPr>
      </w:pPr>
      <w:r w:rsidRPr="00610904">
        <w:rPr>
          <w:noProof w:val="0"/>
          <w:lang w:val="en-US"/>
        </w:rPr>
        <w:t xml:space="preserve">In addition, in the instant case, the causal nexus between the blood transfusion and the infection with </w:t>
      </w:r>
      <w:r w:rsidR="00A8072E" w:rsidRPr="00610904">
        <w:rPr>
          <w:noProof w:val="0"/>
          <w:lang w:val="en-US"/>
        </w:rPr>
        <w:t>HIV</w:t>
      </w:r>
      <w:r w:rsidRPr="00610904">
        <w:rPr>
          <w:noProof w:val="0"/>
          <w:lang w:val="en-US"/>
        </w:rPr>
        <w:t xml:space="preserve"> </w:t>
      </w:r>
      <w:r w:rsidR="005F5ABF" w:rsidRPr="00610904">
        <w:rPr>
          <w:noProof w:val="0"/>
          <w:lang w:val="en-US"/>
        </w:rPr>
        <w:t>related to these proven</w:t>
      </w:r>
      <w:r w:rsidRPr="00610904">
        <w:rPr>
          <w:noProof w:val="0"/>
          <w:lang w:val="en-US"/>
        </w:rPr>
        <w:t xml:space="preserve"> facts: (</w:t>
      </w:r>
      <w:r w:rsidR="00D839BE" w:rsidRPr="00610904">
        <w:rPr>
          <w:noProof w:val="0"/>
          <w:lang w:val="en-US"/>
        </w:rPr>
        <w:t xml:space="preserve">i) </w:t>
      </w:r>
      <w:r w:rsidR="00FD5407" w:rsidRPr="00610904">
        <w:rPr>
          <w:noProof w:val="0"/>
          <w:lang w:val="en-US"/>
        </w:rPr>
        <w:t>on June 22,</w:t>
      </w:r>
      <w:r w:rsidR="00D839BE" w:rsidRPr="00610904">
        <w:rPr>
          <w:noProof w:val="0"/>
          <w:lang w:val="en-US"/>
        </w:rPr>
        <w:t xml:space="preserve"> 1998</w:t>
      </w:r>
      <w:r w:rsidRPr="00610904">
        <w:rPr>
          <w:noProof w:val="0"/>
          <w:lang w:val="en-US"/>
        </w:rPr>
        <w:t>,</w:t>
      </w:r>
      <w:r w:rsidR="00D839BE" w:rsidRPr="00610904">
        <w:rPr>
          <w:noProof w:val="0"/>
          <w:lang w:val="en-US"/>
        </w:rPr>
        <w:t xml:space="preserve"> Talía </w:t>
      </w:r>
      <w:r w:rsidRPr="00610904">
        <w:rPr>
          <w:noProof w:val="0"/>
          <w:lang w:val="en-US"/>
        </w:rPr>
        <w:t xml:space="preserve">was diagnosed with </w:t>
      </w:r>
      <w:r w:rsidRPr="00610904">
        <w:rPr>
          <w:bCs/>
          <w:noProof w:val="0"/>
          <w:lang w:val="en-US"/>
        </w:rPr>
        <w:t>thrombocytopenic purpura and her mother wa</w:t>
      </w:r>
      <w:r w:rsidR="005F5ABF" w:rsidRPr="00610904">
        <w:rPr>
          <w:bCs/>
          <w:noProof w:val="0"/>
          <w:lang w:val="en-US"/>
        </w:rPr>
        <w:t>s told that she urgently needed</w:t>
      </w:r>
      <w:r w:rsidRPr="00610904">
        <w:rPr>
          <w:noProof w:val="0"/>
          <w:lang w:val="en-US"/>
        </w:rPr>
        <w:t xml:space="preserve"> a transfusion of blood and platelets; (ii) the same day, Talía’s mother went to the </w:t>
      </w:r>
      <w:r w:rsidR="00C44085" w:rsidRPr="00610904">
        <w:rPr>
          <w:noProof w:val="0"/>
          <w:lang w:val="en-US"/>
        </w:rPr>
        <w:t>Red Cross Blood Bank</w:t>
      </w:r>
      <w:r w:rsidRPr="00610904">
        <w:rPr>
          <w:noProof w:val="0"/>
          <w:lang w:val="en-US"/>
        </w:rPr>
        <w:t xml:space="preserve"> where they told her that she needed to bring donors; (iii) the Blood Bank received Mr. HSA's blood and the blood products derived from it were sent out by this Bank on the same </w:t>
      </w:r>
      <w:r w:rsidR="00D839BE" w:rsidRPr="00610904">
        <w:rPr>
          <w:noProof w:val="0"/>
          <w:lang w:val="en-US"/>
        </w:rPr>
        <w:t xml:space="preserve"> </w:t>
      </w:r>
      <w:r w:rsidR="00FD5407" w:rsidRPr="00610904">
        <w:rPr>
          <w:noProof w:val="0"/>
          <w:lang w:val="en-US"/>
        </w:rPr>
        <w:t>June 22,</w:t>
      </w:r>
      <w:r w:rsidR="00D839BE" w:rsidRPr="00610904">
        <w:rPr>
          <w:noProof w:val="0"/>
          <w:lang w:val="en-US"/>
        </w:rPr>
        <w:t xml:space="preserve"> 1998</w:t>
      </w:r>
      <w:r w:rsidRPr="00610904">
        <w:rPr>
          <w:noProof w:val="0"/>
          <w:lang w:val="en-US"/>
        </w:rPr>
        <w:t xml:space="preserve">, for transfusion to </w:t>
      </w:r>
      <w:r w:rsidR="00D839BE" w:rsidRPr="00610904">
        <w:rPr>
          <w:rFonts w:cs="Arial"/>
          <w:noProof w:val="0"/>
          <w:szCs w:val="20"/>
          <w:lang w:val="en-US"/>
        </w:rPr>
        <w:t>Talía</w:t>
      </w:r>
      <w:r w:rsidR="00D839BE" w:rsidRPr="00610904">
        <w:rPr>
          <w:noProof w:val="0"/>
          <w:lang w:val="en-US"/>
        </w:rPr>
        <w:t xml:space="preserve">; </w:t>
      </w:r>
      <w:r w:rsidRPr="00610904">
        <w:rPr>
          <w:noProof w:val="0"/>
          <w:lang w:val="en-US"/>
        </w:rPr>
        <w:t xml:space="preserve">(iv) the transfusion began the same day and continued the following day; (v) Mr. HSA's blood only underwent the respective tests, including the test for HIV, the following day; (vi) the results of that test were positive; (vii) there is no information to indicate that Talía had been infected with HIV before June 22, 1998, and (viii) both the medical experts and the genetic test performed by the </w:t>
      </w:r>
      <w:r w:rsidR="003A67CA" w:rsidRPr="00610904">
        <w:rPr>
          <w:i/>
          <w:noProof w:val="0"/>
          <w:lang w:val="en-US"/>
        </w:rPr>
        <w:t>Université catholique de Louvain</w:t>
      </w:r>
      <w:r w:rsidR="00D839BE" w:rsidRPr="00610904">
        <w:rPr>
          <w:noProof w:val="0"/>
          <w:lang w:val="en-US"/>
        </w:rPr>
        <w:t xml:space="preserve"> </w:t>
      </w:r>
      <w:r w:rsidRPr="00610904">
        <w:rPr>
          <w:noProof w:val="0"/>
          <w:lang w:val="en-US"/>
        </w:rPr>
        <w:t xml:space="preserve">in Belgium attributed to infection to the blood transfusion. As can be seen, the infection with HIV occurred as a result of the transfusion of blood that had not been tested previously and which came from </w:t>
      </w:r>
      <w:r w:rsidR="00A8072E" w:rsidRPr="00610904">
        <w:rPr>
          <w:noProof w:val="0"/>
          <w:lang w:val="en-US"/>
        </w:rPr>
        <w:t xml:space="preserve">the </w:t>
      </w:r>
      <w:r w:rsidR="00C44085" w:rsidRPr="00610904">
        <w:rPr>
          <w:noProof w:val="0"/>
          <w:lang w:val="en-US"/>
        </w:rPr>
        <w:t>Red Cross Blood Bank</w:t>
      </w:r>
      <w:r w:rsidR="00D839BE" w:rsidRPr="00610904">
        <w:rPr>
          <w:noProof w:val="0"/>
          <w:lang w:val="en-US"/>
        </w:rPr>
        <w:t xml:space="preserve">. </w:t>
      </w:r>
    </w:p>
    <w:p w:rsidR="00D839BE" w:rsidRPr="00610904" w:rsidRDefault="00D839BE" w:rsidP="00610904">
      <w:pPr>
        <w:rPr>
          <w:noProof w:val="0"/>
          <w:szCs w:val="20"/>
          <w:lang w:val="en-US"/>
        </w:rPr>
      </w:pPr>
    </w:p>
    <w:p w:rsidR="00D839BE" w:rsidRPr="00610904" w:rsidRDefault="006E3F86" w:rsidP="00610904">
      <w:pPr>
        <w:numPr>
          <w:ilvl w:val="0"/>
          <w:numId w:val="1"/>
        </w:numPr>
        <w:rPr>
          <w:noProof w:val="0"/>
          <w:szCs w:val="20"/>
          <w:lang w:val="en-US"/>
        </w:rPr>
      </w:pPr>
      <w:r w:rsidRPr="00610904">
        <w:rPr>
          <w:noProof w:val="0"/>
          <w:lang w:val="en-US"/>
        </w:rPr>
        <w:t xml:space="preserve">Furthermore, during the criminal proceedings, the testimony of </w:t>
      </w:r>
      <w:r w:rsidR="005F5ABF" w:rsidRPr="00610904">
        <w:rPr>
          <w:noProof w:val="0"/>
          <w:lang w:val="en-US"/>
        </w:rPr>
        <w:t>employees</w:t>
      </w:r>
      <w:r w:rsidRPr="00610904">
        <w:rPr>
          <w:noProof w:val="0"/>
          <w:lang w:val="en-US"/>
        </w:rPr>
        <w:t xml:space="preserve"> of the Red Cross and the hospital where Talía was interned reveals that the shifts were not well organized and that there were errors in the records. Thus, the Court underlines that the evidence in the </w:t>
      </w:r>
      <w:r w:rsidR="00521F86" w:rsidRPr="00610904">
        <w:rPr>
          <w:noProof w:val="0"/>
          <w:lang w:val="en-US"/>
        </w:rPr>
        <w:t xml:space="preserve">criminal proceedings </w:t>
      </w:r>
      <w:r w:rsidR="005F5ABF" w:rsidRPr="00610904">
        <w:rPr>
          <w:noProof w:val="0"/>
          <w:lang w:val="en-US"/>
        </w:rPr>
        <w:t>indicates</w:t>
      </w:r>
      <w:r w:rsidRPr="00610904">
        <w:rPr>
          <w:noProof w:val="0"/>
          <w:lang w:val="en-US"/>
        </w:rPr>
        <w:t xml:space="preserve"> that the Red</w:t>
      </w:r>
      <w:r w:rsidR="005F5ABF" w:rsidRPr="00610904">
        <w:rPr>
          <w:noProof w:val="0"/>
          <w:lang w:val="en-US"/>
        </w:rPr>
        <w:t xml:space="preserve"> Cross Blood Bank operated: (i)</w:t>
      </w:r>
      <w:r w:rsidRPr="00610904">
        <w:rPr>
          <w:noProof w:val="0"/>
          <w:lang w:val="en-US"/>
        </w:rPr>
        <w:t xml:space="preserve"> with limited resources</w:t>
      </w:r>
      <w:r w:rsidRPr="00610904">
        <w:rPr>
          <w:noProof w:val="0"/>
          <w:szCs w:val="20"/>
          <w:lang w:val="en-US"/>
        </w:rPr>
        <w:t>;</w:t>
      </w:r>
      <w:r w:rsidR="00D839BE" w:rsidRPr="00610904">
        <w:rPr>
          <w:rStyle w:val="FootnoteReference"/>
          <w:noProof w:val="0"/>
          <w:lang w:val="en-US"/>
        </w:rPr>
        <w:footnoteReference w:id="220"/>
      </w:r>
      <w:r w:rsidR="00D839BE" w:rsidRPr="00610904">
        <w:rPr>
          <w:noProof w:val="0"/>
          <w:lang w:val="en-US"/>
        </w:rPr>
        <w:t xml:space="preserve"> </w:t>
      </w:r>
      <w:r w:rsidRPr="00610904">
        <w:rPr>
          <w:noProof w:val="0"/>
          <w:lang w:val="en-US"/>
        </w:rPr>
        <w:t>(</w:t>
      </w:r>
      <w:r w:rsidR="00D839BE" w:rsidRPr="00610904">
        <w:rPr>
          <w:noProof w:val="0"/>
          <w:lang w:val="en-US"/>
        </w:rPr>
        <w:t xml:space="preserve">ii) </w:t>
      </w:r>
      <w:r w:rsidRPr="00610904">
        <w:rPr>
          <w:noProof w:val="0"/>
          <w:lang w:val="en-US"/>
        </w:rPr>
        <w:t>with</w:t>
      </w:r>
      <w:r w:rsidR="005F5ABF" w:rsidRPr="00610904">
        <w:rPr>
          <w:noProof w:val="0"/>
          <w:lang w:val="en-US"/>
        </w:rPr>
        <w:t>out</w:t>
      </w:r>
      <w:r w:rsidRPr="00610904">
        <w:rPr>
          <w:noProof w:val="0"/>
          <w:lang w:val="en-US"/>
        </w:rPr>
        <w:t xml:space="preserve"> establishing and keeping records with complete and </w:t>
      </w:r>
      <w:r w:rsidR="005F5ABF" w:rsidRPr="00610904">
        <w:rPr>
          <w:noProof w:val="0"/>
          <w:lang w:val="en-US"/>
        </w:rPr>
        <w:t>detailed</w:t>
      </w:r>
      <w:r w:rsidRPr="00610904">
        <w:rPr>
          <w:noProof w:val="0"/>
          <w:lang w:val="en-US"/>
        </w:rPr>
        <w:t xml:space="preserve"> information on the donors, the tests performed, and the delivery of blood products;</w:t>
      </w:r>
      <w:r w:rsidR="00D839BE" w:rsidRPr="00610904">
        <w:rPr>
          <w:rStyle w:val="FootnoteReference"/>
          <w:noProof w:val="0"/>
          <w:lang w:val="en-US"/>
        </w:rPr>
        <w:footnoteReference w:id="221"/>
      </w:r>
      <w:r w:rsidR="00D839BE" w:rsidRPr="00610904">
        <w:rPr>
          <w:noProof w:val="0"/>
          <w:lang w:val="en-US"/>
        </w:rPr>
        <w:t xml:space="preserve"> </w:t>
      </w:r>
      <w:r w:rsidRPr="00610904">
        <w:rPr>
          <w:noProof w:val="0"/>
          <w:lang w:val="en-US"/>
        </w:rPr>
        <w:t>(</w:t>
      </w:r>
      <w:r w:rsidR="00D839BE" w:rsidRPr="00610904">
        <w:rPr>
          <w:noProof w:val="0"/>
          <w:lang w:val="en-US"/>
        </w:rPr>
        <w:t xml:space="preserve">iii) </w:t>
      </w:r>
      <w:r w:rsidRPr="00610904">
        <w:rPr>
          <w:noProof w:val="0"/>
          <w:lang w:val="en-US"/>
        </w:rPr>
        <w:t>with irregularities and contradictions in the few existing records</w:t>
      </w:r>
      <w:r w:rsidR="00D839BE" w:rsidRPr="00610904">
        <w:rPr>
          <w:rStyle w:val="FootnoteReference"/>
          <w:noProof w:val="0"/>
          <w:lang w:val="en-US"/>
        </w:rPr>
        <w:footnoteReference w:id="222"/>
      </w:r>
      <w:r w:rsidR="00D839BE" w:rsidRPr="00610904">
        <w:rPr>
          <w:noProof w:val="0"/>
          <w:lang w:val="en-US"/>
        </w:rPr>
        <w:t xml:space="preserve"> (</w:t>
      </w:r>
      <w:r w:rsidRPr="00610904">
        <w:rPr>
          <w:noProof w:val="0"/>
          <w:lang w:val="en-US"/>
        </w:rPr>
        <w:t>an example of this being the records on the deliver</w:t>
      </w:r>
      <w:r w:rsidR="005F5ABF" w:rsidRPr="00610904">
        <w:rPr>
          <w:noProof w:val="0"/>
          <w:lang w:val="en-US"/>
        </w:rPr>
        <w:t>y</w:t>
      </w:r>
      <w:r w:rsidRPr="00610904">
        <w:rPr>
          <w:noProof w:val="0"/>
          <w:lang w:val="en-US"/>
        </w:rPr>
        <w:t xml:space="preserve"> of the blood for </w:t>
      </w:r>
      <w:r w:rsidR="00D839BE" w:rsidRPr="00610904">
        <w:rPr>
          <w:rFonts w:cs="Arial"/>
          <w:noProof w:val="0"/>
          <w:szCs w:val="20"/>
          <w:lang w:val="en-US"/>
        </w:rPr>
        <w:t>Talía</w:t>
      </w:r>
      <w:r w:rsidRPr="00610904">
        <w:rPr>
          <w:noProof w:val="0"/>
          <w:lang w:val="en-US"/>
        </w:rPr>
        <w:t>, which are smudged), and (</w:t>
      </w:r>
      <w:r w:rsidR="00D839BE" w:rsidRPr="00610904">
        <w:rPr>
          <w:noProof w:val="0"/>
          <w:lang w:val="en-US"/>
        </w:rPr>
        <w:t xml:space="preserve">iv) </w:t>
      </w:r>
      <w:r w:rsidRPr="00610904">
        <w:rPr>
          <w:noProof w:val="0"/>
          <w:lang w:val="en-US"/>
        </w:rPr>
        <w:t xml:space="preserve">the personnel </w:t>
      </w:r>
      <w:r w:rsidR="005F5ABF" w:rsidRPr="00610904">
        <w:rPr>
          <w:noProof w:val="0"/>
          <w:lang w:val="en-US"/>
        </w:rPr>
        <w:t>had</w:t>
      </w:r>
      <w:r w:rsidRPr="00610904">
        <w:rPr>
          <w:noProof w:val="0"/>
          <w:lang w:val="en-US"/>
        </w:rPr>
        <w:t xml:space="preserve"> </w:t>
      </w:r>
      <w:r w:rsidR="005F5ABF" w:rsidRPr="00610904">
        <w:rPr>
          <w:noProof w:val="0"/>
          <w:lang w:val="en-US"/>
        </w:rPr>
        <w:t>the practice of not recording</w:t>
      </w:r>
      <w:r w:rsidRPr="00610904">
        <w:rPr>
          <w:noProof w:val="0"/>
          <w:lang w:val="en-US"/>
        </w:rPr>
        <w:t xml:space="preserve"> blood </w:t>
      </w:r>
      <w:r w:rsidR="005F5ABF" w:rsidRPr="00610904">
        <w:rPr>
          <w:noProof w:val="0"/>
          <w:lang w:val="en-US"/>
        </w:rPr>
        <w:t>delivered</w:t>
      </w:r>
      <w:r w:rsidRPr="00610904">
        <w:rPr>
          <w:noProof w:val="0"/>
          <w:lang w:val="en-US"/>
        </w:rPr>
        <w:t xml:space="preserve"> after </w:t>
      </w:r>
      <w:r w:rsidR="00D839BE" w:rsidRPr="00610904">
        <w:rPr>
          <w:noProof w:val="0"/>
          <w:lang w:val="en-US"/>
        </w:rPr>
        <w:t>6 p</w:t>
      </w:r>
      <w:r w:rsidRPr="00610904">
        <w:rPr>
          <w:noProof w:val="0"/>
          <w:lang w:val="en-US"/>
        </w:rPr>
        <w:t>.</w:t>
      </w:r>
      <w:r w:rsidR="00D839BE" w:rsidRPr="00610904">
        <w:rPr>
          <w:noProof w:val="0"/>
          <w:lang w:val="en-US"/>
        </w:rPr>
        <w:t>m</w:t>
      </w:r>
      <w:r w:rsidRPr="00610904">
        <w:rPr>
          <w:noProof w:val="0"/>
          <w:lang w:val="en-US"/>
        </w:rPr>
        <w:t>.</w:t>
      </w:r>
      <w:r w:rsidR="00D839BE" w:rsidRPr="00610904">
        <w:rPr>
          <w:noProof w:val="0"/>
          <w:lang w:val="en-US"/>
        </w:rPr>
        <w:t>,</w:t>
      </w:r>
      <w:r w:rsidRPr="00610904">
        <w:rPr>
          <w:noProof w:val="0"/>
          <w:lang w:val="en-US"/>
        </w:rPr>
        <w:t xml:space="preserve"> which was precisely the situation of the blood products delivered for the victim in this case.</w:t>
      </w:r>
      <w:r w:rsidR="00D839BE" w:rsidRPr="00610904">
        <w:rPr>
          <w:rStyle w:val="FootnoteReference"/>
          <w:noProof w:val="0"/>
          <w:lang w:val="en-US"/>
        </w:rPr>
        <w:footnoteReference w:id="223"/>
      </w:r>
    </w:p>
    <w:p w:rsidR="00D839BE" w:rsidRPr="00610904" w:rsidRDefault="00D839BE" w:rsidP="00610904">
      <w:pPr>
        <w:pStyle w:val="ListParagraph"/>
        <w:rPr>
          <w:noProof w:val="0"/>
          <w:lang w:val="en-US"/>
        </w:rPr>
      </w:pPr>
    </w:p>
    <w:p w:rsidR="00D839BE" w:rsidRPr="00610904" w:rsidRDefault="006E3F86" w:rsidP="00610904">
      <w:pPr>
        <w:numPr>
          <w:ilvl w:val="0"/>
          <w:numId w:val="1"/>
        </w:numPr>
        <w:rPr>
          <w:noProof w:val="0"/>
          <w:szCs w:val="20"/>
          <w:lang w:val="en-US"/>
        </w:rPr>
      </w:pPr>
      <w:r w:rsidRPr="00610904">
        <w:rPr>
          <w:noProof w:val="0"/>
          <w:lang w:val="en-US"/>
        </w:rPr>
        <w:t xml:space="preserve">In this case, the Court considers that the irregularities, and the precarious </w:t>
      </w:r>
      <w:r w:rsidR="005F5ABF" w:rsidRPr="00610904">
        <w:rPr>
          <w:noProof w:val="0"/>
          <w:lang w:val="en-US"/>
        </w:rPr>
        <w:t>conditions</w:t>
      </w:r>
      <w:r w:rsidRPr="00610904">
        <w:rPr>
          <w:noProof w:val="0"/>
          <w:lang w:val="en-US"/>
        </w:rPr>
        <w:t xml:space="preserve"> under which the Blood Bank from which the blood fo</w:t>
      </w:r>
      <w:r w:rsidR="005F5ABF" w:rsidRPr="00610904">
        <w:rPr>
          <w:noProof w:val="0"/>
          <w:lang w:val="en-US"/>
        </w:rPr>
        <w:t>r Talía came functioned, reveal</w:t>
      </w:r>
      <w:r w:rsidRPr="00610904">
        <w:rPr>
          <w:noProof w:val="0"/>
          <w:lang w:val="en-US"/>
        </w:rPr>
        <w:t xml:space="preserve"> th</w:t>
      </w:r>
      <w:r w:rsidR="005F5ABF" w:rsidRPr="00610904">
        <w:rPr>
          <w:noProof w:val="0"/>
          <w:lang w:val="en-US"/>
        </w:rPr>
        <w:t>e possible</w:t>
      </w:r>
      <w:r w:rsidRPr="00610904">
        <w:rPr>
          <w:noProof w:val="0"/>
          <w:lang w:val="en-US"/>
        </w:rPr>
        <w:t xml:space="preserve"> consequences </w:t>
      </w:r>
      <w:r w:rsidR="005F5ABF" w:rsidRPr="00610904">
        <w:rPr>
          <w:noProof w:val="0"/>
          <w:lang w:val="en-US"/>
        </w:rPr>
        <w:t>of the State’s failure to comply with its supervision and monitoring obligation</w:t>
      </w:r>
      <w:r w:rsidRPr="00610904">
        <w:rPr>
          <w:noProof w:val="0"/>
          <w:lang w:val="en-US"/>
        </w:rPr>
        <w:t xml:space="preserve">. The inadequate supervision and inspection by Ecuador resulted in </w:t>
      </w:r>
      <w:r w:rsidR="00A8072E" w:rsidRPr="00610904">
        <w:rPr>
          <w:noProof w:val="0"/>
          <w:lang w:val="en-US"/>
        </w:rPr>
        <w:t xml:space="preserve">the </w:t>
      </w:r>
      <w:r w:rsidR="00C44085" w:rsidRPr="00610904">
        <w:rPr>
          <w:noProof w:val="0"/>
          <w:lang w:val="en-US"/>
        </w:rPr>
        <w:t>Red Cross Blood Bank</w:t>
      </w:r>
      <w:r w:rsidR="00D839BE" w:rsidRPr="00610904">
        <w:rPr>
          <w:noProof w:val="0"/>
          <w:lang w:val="en-US"/>
        </w:rPr>
        <w:t xml:space="preserve"> </w:t>
      </w:r>
      <w:r w:rsidRPr="00610904">
        <w:rPr>
          <w:noProof w:val="0"/>
          <w:lang w:val="en-US"/>
        </w:rPr>
        <w:t xml:space="preserve">of the province of </w:t>
      </w:r>
      <w:r w:rsidR="00D839BE" w:rsidRPr="00610904">
        <w:rPr>
          <w:noProof w:val="0"/>
          <w:lang w:val="en-US"/>
        </w:rPr>
        <w:t xml:space="preserve">Azuay </w:t>
      </w:r>
      <w:r w:rsidR="005F5ABF" w:rsidRPr="00610904">
        <w:rPr>
          <w:noProof w:val="0"/>
          <w:lang w:val="en-US"/>
        </w:rPr>
        <w:t>operating</w:t>
      </w:r>
      <w:r w:rsidRPr="00610904">
        <w:rPr>
          <w:noProof w:val="0"/>
          <w:lang w:val="en-US"/>
        </w:rPr>
        <w:t xml:space="preserve"> in irregular conditions that endangered the health, life and integrity of the community. In</w:t>
      </w:r>
      <w:r w:rsidR="00D839BE" w:rsidRPr="00610904">
        <w:rPr>
          <w:noProof w:val="0"/>
          <w:lang w:val="en-US"/>
        </w:rPr>
        <w:t xml:space="preserve"> particular, </w:t>
      </w:r>
      <w:r w:rsidRPr="00610904">
        <w:rPr>
          <w:noProof w:val="0"/>
          <w:lang w:val="en-US"/>
        </w:rPr>
        <w:t>this seri</w:t>
      </w:r>
      <w:r w:rsidR="005F5ABF" w:rsidRPr="00610904">
        <w:rPr>
          <w:noProof w:val="0"/>
          <w:lang w:val="en-US"/>
        </w:rPr>
        <w:t>ous omission by the State allowed</w:t>
      </w:r>
      <w:r w:rsidRPr="00610904">
        <w:rPr>
          <w:noProof w:val="0"/>
          <w:lang w:val="en-US"/>
        </w:rPr>
        <w:t xml:space="preserve"> blood that had not undergone the most basic safety testing, such as for HIV, to be delivered to </w:t>
      </w:r>
      <w:r w:rsidR="00EC0A9D" w:rsidRPr="00610904">
        <w:rPr>
          <w:noProof w:val="0"/>
          <w:lang w:val="en-US"/>
        </w:rPr>
        <w:t>Talía’s family</w:t>
      </w:r>
      <w:r w:rsidR="00D839BE" w:rsidRPr="00610904">
        <w:rPr>
          <w:rFonts w:cs="Arial"/>
          <w:noProof w:val="0"/>
          <w:szCs w:val="20"/>
          <w:lang w:val="en-US"/>
        </w:rPr>
        <w:t xml:space="preserve"> </w:t>
      </w:r>
      <w:r w:rsidRPr="00610904">
        <w:rPr>
          <w:rFonts w:cs="Arial"/>
          <w:noProof w:val="0"/>
          <w:szCs w:val="20"/>
          <w:lang w:val="en-US"/>
        </w:rPr>
        <w:t xml:space="preserve">for the blood </w:t>
      </w:r>
      <w:r w:rsidR="00856968" w:rsidRPr="00610904">
        <w:rPr>
          <w:rFonts w:cs="Arial"/>
          <w:noProof w:val="0"/>
          <w:szCs w:val="20"/>
          <w:lang w:val="en-US"/>
        </w:rPr>
        <w:t>transfusion</w:t>
      </w:r>
      <w:r w:rsidRPr="00610904">
        <w:rPr>
          <w:rFonts w:cs="Arial"/>
          <w:noProof w:val="0"/>
          <w:szCs w:val="20"/>
          <w:lang w:val="en-US"/>
        </w:rPr>
        <w:t>, with the result that she became infected</w:t>
      </w:r>
      <w:r w:rsidR="005F5ABF" w:rsidRPr="00610904">
        <w:rPr>
          <w:rFonts w:cs="Arial"/>
          <w:noProof w:val="0"/>
          <w:szCs w:val="20"/>
          <w:lang w:val="en-US"/>
        </w:rPr>
        <w:t>,</w:t>
      </w:r>
      <w:r w:rsidRPr="00610904">
        <w:rPr>
          <w:rFonts w:cs="Arial"/>
          <w:noProof w:val="0"/>
          <w:szCs w:val="20"/>
          <w:lang w:val="en-US"/>
        </w:rPr>
        <w:t xml:space="preserve"> with the co</w:t>
      </w:r>
      <w:r w:rsidR="00312B9E" w:rsidRPr="00610904">
        <w:rPr>
          <w:rFonts w:cs="Arial"/>
          <w:noProof w:val="0"/>
          <w:szCs w:val="20"/>
          <w:lang w:val="en-US"/>
        </w:rPr>
        <w:t>nsequent permanent impairment of</w:t>
      </w:r>
      <w:r w:rsidRPr="00610904">
        <w:rPr>
          <w:rFonts w:cs="Arial"/>
          <w:noProof w:val="0"/>
          <w:szCs w:val="20"/>
          <w:lang w:val="en-US"/>
        </w:rPr>
        <w:t xml:space="preserve"> her health.</w:t>
      </w:r>
    </w:p>
    <w:p w:rsidR="00D839BE" w:rsidRPr="00610904" w:rsidRDefault="00D839BE" w:rsidP="00610904">
      <w:pPr>
        <w:rPr>
          <w:b/>
          <w:noProof w:val="0"/>
          <w:lang w:val="en-US"/>
        </w:rPr>
      </w:pPr>
    </w:p>
    <w:p w:rsidR="00D839BE" w:rsidRPr="00610904" w:rsidRDefault="00312B9E" w:rsidP="00610904">
      <w:pPr>
        <w:numPr>
          <w:ilvl w:val="0"/>
          <w:numId w:val="1"/>
        </w:numPr>
        <w:rPr>
          <w:noProof w:val="0"/>
          <w:szCs w:val="20"/>
          <w:lang w:val="en-US"/>
        </w:rPr>
      </w:pPr>
      <w:r w:rsidRPr="00610904">
        <w:rPr>
          <w:noProof w:val="0"/>
          <w:lang w:val="en-US"/>
        </w:rPr>
        <w:t>This harm to her health, owing to the severity of the illness involved and th</w:t>
      </w:r>
      <w:r w:rsidR="005F5ABF" w:rsidRPr="00610904">
        <w:rPr>
          <w:noProof w:val="0"/>
          <w:lang w:val="en-US"/>
        </w:rPr>
        <w:t>e risks that the victim may face</w:t>
      </w:r>
      <w:r w:rsidRPr="00610904">
        <w:rPr>
          <w:noProof w:val="0"/>
          <w:lang w:val="en-US"/>
        </w:rPr>
        <w:t xml:space="preserve"> at different moments of her life, constitutes a violation of the </w:t>
      </w:r>
      <w:r w:rsidR="00215C41" w:rsidRPr="00610904">
        <w:rPr>
          <w:noProof w:val="0"/>
          <w:lang w:val="en-US"/>
        </w:rPr>
        <w:t>right to life</w:t>
      </w:r>
      <w:r w:rsidR="00D839BE" w:rsidRPr="00610904">
        <w:rPr>
          <w:noProof w:val="0"/>
          <w:lang w:val="en-US"/>
        </w:rPr>
        <w:t xml:space="preserve">, </w:t>
      </w:r>
      <w:r w:rsidRPr="00610904">
        <w:rPr>
          <w:noProof w:val="0"/>
          <w:lang w:val="en-US"/>
        </w:rPr>
        <w:t xml:space="preserve">in view of the danger of death that the victim has faced, and may face in the future, owing to her illness. Indeed, in this case the negative obligation to not harm life was violated when </w:t>
      </w:r>
      <w:r w:rsidR="00D839BE" w:rsidRPr="00610904">
        <w:rPr>
          <w:noProof w:val="0"/>
          <w:lang w:val="en-US"/>
        </w:rPr>
        <w:t>Talía Gonzales Lluy</w:t>
      </w:r>
      <w:r w:rsidRPr="00610904">
        <w:rPr>
          <w:noProof w:val="0"/>
          <w:lang w:val="en-US"/>
        </w:rPr>
        <w:t xml:space="preserve">’s blood was contaminated by a private entity. In addition, at times when her defenses have been </w:t>
      </w:r>
      <w:r w:rsidR="005F5ABF" w:rsidRPr="00610904">
        <w:rPr>
          <w:noProof w:val="0"/>
          <w:lang w:val="en-US"/>
        </w:rPr>
        <w:t>weakene</w:t>
      </w:r>
      <w:r w:rsidRPr="00610904">
        <w:rPr>
          <w:noProof w:val="0"/>
          <w:lang w:val="en-US"/>
        </w:rPr>
        <w:t xml:space="preserve">d owing to the use of antiretroviral drugs, what happened with the blood transfusion in this case has resulted in </w:t>
      </w:r>
      <w:r w:rsidR="005F5ABF" w:rsidRPr="00610904">
        <w:rPr>
          <w:noProof w:val="0"/>
          <w:lang w:val="en-US"/>
        </w:rPr>
        <w:t>a threat</w:t>
      </w:r>
      <w:r w:rsidRPr="00610904">
        <w:rPr>
          <w:noProof w:val="0"/>
          <w:lang w:val="en-US"/>
        </w:rPr>
        <w:t xml:space="preserve"> to her life and </w:t>
      </w:r>
      <w:r w:rsidR="005F5ABF" w:rsidRPr="00610904">
        <w:rPr>
          <w:noProof w:val="0"/>
          <w:lang w:val="en-US"/>
        </w:rPr>
        <w:t>a possible risk</w:t>
      </w:r>
      <w:r w:rsidRPr="00610904">
        <w:rPr>
          <w:noProof w:val="0"/>
          <w:lang w:val="en-US"/>
        </w:rPr>
        <w:t xml:space="preserve"> of death that may happen again in the future.</w:t>
      </w:r>
      <w:r w:rsidR="00D839BE" w:rsidRPr="00610904">
        <w:rPr>
          <w:rStyle w:val="FootnoteReference"/>
          <w:noProof w:val="0"/>
          <w:lang w:val="en-US"/>
        </w:rPr>
        <w:footnoteReference w:id="224"/>
      </w:r>
      <w:r w:rsidR="00D839BE" w:rsidRPr="00610904">
        <w:rPr>
          <w:noProof w:val="0"/>
          <w:lang w:val="en-US"/>
        </w:rPr>
        <w:t xml:space="preserve"> </w:t>
      </w:r>
    </w:p>
    <w:p w:rsidR="00D839BE" w:rsidRPr="00610904" w:rsidRDefault="00D839BE" w:rsidP="00610904">
      <w:pPr>
        <w:tabs>
          <w:tab w:val="right" w:leader="dot" w:pos="8222"/>
        </w:tabs>
        <w:rPr>
          <w:rFonts w:ascii="Times New Roman" w:hAnsi="Times New Roman"/>
          <w:noProof w:val="0"/>
          <w:lang w:val="en-US"/>
        </w:rPr>
      </w:pPr>
    </w:p>
    <w:p w:rsidR="00D839BE" w:rsidRPr="00610904" w:rsidRDefault="00312B9E" w:rsidP="00610904">
      <w:pPr>
        <w:numPr>
          <w:ilvl w:val="0"/>
          <w:numId w:val="1"/>
        </w:numPr>
        <w:rPr>
          <w:noProof w:val="0"/>
          <w:szCs w:val="20"/>
          <w:lang w:val="en-US"/>
        </w:rPr>
      </w:pPr>
      <w:r w:rsidRPr="00610904">
        <w:rPr>
          <w:noProof w:val="0"/>
          <w:lang w:val="en-US"/>
        </w:rPr>
        <w:t>Based on the considerations in this section,</w:t>
      </w:r>
      <w:r w:rsidR="005F5ABF" w:rsidRPr="00610904">
        <w:rPr>
          <w:noProof w:val="0"/>
          <w:lang w:val="en-US"/>
        </w:rPr>
        <w:t xml:space="preserve"> and</w:t>
      </w:r>
      <w:r w:rsidRPr="00610904">
        <w:rPr>
          <w:noProof w:val="0"/>
          <w:lang w:val="en-US"/>
        </w:rPr>
        <w:t xml:space="preserve"> </w:t>
      </w:r>
      <w:r w:rsidR="005F5ABF" w:rsidRPr="00610904">
        <w:rPr>
          <w:noProof w:val="0"/>
          <w:lang w:val="en-US"/>
        </w:rPr>
        <w:t>because</w:t>
      </w:r>
      <w:r w:rsidR="00654E5F" w:rsidRPr="00610904">
        <w:rPr>
          <w:noProof w:val="0"/>
          <w:lang w:val="en-US"/>
        </w:rPr>
        <w:t xml:space="preserve"> the type of negligence that led to the infection of Talía Gonzales Lluy with HIV can be attributed to the State, Ecuador is </w:t>
      </w:r>
      <w:r w:rsidR="004A6E8B" w:rsidRPr="00610904">
        <w:rPr>
          <w:noProof w:val="0"/>
          <w:lang w:val="en-US"/>
        </w:rPr>
        <w:t>responsible for the violation</w:t>
      </w:r>
      <w:r w:rsidR="00D839BE" w:rsidRPr="00610904">
        <w:rPr>
          <w:noProof w:val="0"/>
          <w:lang w:val="en-US"/>
        </w:rPr>
        <w:t xml:space="preserve"> </w:t>
      </w:r>
      <w:r w:rsidR="00654E5F" w:rsidRPr="00610904">
        <w:rPr>
          <w:noProof w:val="0"/>
          <w:lang w:val="en-US"/>
        </w:rPr>
        <w:t>of the obligation to monitor and supervise the p</w:t>
      </w:r>
      <w:r w:rsidR="002310E6" w:rsidRPr="00610904">
        <w:rPr>
          <w:noProof w:val="0"/>
          <w:lang w:val="en-US"/>
        </w:rPr>
        <w:t>rovision of health care services, wit</w:t>
      </w:r>
      <w:r w:rsidR="00654E5F" w:rsidRPr="00610904">
        <w:rPr>
          <w:noProof w:val="0"/>
          <w:lang w:val="en-US"/>
        </w:rPr>
        <w:t xml:space="preserve">hin the framework of the right to </w:t>
      </w:r>
      <w:r w:rsidR="008956E2" w:rsidRPr="00610904">
        <w:rPr>
          <w:noProof w:val="0"/>
          <w:lang w:val="en-US"/>
        </w:rPr>
        <w:t>personal integrity</w:t>
      </w:r>
      <w:r w:rsidR="009F3D78" w:rsidRPr="00610904">
        <w:rPr>
          <w:noProof w:val="0"/>
          <w:lang w:val="en-US"/>
        </w:rPr>
        <w:t xml:space="preserve"> and </w:t>
      </w:r>
      <w:r w:rsidR="00654E5F" w:rsidRPr="00610904">
        <w:rPr>
          <w:noProof w:val="0"/>
          <w:lang w:val="en-US"/>
        </w:rPr>
        <w:t xml:space="preserve">of the obligation not to endanger life, which violates </w:t>
      </w:r>
      <w:r w:rsidR="009F3D78" w:rsidRPr="00610904">
        <w:rPr>
          <w:noProof w:val="0"/>
          <w:lang w:val="en-US"/>
        </w:rPr>
        <w:t>Articles</w:t>
      </w:r>
      <w:r w:rsidR="00D839BE" w:rsidRPr="00610904">
        <w:rPr>
          <w:noProof w:val="0"/>
          <w:lang w:val="en-US"/>
        </w:rPr>
        <w:t xml:space="preserve"> 4</w:t>
      </w:r>
      <w:r w:rsidR="009F3D78" w:rsidRPr="00610904">
        <w:rPr>
          <w:noProof w:val="0"/>
          <w:lang w:val="en-US"/>
        </w:rPr>
        <w:t xml:space="preserve"> and </w:t>
      </w:r>
      <w:r w:rsidR="00D839BE" w:rsidRPr="00610904">
        <w:rPr>
          <w:noProof w:val="0"/>
          <w:lang w:val="en-US"/>
        </w:rPr>
        <w:t>5</w:t>
      </w:r>
      <w:r w:rsidR="009F3D78" w:rsidRPr="00610904">
        <w:rPr>
          <w:noProof w:val="0"/>
          <w:lang w:val="en-US"/>
        </w:rPr>
        <w:t xml:space="preserve"> of the American Convention</w:t>
      </w:r>
      <w:r w:rsidR="00D839BE" w:rsidRPr="00610904">
        <w:rPr>
          <w:noProof w:val="0"/>
          <w:lang w:val="en-US"/>
        </w:rPr>
        <w:t xml:space="preserve"> </w:t>
      </w:r>
      <w:r w:rsidR="004A6E8B" w:rsidRPr="00610904">
        <w:rPr>
          <w:noProof w:val="0"/>
          <w:lang w:val="en-US"/>
        </w:rPr>
        <w:t>in relation to</w:t>
      </w:r>
      <w:r w:rsidR="00D839BE" w:rsidRPr="00610904">
        <w:rPr>
          <w:noProof w:val="0"/>
          <w:lang w:val="en-US"/>
        </w:rPr>
        <w:t xml:space="preserve"> </w:t>
      </w:r>
      <w:r w:rsidR="006E502B" w:rsidRPr="00610904">
        <w:rPr>
          <w:noProof w:val="0"/>
          <w:lang w:val="en-US"/>
        </w:rPr>
        <w:t>Article 1(1)</w:t>
      </w:r>
      <w:r w:rsidR="00D839BE" w:rsidRPr="00610904">
        <w:rPr>
          <w:noProof w:val="0"/>
          <w:lang w:val="en-US"/>
        </w:rPr>
        <w:t xml:space="preserve"> </w:t>
      </w:r>
      <w:r w:rsidR="00654E5F" w:rsidRPr="00610904">
        <w:rPr>
          <w:noProof w:val="0"/>
          <w:lang w:val="en-US"/>
        </w:rPr>
        <w:t>of this instrument.</w:t>
      </w:r>
      <w:r w:rsidR="00D839BE" w:rsidRPr="00610904">
        <w:rPr>
          <w:noProof w:val="0"/>
          <w:lang w:val="en-US"/>
        </w:rPr>
        <w:t xml:space="preserve"> </w:t>
      </w:r>
    </w:p>
    <w:bookmarkEnd w:id="96"/>
    <w:bookmarkEnd w:id="98"/>
    <w:p w:rsidR="00D839BE" w:rsidRPr="00610904" w:rsidRDefault="00D839BE" w:rsidP="00610904">
      <w:pPr>
        <w:rPr>
          <w:noProof w:val="0"/>
          <w:lang w:val="en-US"/>
        </w:rPr>
      </w:pPr>
    </w:p>
    <w:p w:rsidR="00D839BE" w:rsidRPr="00610904" w:rsidRDefault="000F35AC" w:rsidP="00610904">
      <w:pPr>
        <w:pStyle w:val="Heading2"/>
        <w:numPr>
          <w:ilvl w:val="0"/>
          <w:numId w:val="16"/>
        </w:numPr>
        <w:rPr>
          <w:noProof w:val="0"/>
          <w:lang w:val="en-US"/>
        </w:rPr>
      </w:pPr>
      <w:bookmarkStart w:id="100" w:name="_Toc429519501"/>
      <w:bookmarkStart w:id="101" w:name="_Toc443399100"/>
      <w:r w:rsidRPr="00610904">
        <w:rPr>
          <w:noProof w:val="0"/>
          <w:lang w:val="en-US"/>
        </w:rPr>
        <w:lastRenderedPageBreak/>
        <w:t>Availability, accessibility, acceptability and quality of health care within the framework of</w:t>
      </w:r>
      <w:r w:rsidR="00312B9E" w:rsidRPr="00610904">
        <w:rPr>
          <w:noProof w:val="0"/>
          <w:lang w:val="en-US"/>
        </w:rPr>
        <w:t xml:space="preserve"> the </w:t>
      </w:r>
      <w:r w:rsidR="00215C41" w:rsidRPr="00610904">
        <w:rPr>
          <w:noProof w:val="0"/>
          <w:lang w:val="en-US"/>
        </w:rPr>
        <w:t>right to life</w:t>
      </w:r>
      <w:r w:rsidR="009F3D78" w:rsidRPr="00610904">
        <w:rPr>
          <w:noProof w:val="0"/>
          <w:lang w:val="en-US"/>
        </w:rPr>
        <w:t xml:space="preserve"> </w:t>
      </w:r>
      <w:r w:rsidRPr="00610904">
        <w:rPr>
          <w:noProof w:val="0"/>
          <w:lang w:val="en-US"/>
        </w:rPr>
        <w:t>and to personal</w:t>
      </w:r>
      <w:r w:rsidR="008956E2" w:rsidRPr="00610904">
        <w:rPr>
          <w:noProof w:val="0"/>
          <w:lang w:val="en-US"/>
        </w:rPr>
        <w:t xml:space="preserve"> integrity</w:t>
      </w:r>
      <w:bookmarkEnd w:id="100"/>
      <w:bookmarkEnd w:id="101"/>
    </w:p>
    <w:p w:rsidR="00D839BE" w:rsidRPr="00610904" w:rsidRDefault="00D839BE" w:rsidP="00610904">
      <w:pPr>
        <w:rPr>
          <w:noProof w:val="0"/>
          <w:lang w:val="en-US"/>
        </w:rPr>
      </w:pPr>
    </w:p>
    <w:p w:rsidR="00D839BE" w:rsidRPr="00610904" w:rsidRDefault="000F35AC" w:rsidP="00610904">
      <w:pPr>
        <w:numPr>
          <w:ilvl w:val="0"/>
          <w:numId w:val="1"/>
        </w:numPr>
        <w:rPr>
          <w:noProof w:val="0"/>
          <w:szCs w:val="20"/>
          <w:lang w:val="en-US"/>
        </w:rPr>
      </w:pPr>
      <w:r w:rsidRPr="00610904">
        <w:rPr>
          <w:noProof w:val="0"/>
          <w:lang w:val="en-US"/>
        </w:rPr>
        <w:t>In this case,</w:t>
      </w:r>
      <w:r w:rsidR="00D839BE" w:rsidRPr="00610904">
        <w:rPr>
          <w:noProof w:val="0"/>
          <w:lang w:val="en-US"/>
        </w:rPr>
        <w:t xml:space="preserve"> a</w:t>
      </w:r>
      <w:r w:rsidRPr="00610904">
        <w:rPr>
          <w:noProof w:val="0"/>
          <w:lang w:val="en-US"/>
        </w:rPr>
        <w:t xml:space="preserve">mong other aspects related to health care, it is argued that, at different times, Talía did not received timely and appropriate care, or a pertinent treatment, and has faced obstacles </w:t>
      </w:r>
      <w:r w:rsidR="005F5ABF" w:rsidRPr="00610904">
        <w:rPr>
          <w:noProof w:val="0"/>
          <w:lang w:val="en-US"/>
        </w:rPr>
        <w:t xml:space="preserve">to obtaining </w:t>
      </w:r>
      <w:r w:rsidRPr="00610904">
        <w:rPr>
          <w:noProof w:val="0"/>
          <w:lang w:val="en-US"/>
        </w:rPr>
        <w:t>medication.</w:t>
      </w:r>
      <w:r w:rsidR="00D839BE" w:rsidRPr="00610904">
        <w:rPr>
          <w:noProof w:val="0"/>
          <w:lang w:val="en-US"/>
        </w:rPr>
        <w:t xml:space="preserve"> </w:t>
      </w:r>
    </w:p>
    <w:p w:rsidR="00D839BE" w:rsidRPr="00610904" w:rsidRDefault="00D839BE" w:rsidP="00610904">
      <w:pPr>
        <w:rPr>
          <w:noProof w:val="0"/>
          <w:szCs w:val="20"/>
          <w:lang w:val="en-US"/>
        </w:rPr>
      </w:pPr>
    </w:p>
    <w:p w:rsidR="00D839BE" w:rsidRPr="00610904" w:rsidRDefault="000F35AC" w:rsidP="00610904">
      <w:pPr>
        <w:numPr>
          <w:ilvl w:val="0"/>
          <w:numId w:val="1"/>
        </w:numPr>
        <w:rPr>
          <w:noProof w:val="0"/>
          <w:szCs w:val="20"/>
          <w:lang w:val="en-US"/>
        </w:rPr>
      </w:pPr>
      <w:r w:rsidRPr="00610904">
        <w:rPr>
          <w:noProof w:val="0"/>
          <w:lang w:val="en-US"/>
        </w:rPr>
        <w:t>In this regard, the Court notes that the</w:t>
      </w:r>
      <w:r w:rsidR="00D839BE" w:rsidRPr="00610904">
        <w:rPr>
          <w:noProof w:val="0"/>
          <w:lang w:val="en-US"/>
        </w:rPr>
        <w:t xml:space="preserve"> </w:t>
      </w:r>
      <w:r w:rsidR="00852A2E" w:rsidRPr="00610904">
        <w:rPr>
          <w:noProof w:val="0"/>
          <w:lang w:val="en-US"/>
        </w:rPr>
        <w:t>Protocol of</w:t>
      </w:r>
      <w:r w:rsidR="00D839BE" w:rsidRPr="00610904">
        <w:rPr>
          <w:noProof w:val="0"/>
          <w:lang w:val="en-US"/>
        </w:rPr>
        <w:t xml:space="preserve"> San Salvador establ</w:t>
      </w:r>
      <w:r w:rsidRPr="00610904">
        <w:rPr>
          <w:noProof w:val="0"/>
          <w:lang w:val="en-US"/>
        </w:rPr>
        <w:t>ishes that, among the measures to ensure the right to health, State</w:t>
      </w:r>
      <w:r w:rsidR="005F5ABF" w:rsidRPr="00610904">
        <w:rPr>
          <w:noProof w:val="0"/>
          <w:lang w:val="en-US"/>
        </w:rPr>
        <w:t>s</w:t>
      </w:r>
      <w:r w:rsidRPr="00610904">
        <w:rPr>
          <w:noProof w:val="0"/>
          <w:lang w:val="en-US"/>
        </w:rPr>
        <w:t xml:space="preserve"> must promote “universal immunization against the principal infectious diseases”; “pre</w:t>
      </w:r>
      <w:r w:rsidR="005F5ABF" w:rsidRPr="00610904">
        <w:rPr>
          <w:noProof w:val="0"/>
          <w:lang w:val="en-US"/>
        </w:rPr>
        <w:t>vention and treatment of endemic</w:t>
      </w:r>
      <w:r w:rsidRPr="00610904">
        <w:rPr>
          <w:noProof w:val="0"/>
          <w:lang w:val="en-US"/>
        </w:rPr>
        <w:t>, occupational and other diseases,” and “satisfaction of the health needs of the highest risk groups and of those whose poverty makes them the most vulnerable.</w:t>
      </w:r>
      <w:r w:rsidR="00D839BE" w:rsidRPr="00610904">
        <w:rPr>
          <w:noProof w:val="0"/>
          <w:lang w:val="en-US"/>
        </w:rPr>
        <w:t>”</w:t>
      </w:r>
      <w:r w:rsidR="00D839BE" w:rsidRPr="00610904">
        <w:rPr>
          <w:rStyle w:val="FootnoteReference"/>
          <w:noProof w:val="0"/>
          <w:lang w:val="en-US"/>
        </w:rPr>
        <w:footnoteReference w:id="225"/>
      </w:r>
      <w:r w:rsidRPr="00610904">
        <w:rPr>
          <w:noProof w:val="0"/>
          <w:lang w:val="en-US"/>
        </w:rPr>
        <w:t xml:space="preserve"> Similar obligations are established in</w:t>
      </w:r>
      <w:r w:rsidR="00D839BE" w:rsidRPr="00610904">
        <w:rPr>
          <w:noProof w:val="0"/>
          <w:lang w:val="en-US"/>
        </w:rPr>
        <w:t xml:space="preserve"> </w:t>
      </w:r>
      <w:r w:rsidR="009F3D78" w:rsidRPr="00610904">
        <w:rPr>
          <w:noProof w:val="0"/>
          <w:lang w:val="en-US"/>
        </w:rPr>
        <w:t>Article</w:t>
      </w:r>
      <w:r w:rsidR="00D839BE" w:rsidRPr="00610904">
        <w:rPr>
          <w:noProof w:val="0"/>
          <w:lang w:val="en-US"/>
        </w:rPr>
        <w:t xml:space="preserve"> 12(2)</w:t>
      </w:r>
      <w:r w:rsidR="00D80BC2" w:rsidRPr="00610904">
        <w:rPr>
          <w:noProof w:val="0"/>
          <w:lang w:val="en-US"/>
        </w:rPr>
        <w:t xml:space="preserve"> of the </w:t>
      </w:r>
      <w:r w:rsidR="0013395A" w:rsidRPr="00610904">
        <w:rPr>
          <w:noProof w:val="0"/>
          <w:lang w:val="en-US"/>
        </w:rPr>
        <w:t>International Covenant on Economic, Social and Cultural Rights</w:t>
      </w:r>
      <w:r w:rsidR="00D839BE" w:rsidRPr="00610904">
        <w:rPr>
          <w:noProof w:val="0"/>
          <w:lang w:val="en-US"/>
        </w:rPr>
        <w:t xml:space="preserve">. </w:t>
      </w:r>
      <w:r w:rsidRPr="00610904">
        <w:rPr>
          <w:noProof w:val="0"/>
          <w:lang w:val="en-US"/>
        </w:rPr>
        <w:t>This framework of oblig</w:t>
      </w:r>
      <w:r w:rsidR="005F5ABF" w:rsidRPr="00610904">
        <w:rPr>
          <w:noProof w:val="0"/>
          <w:lang w:val="en-US"/>
        </w:rPr>
        <w:t>a</w:t>
      </w:r>
      <w:r w:rsidRPr="00610904">
        <w:rPr>
          <w:noProof w:val="0"/>
          <w:lang w:val="en-US"/>
        </w:rPr>
        <w:t>tions includes different duties that relate to access to medication. According to General Comment No. 14, the right to the highest attainable standard of health gives rise to some minimum core obligations that include: “[t]o provide essential drugs, as from time to time defined under the WHO Action Programme on Essential Drugs.</w:t>
      </w:r>
      <w:r w:rsidR="00D839BE" w:rsidRPr="00610904">
        <w:rPr>
          <w:noProof w:val="0"/>
          <w:lang w:val="en-US"/>
        </w:rPr>
        <w:t>”</w:t>
      </w:r>
      <w:r w:rsidR="00D839BE" w:rsidRPr="00610904">
        <w:rPr>
          <w:noProof w:val="0"/>
          <w:vertAlign w:val="superscript"/>
          <w:lang w:val="en-US"/>
        </w:rPr>
        <w:footnoteReference w:id="226"/>
      </w:r>
      <w:r w:rsidR="00D839BE" w:rsidRPr="00610904">
        <w:rPr>
          <w:noProof w:val="0"/>
          <w:vertAlign w:val="superscript"/>
          <w:lang w:val="en-US"/>
        </w:rPr>
        <w:t xml:space="preserve"> </w:t>
      </w:r>
    </w:p>
    <w:p w:rsidR="00D839BE" w:rsidRPr="00610904" w:rsidRDefault="00D839BE" w:rsidP="00610904">
      <w:pPr>
        <w:rPr>
          <w:noProof w:val="0"/>
          <w:szCs w:val="20"/>
          <w:lang w:val="en-US"/>
        </w:rPr>
      </w:pPr>
    </w:p>
    <w:p w:rsidR="00D839BE" w:rsidRPr="00610904" w:rsidRDefault="000F35AC" w:rsidP="00610904">
      <w:pPr>
        <w:numPr>
          <w:ilvl w:val="0"/>
          <w:numId w:val="1"/>
        </w:numPr>
        <w:rPr>
          <w:noProof w:val="0"/>
          <w:szCs w:val="20"/>
          <w:lang w:val="en-US"/>
        </w:rPr>
      </w:pPr>
      <w:r w:rsidRPr="00610904">
        <w:rPr>
          <w:noProof w:val="0"/>
          <w:lang w:val="en-US"/>
        </w:rPr>
        <w:t>Access to medicines is an essential part of the enjoyment of the highest attainable standard of health.</w:t>
      </w:r>
      <w:r w:rsidR="00D839BE" w:rsidRPr="00610904">
        <w:rPr>
          <w:noProof w:val="0"/>
          <w:vertAlign w:val="superscript"/>
          <w:lang w:val="en-US"/>
        </w:rPr>
        <w:footnoteReference w:id="227"/>
      </w:r>
      <w:r w:rsidR="00D839BE" w:rsidRPr="00610904">
        <w:rPr>
          <w:noProof w:val="0"/>
          <w:vertAlign w:val="superscript"/>
          <w:lang w:val="en-US"/>
        </w:rPr>
        <w:t xml:space="preserve"> </w:t>
      </w:r>
      <w:r w:rsidRPr="00610904">
        <w:rPr>
          <w:noProof w:val="0"/>
          <w:lang w:val="en-US"/>
        </w:rPr>
        <w:t>I</w:t>
      </w:r>
      <w:r w:rsidR="00D839BE" w:rsidRPr="00610904">
        <w:rPr>
          <w:noProof w:val="0"/>
          <w:lang w:val="en-US"/>
        </w:rPr>
        <w:t xml:space="preserve">n particular, </w:t>
      </w:r>
      <w:r w:rsidRPr="00610904">
        <w:rPr>
          <w:noProof w:val="0"/>
          <w:lang w:val="en-US"/>
        </w:rPr>
        <w:t>the Human Rights Council</w:t>
      </w:r>
      <w:r w:rsidR="009F3D78" w:rsidRPr="00610904">
        <w:rPr>
          <w:noProof w:val="0"/>
          <w:lang w:val="en-US"/>
        </w:rPr>
        <w:t xml:space="preserve"> and </w:t>
      </w:r>
      <w:r w:rsidRPr="00610904">
        <w:rPr>
          <w:noProof w:val="0"/>
          <w:lang w:val="en-US"/>
        </w:rPr>
        <w:t xml:space="preserve">the former Human Rights Commission have issued resolutions that recognized that “access to </w:t>
      </w:r>
      <w:r w:rsidR="004150B2" w:rsidRPr="00610904">
        <w:rPr>
          <w:noProof w:val="0"/>
          <w:lang w:val="en-US"/>
        </w:rPr>
        <w:t>medication</w:t>
      </w:r>
      <w:r w:rsidRPr="00610904">
        <w:rPr>
          <w:noProof w:val="0"/>
          <w:lang w:val="en-US"/>
        </w:rPr>
        <w:t xml:space="preserve"> in the context of pandemics such </w:t>
      </w:r>
      <w:r w:rsidR="00A8072E" w:rsidRPr="00610904">
        <w:rPr>
          <w:noProof w:val="0"/>
          <w:lang w:val="en-US"/>
        </w:rPr>
        <w:t>HIV</w:t>
      </w:r>
      <w:r w:rsidR="00D839BE" w:rsidRPr="00610904">
        <w:rPr>
          <w:noProof w:val="0"/>
          <w:lang w:val="en-US"/>
        </w:rPr>
        <w:t>/</w:t>
      </w:r>
      <w:r w:rsidR="00A8072E" w:rsidRPr="00610904">
        <w:rPr>
          <w:noProof w:val="0"/>
          <w:lang w:val="en-US"/>
        </w:rPr>
        <w:t>AIDS</w:t>
      </w:r>
      <w:r w:rsidR="00D839BE" w:rsidRPr="00610904">
        <w:rPr>
          <w:noProof w:val="0"/>
          <w:lang w:val="en-US"/>
        </w:rPr>
        <w:t>, tuberculosis</w:t>
      </w:r>
      <w:r w:rsidR="009F3D78" w:rsidRPr="00610904">
        <w:rPr>
          <w:noProof w:val="0"/>
          <w:lang w:val="en-US"/>
        </w:rPr>
        <w:t xml:space="preserve"> and </w:t>
      </w:r>
      <w:r w:rsidR="004150B2" w:rsidRPr="00610904">
        <w:rPr>
          <w:noProof w:val="0"/>
          <w:lang w:val="en-US"/>
        </w:rPr>
        <w:t>malaria, is one fundamental element for achieving progressively the full realization</w:t>
      </w:r>
      <w:r w:rsidRPr="00610904">
        <w:rPr>
          <w:noProof w:val="0"/>
          <w:lang w:val="en-US"/>
        </w:rPr>
        <w:t xml:space="preserve"> </w:t>
      </w:r>
      <w:r w:rsidR="004150B2" w:rsidRPr="00610904">
        <w:rPr>
          <w:noProof w:val="0"/>
          <w:lang w:val="en-US"/>
        </w:rPr>
        <w:t>of the right of everyone to the enjoyment of the highest attainable standard of physical and mental health.</w:t>
      </w:r>
      <w:r w:rsidR="00D839BE" w:rsidRPr="00610904">
        <w:rPr>
          <w:noProof w:val="0"/>
          <w:lang w:val="en-US"/>
        </w:rPr>
        <w:t>”</w:t>
      </w:r>
      <w:r w:rsidR="00D839BE" w:rsidRPr="00610904">
        <w:rPr>
          <w:noProof w:val="0"/>
          <w:vertAlign w:val="superscript"/>
          <w:lang w:val="en-US"/>
        </w:rPr>
        <w:footnoteReference w:id="228"/>
      </w:r>
    </w:p>
    <w:p w:rsidR="00D839BE" w:rsidRPr="00610904" w:rsidRDefault="00D839BE" w:rsidP="00610904">
      <w:pPr>
        <w:rPr>
          <w:noProof w:val="0"/>
          <w:szCs w:val="20"/>
          <w:lang w:val="en-US"/>
        </w:rPr>
      </w:pPr>
    </w:p>
    <w:p w:rsidR="00D839BE" w:rsidRPr="00610904" w:rsidRDefault="004150B2" w:rsidP="00610904">
      <w:pPr>
        <w:numPr>
          <w:ilvl w:val="0"/>
          <w:numId w:val="1"/>
        </w:numPr>
        <w:rPr>
          <w:noProof w:val="0"/>
          <w:szCs w:val="20"/>
          <w:lang w:val="en-US"/>
        </w:rPr>
      </w:pPr>
      <w:r w:rsidRPr="00610904">
        <w:rPr>
          <w:noProof w:val="0"/>
          <w:lang w:val="en-US"/>
        </w:rPr>
        <w:t xml:space="preserve">In this regard, the Court considers that the </w:t>
      </w:r>
      <w:r w:rsidRPr="00610904">
        <w:rPr>
          <w:i/>
          <w:iCs/>
          <w:noProof w:val="0"/>
          <w:lang w:val="en-US"/>
        </w:rPr>
        <w:t xml:space="preserve">International Guidelines on </w:t>
      </w:r>
      <w:r w:rsidR="00A8072E" w:rsidRPr="00610904">
        <w:rPr>
          <w:i/>
          <w:iCs/>
          <w:noProof w:val="0"/>
          <w:lang w:val="en-US"/>
        </w:rPr>
        <w:t>HIV</w:t>
      </w:r>
      <w:r w:rsidR="00D839BE" w:rsidRPr="00610904">
        <w:rPr>
          <w:i/>
          <w:iCs/>
          <w:noProof w:val="0"/>
          <w:lang w:val="en-US"/>
        </w:rPr>
        <w:t>/</w:t>
      </w:r>
      <w:r w:rsidR="00A8072E" w:rsidRPr="00610904">
        <w:rPr>
          <w:i/>
          <w:iCs/>
          <w:noProof w:val="0"/>
          <w:lang w:val="en-US"/>
        </w:rPr>
        <w:t>AIDS</w:t>
      </w:r>
      <w:r w:rsidR="009F3D78" w:rsidRPr="00610904">
        <w:rPr>
          <w:i/>
          <w:iCs/>
          <w:noProof w:val="0"/>
          <w:lang w:val="en-US"/>
        </w:rPr>
        <w:t xml:space="preserve"> and </w:t>
      </w:r>
      <w:r w:rsidRPr="00610904">
        <w:rPr>
          <w:i/>
          <w:iCs/>
          <w:noProof w:val="0"/>
          <w:lang w:val="en-US"/>
        </w:rPr>
        <w:t xml:space="preserve"> Human Rights </w:t>
      </w:r>
      <w:r w:rsidRPr="00610904">
        <w:rPr>
          <w:noProof w:val="0"/>
          <w:lang w:val="en-US"/>
        </w:rPr>
        <w:t>of the</w:t>
      </w:r>
      <w:r w:rsidR="00D839BE" w:rsidRPr="00610904">
        <w:rPr>
          <w:noProof w:val="0"/>
          <w:lang w:val="en-US"/>
        </w:rPr>
        <w:t xml:space="preserve"> Of</w:t>
      </w:r>
      <w:r w:rsidR="008357AC" w:rsidRPr="00610904">
        <w:rPr>
          <w:noProof w:val="0"/>
          <w:lang w:val="en-US"/>
        </w:rPr>
        <w:t xml:space="preserve">fice of the United Nations High Commissioner for Human Rights </w:t>
      </w:r>
      <w:r w:rsidR="00D839BE" w:rsidRPr="00610904">
        <w:rPr>
          <w:noProof w:val="0"/>
          <w:lang w:val="en-US"/>
        </w:rPr>
        <w:t>(</w:t>
      </w:r>
      <w:r w:rsidR="009F3D78" w:rsidRPr="00610904">
        <w:rPr>
          <w:noProof w:val="0"/>
          <w:lang w:val="en-US"/>
        </w:rPr>
        <w:t>hereinafter</w:t>
      </w:r>
      <w:r w:rsidR="00D839BE" w:rsidRPr="00610904">
        <w:rPr>
          <w:noProof w:val="0"/>
          <w:lang w:val="en-US"/>
        </w:rPr>
        <w:t xml:space="preserve"> “</w:t>
      </w:r>
      <w:r w:rsidR="008357AC" w:rsidRPr="00610904">
        <w:rPr>
          <w:noProof w:val="0"/>
          <w:lang w:val="en-US"/>
        </w:rPr>
        <w:t>OHCHR</w:t>
      </w:r>
      <w:r w:rsidR="00D839BE" w:rsidRPr="00610904">
        <w:rPr>
          <w:noProof w:val="0"/>
          <w:lang w:val="en-US"/>
        </w:rPr>
        <w:t>”)</w:t>
      </w:r>
      <w:r w:rsidR="009F3D78" w:rsidRPr="00610904">
        <w:rPr>
          <w:noProof w:val="0"/>
          <w:lang w:val="en-US"/>
        </w:rPr>
        <w:t xml:space="preserve"> and </w:t>
      </w:r>
      <w:r w:rsidR="008357AC" w:rsidRPr="00610904">
        <w:rPr>
          <w:noProof w:val="0"/>
          <w:lang w:val="en-US"/>
        </w:rPr>
        <w:t xml:space="preserve">the Joint </w:t>
      </w:r>
      <w:r w:rsidR="00A8072E" w:rsidRPr="00610904">
        <w:rPr>
          <w:noProof w:val="0"/>
          <w:lang w:val="en-US"/>
        </w:rPr>
        <w:t>United Nations</w:t>
      </w:r>
      <w:r w:rsidRPr="00610904">
        <w:rPr>
          <w:noProof w:val="0"/>
          <w:lang w:val="en-US"/>
        </w:rPr>
        <w:t xml:space="preserve"> Programme</w:t>
      </w:r>
      <w:r w:rsidR="00D839BE" w:rsidRPr="00610904">
        <w:rPr>
          <w:noProof w:val="0"/>
          <w:lang w:val="en-US"/>
        </w:rPr>
        <w:t xml:space="preserve"> </w:t>
      </w:r>
      <w:r w:rsidR="008357AC" w:rsidRPr="00610904">
        <w:rPr>
          <w:noProof w:val="0"/>
          <w:lang w:val="en-US"/>
        </w:rPr>
        <w:t>on</w:t>
      </w:r>
      <w:r w:rsidR="00D839BE" w:rsidRPr="00610904">
        <w:rPr>
          <w:noProof w:val="0"/>
          <w:lang w:val="en-US"/>
        </w:rPr>
        <w:t xml:space="preserve"> </w:t>
      </w:r>
      <w:r w:rsidR="00A8072E" w:rsidRPr="00610904">
        <w:rPr>
          <w:noProof w:val="0"/>
          <w:lang w:val="en-US"/>
        </w:rPr>
        <w:t>HIV</w:t>
      </w:r>
      <w:r w:rsidR="00D839BE" w:rsidRPr="00610904">
        <w:rPr>
          <w:noProof w:val="0"/>
          <w:lang w:val="en-US"/>
        </w:rPr>
        <w:t>/</w:t>
      </w:r>
      <w:r w:rsidR="00A8072E" w:rsidRPr="00610904">
        <w:rPr>
          <w:noProof w:val="0"/>
          <w:lang w:val="en-US"/>
        </w:rPr>
        <w:t>AIDS</w:t>
      </w:r>
      <w:r w:rsidR="00D839BE" w:rsidRPr="00610904">
        <w:rPr>
          <w:noProof w:val="0"/>
          <w:lang w:val="en-US"/>
        </w:rPr>
        <w:t xml:space="preserve"> (</w:t>
      </w:r>
      <w:r w:rsidR="009F3D78" w:rsidRPr="00610904">
        <w:rPr>
          <w:noProof w:val="0"/>
          <w:lang w:val="en-US"/>
        </w:rPr>
        <w:t>hereinafter</w:t>
      </w:r>
      <w:r w:rsidR="00D839BE" w:rsidRPr="00610904">
        <w:rPr>
          <w:noProof w:val="0"/>
          <w:lang w:val="en-US"/>
        </w:rPr>
        <w:t xml:space="preserve"> “</w:t>
      </w:r>
      <w:r w:rsidR="008357AC" w:rsidRPr="00610904">
        <w:rPr>
          <w:noProof w:val="0"/>
          <w:lang w:val="en-US"/>
        </w:rPr>
        <w:t>UNAIDS</w:t>
      </w:r>
      <w:r w:rsidR="00D839BE" w:rsidRPr="00610904">
        <w:rPr>
          <w:noProof w:val="0"/>
          <w:lang w:val="en-US"/>
        </w:rPr>
        <w:t>”)</w:t>
      </w:r>
      <w:r w:rsidR="00D839BE" w:rsidRPr="00610904">
        <w:rPr>
          <w:noProof w:val="0"/>
          <w:szCs w:val="20"/>
          <w:lang w:val="en-US"/>
        </w:rPr>
        <w:t xml:space="preserve"> </w:t>
      </w:r>
      <w:r w:rsidRPr="00610904">
        <w:rPr>
          <w:noProof w:val="0"/>
          <w:szCs w:val="20"/>
          <w:lang w:val="en-US"/>
        </w:rPr>
        <w:t>are</w:t>
      </w:r>
      <w:r w:rsidR="005F5ABF" w:rsidRPr="00610904">
        <w:rPr>
          <w:noProof w:val="0"/>
          <w:szCs w:val="20"/>
          <w:lang w:val="en-US"/>
        </w:rPr>
        <w:t xml:space="preserve"> an authorized reference</w:t>
      </w:r>
      <w:r w:rsidRPr="00610904">
        <w:rPr>
          <w:noProof w:val="0"/>
          <w:szCs w:val="20"/>
          <w:lang w:val="en-US"/>
        </w:rPr>
        <w:t xml:space="preserve"> to clarify some State obliga</w:t>
      </w:r>
      <w:r w:rsidR="005F5ABF" w:rsidRPr="00610904">
        <w:rPr>
          <w:noProof w:val="0"/>
          <w:szCs w:val="20"/>
          <w:lang w:val="en-US"/>
        </w:rPr>
        <w:t>tions in this matter. Guideline</w:t>
      </w:r>
      <w:r w:rsidRPr="00610904">
        <w:rPr>
          <w:noProof w:val="0"/>
          <w:szCs w:val="20"/>
          <w:lang w:val="en-US"/>
        </w:rPr>
        <w:t xml:space="preserve"> 6 (as revised in 2002), stipulates that:</w:t>
      </w:r>
    </w:p>
    <w:p w:rsidR="00D839BE" w:rsidRPr="00610904" w:rsidRDefault="00D839BE" w:rsidP="00610904">
      <w:pPr>
        <w:autoSpaceDE w:val="0"/>
        <w:autoSpaceDN w:val="0"/>
        <w:adjustRightInd w:val="0"/>
        <w:rPr>
          <w:rFonts w:cs="Arial"/>
          <w:noProof w:val="0"/>
          <w:spacing w:val="-2"/>
          <w:lang w:val="en-US"/>
        </w:rPr>
      </w:pPr>
    </w:p>
    <w:p w:rsidR="00D839BE" w:rsidRPr="00610904" w:rsidRDefault="004150B2" w:rsidP="003D3ABA">
      <w:pPr>
        <w:ind w:left="720" w:right="475"/>
        <w:rPr>
          <w:rFonts w:cs="Times New Roman"/>
          <w:noProof w:val="0"/>
          <w:sz w:val="16"/>
          <w:szCs w:val="16"/>
          <w:lang w:val="en-US"/>
        </w:rPr>
      </w:pPr>
      <w:r w:rsidRPr="00610904">
        <w:rPr>
          <w:noProof w:val="0"/>
          <w:sz w:val="16"/>
          <w:szCs w:val="16"/>
          <w:lang w:val="en-US"/>
        </w:rPr>
        <w:t xml:space="preserve">States should enact legislation to provide for the regulation of HIV-related goods, services and information, so as to ensure widespread availability of quality prevention measures and services, adequate HIV prevention and care information, and safe and effective medication at an affordable </w:t>
      </w:r>
      <w:r w:rsidRPr="00610904">
        <w:rPr>
          <w:noProof w:val="0"/>
          <w:sz w:val="16"/>
          <w:szCs w:val="16"/>
          <w:lang w:val="en-US"/>
        </w:rPr>
        <w:lastRenderedPageBreak/>
        <w:t>price. States should also take measures necessary to ensure for all persons, on a sustained and equal basis, the availability and accessibility of quality goods, services and information for HIV prevention, treatment, care and support, including antiretroviral and other safe and effective medicines, diagnostics and related technologies for preventive, curative and palliative care of HIV and related opportunistic infections and conditions.</w:t>
      </w:r>
      <w:r w:rsidR="00D839BE" w:rsidRPr="00610904">
        <w:rPr>
          <w:noProof w:val="0"/>
          <w:sz w:val="16"/>
          <w:szCs w:val="16"/>
          <w:lang w:val="en-US"/>
        </w:rPr>
        <w:t xml:space="preserve"> […]</w:t>
      </w:r>
      <w:r w:rsidR="00A85684" w:rsidRPr="00610904">
        <w:rPr>
          <w:rStyle w:val="FootnoteReference"/>
          <w:noProof w:val="0"/>
          <w:sz w:val="16"/>
          <w:lang w:val="en-US"/>
        </w:rPr>
        <w:footnoteReference w:id="229"/>
      </w:r>
    </w:p>
    <w:p w:rsidR="00D839BE" w:rsidRPr="00610904" w:rsidRDefault="00D839BE" w:rsidP="00610904">
      <w:pPr>
        <w:tabs>
          <w:tab w:val="right" w:leader="dot" w:pos="8222"/>
        </w:tabs>
        <w:ind w:left="540"/>
        <w:rPr>
          <w:noProof w:val="0"/>
          <w:sz w:val="16"/>
          <w:szCs w:val="16"/>
          <w:lang w:val="en-US"/>
        </w:rPr>
      </w:pPr>
    </w:p>
    <w:p w:rsidR="00D839BE" w:rsidRPr="00610904" w:rsidRDefault="005F5ABF" w:rsidP="00610904">
      <w:pPr>
        <w:numPr>
          <w:ilvl w:val="0"/>
          <w:numId w:val="1"/>
        </w:numPr>
        <w:autoSpaceDE w:val="0"/>
        <w:autoSpaceDN w:val="0"/>
        <w:adjustRightInd w:val="0"/>
        <w:contextualSpacing/>
        <w:rPr>
          <w:rFonts w:cs="Arial"/>
          <w:noProof w:val="0"/>
          <w:spacing w:val="-2"/>
          <w:lang w:val="en-US"/>
        </w:rPr>
      </w:pPr>
      <w:r w:rsidRPr="00610904">
        <w:rPr>
          <w:noProof w:val="0"/>
          <w:lang w:val="en-US"/>
        </w:rPr>
        <w:t>Guideline</w:t>
      </w:r>
      <w:r w:rsidR="004150B2" w:rsidRPr="00610904">
        <w:rPr>
          <w:noProof w:val="0"/>
          <w:lang w:val="en-US"/>
        </w:rPr>
        <w:t xml:space="preserve"> 6 has been interpreted by </w:t>
      </w:r>
      <w:r w:rsidR="008357AC" w:rsidRPr="00610904">
        <w:rPr>
          <w:noProof w:val="0"/>
          <w:lang w:val="en-US"/>
        </w:rPr>
        <w:t>OHCHR</w:t>
      </w:r>
      <w:r w:rsidR="009F3D78" w:rsidRPr="00610904">
        <w:rPr>
          <w:noProof w:val="0"/>
          <w:lang w:val="en-US"/>
        </w:rPr>
        <w:t xml:space="preserve"> and </w:t>
      </w:r>
      <w:r w:rsidR="008357AC" w:rsidRPr="00610904">
        <w:rPr>
          <w:noProof w:val="0"/>
          <w:lang w:val="en-US"/>
        </w:rPr>
        <w:t>UNAIDS</w:t>
      </w:r>
      <w:r w:rsidR="00D839BE" w:rsidRPr="00610904">
        <w:rPr>
          <w:noProof w:val="0"/>
          <w:lang w:val="en-US"/>
        </w:rPr>
        <w:t xml:space="preserve"> </w:t>
      </w:r>
      <w:r w:rsidR="004150B2" w:rsidRPr="00610904">
        <w:rPr>
          <w:noProof w:val="0"/>
          <w:lang w:val="en-US"/>
        </w:rPr>
        <w:t xml:space="preserve">in the sense that an effective response to HIV requires a comprehensive approach </w:t>
      </w:r>
      <w:r w:rsidR="00545F2A" w:rsidRPr="00610904">
        <w:rPr>
          <w:noProof w:val="0"/>
          <w:lang w:val="en-US"/>
        </w:rPr>
        <w:t>that includes a continuum</w:t>
      </w:r>
      <w:r w:rsidR="004150B2" w:rsidRPr="00610904">
        <w:rPr>
          <w:noProof w:val="0"/>
          <w:lang w:val="en-US"/>
        </w:rPr>
        <w:t xml:space="preserve"> of prevention, treatment, care and support</w:t>
      </w:r>
      <w:r w:rsidR="00D839BE" w:rsidRPr="00610904">
        <w:rPr>
          <w:noProof w:val="0"/>
          <w:lang w:val="en-US"/>
        </w:rPr>
        <w:t>:</w:t>
      </w:r>
    </w:p>
    <w:p w:rsidR="002C5A54" w:rsidRPr="00610904" w:rsidRDefault="002C5A54" w:rsidP="00610904">
      <w:pPr>
        <w:autoSpaceDE w:val="0"/>
        <w:autoSpaceDN w:val="0"/>
        <w:adjustRightInd w:val="0"/>
        <w:rPr>
          <w:rFonts w:cs="Arial"/>
          <w:noProof w:val="0"/>
          <w:spacing w:val="-2"/>
          <w:lang w:val="en-US"/>
        </w:rPr>
      </w:pPr>
    </w:p>
    <w:p w:rsidR="002C5A54" w:rsidRPr="00610904" w:rsidRDefault="002C5A54" w:rsidP="003D3ABA">
      <w:pPr>
        <w:ind w:left="540" w:right="475"/>
        <w:rPr>
          <w:noProof w:val="0"/>
          <w:sz w:val="16"/>
          <w:szCs w:val="16"/>
          <w:lang w:val="en-US"/>
        </w:rPr>
      </w:pPr>
      <w:r w:rsidRPr="00610904">
        <w:rPr>
          <w:noProof w:val="0"/>
          <w:sz w:val="16"/>
          <w:szCs w:val="16"/>
          <w:lang w:val="en-US"/>
        </w:rPr>
        <w:t>Prevention, treatment, care and support are mutually reinforcing elements and a continuum of an effective response to HIV. They must be integrated into a comprehensive approach, a</w:t>
      </w:r>
      <w:r w:rsidR="005F5ABF" w:rsidRPr="00610904">
        <w:rPr>
          <w:noProof w:val="0"/>
          <w:sz w:val="16"/>
          <w:szCs w:val="16"/>
          <w:lang w:val="en-US"/>
        </w:rPr>
        <w:t>n</w:t>
      </w:r>
      <w:r w:rsidRPr="00610904">
        <w:rPr>
          <w:noProof w:val="0"/>
          <w:sz w:val="16"/>
          <w:szCs w:val="16"/>
          <w:lang w:val="en-US"/>
        </w:rPr>
        <w:t>d a multifaceted response is needed. Comprehensive treatment, care and support include antiretroviral and other medicines, diagnostic and related technologies for the care of HIV and AIDS, related opportunistic infections and other conditions, good nutrition, and soci</w:t>
      </w:r>
      <w:r w:rsidR="005F5ABF" w:rsidRPr="00610904">
        <w:rPr>
          <w:noProof w:val="0"/>
          <w:sz w:val="16"/>
          <w:szCs w:val="16"/>
          <w:lang w:val="en-US"/>
        </w:rPr>
        <w:t>a</w:t>
      </w:r>
      <w:r w:rsidRPr="00610904">
        <w:rPr>
          <w:noProof w:val="0"/>
          <w:sz w:val="16"/>
          <w:szCs w:val="16"/>
          <w:lang w:val="en-US"/>
        </w:rPr>
        <w:t>l, spiritual and psychological support, as well as family, community and home-based care. HIV-prevention technologies include condoms, lubricants, sterile injection equipment, antiretroviral medicines (e.g. to prevent mother-to-child transmission or as post-expos</w:t>
      </w:r>
      <w:r w:rsidR="005F5ABF" w:rsidRPr="00610904">
        <w:rPr>
          <w:noProof w:val="0"/>
          <w:sz w:val="16"/>
          <w:szCs w:val="16"/>
          <w:lang w:val="en-US"/>
        </w:rPr>
        <w:t>ur</w:t>
      </w:r>
      <w:r w:rsidRPr="00610904">
        <w:rPr>
          <w:noProof w:val="0"/>
          <w:sz w:val="16"/>
          <w:szCs w:val="16"/>
          <w:lang w:val="en-US"/>
        </w:rPr>
        <w:t>e prophylaxis) and, once developed, safe and effective microbicides and vaccines. Based on human rights principles, universal access requires that these goods, services and information no</w:t>
      </w:r>
      <w:r w:rsidR="005F5ABF" w:rsidRPr="00610904">
        <w:rPr>
          <w:noProof w:val="0"/>
          <w:sz w:val="16"/>
          <w:szCs w:val="16"/>
          <w:lang w:val="en-US"/>
        </w:rPr>
        <w:t>t</w:t>
      </w:r>
      <w:r w:rsidRPr="00610904">
        <w:rPr>
          <w:noProof w:val="0"/>
          <w:sz w:val="16"/>
          <w:szCs w:val="16"/>
          <w:lang w:val="en-US"/>
        </w:rPr>
        <w:t xml:space="preserve"> only be available, acceptable and of good quality, but also within physical reach and affordable for all.</w:t>
      </w:r>
      <w:r w:rsidRPr="00610904">
        <w:rPr>
          <w:rStyle w:val="FootnoteReference"/>
          <w:noProof w:val="0"/>
          <w:sz w:val="16"/>
          <w:lang w:val="en-US"/>
        </w:rPr>
        <w:footnoteReference w:id="230"/>
      </w:r>
    </w:p>
    <w:p w:rsidR="002C5A54" w:rsidRPr="00610904" w:rsidRDefault="002C5A54" w:rsidP="00610904">
      <w:pPr>
        <w:autoSpaceDE w:val="0"/>
        <w:autoSpaceDN w:val="0"/>
        <w:adjustRightInd w:val="0"/>
        <w:contextualSpacing/>
        <w:rPr>
          <w:rFonts w:cs="Arial"/>
          <w:noProof w:val="0"/>
          <w:spacing w:val="-2"/>
          <w:lang w:val="en-US"/>
        </w:rPr>
      </w:pPr>
    </w:p>
    <w:p w:rsidR="00D839BE" w:rsidRPr="00610904" w:rsidRDefault="002C5A54" w:rsidP="00610904">
      <w:pPr>
        <w:numPr>
          <w:ilvl w:val="0"/>
          <w:numId w:val="1"/>
        </w:numPr>
        <w:autoSpaceDE w:val="0"/>
        <w:autoSpaceDN w:val="0"/>
        <w:adjustRightInd w:val="0"/>
        <w:contextualSpacing/>
        <w:rPr>
          <w:rFonts w:cs="Arial"/>
          <w:noProof w:val="0"/>
          <w:spacing w:val="-2"/>
          <w:lang w:val="en-US"/>
        </w:rPr>
      </w:pPr>
      <w:r w:rsidRPr="00610904">
        <w:rPr>
          <w:noProof w:val="0"/>
          <w:lang w:val="en-US"/>
        </w:rPr>
        <w:t xml:space="preserve">The Court observes that these standards emphasize that access to antiretroviral </w:t>
      </w:r>
      <w:r w:rsidR="005F5ABF" w:rsidRPr="00610904">
        <w:rPr>
          <w:noProof w:val="0"/>
          <w:lang w:val="en-US"/>
        </w:rPr>
        <w:t xml:space="preserve">medicines </w:t>
      </w:r>
      <w:r w:rsidRPr="00610904">
        <w:rPr>
          <w:noProof w:val="0"/>
          <w:lang w:val="en-US"/>
        </w:rPr>
        <w:t>is only one of the elements of an effective response for persons living with HIV. Thus, those living</w:t>
      </w:r>
      <w:r w:rsidR="005F5ABF" w:rsidRPr="00610904">
        <w:rPr>
          <w:rFonts w:cs="Arial"/>
          <w:noProof w:val="0"/>
          <w:spacing w:val="-2"/>
          <w:lang w:val="en-US"/>
        </w:rPr>
        <w:t xml:space="preserve"> </w:t>
      </w:r>
      <w:r w:rsidR="00545F2A" w:rsidRPr="00610904">
        <w:rPr>
          <w:noProof w:val="0"/>
          <w:lang w:val="en-US"/>
        </w:rPr>
        <w:t xml:space="preserve">with HIV require a comprehensive approach that includes a continuum of prevention, treatment, care and support. A limited response as regards </w:t>
      </w:r>
      <w:r w:rsidR="00856968" w:rsidRPr="00610904">
        <w:rPr>
          <w:noProof w:val="0"/>
          <w:lang w:val="en-US"/>
        </w:rPr>
        <w:t>access</w:t>
      </w:r>
      <w:r w:rsidR="00545F2A" w:rsidRPr="00610904">
        <w:rPr>
          <w:noProof w:val="0"/>
          <w:lang w:val="en-US"/>
        </w:rPr>
        <w:t xml:space="preserve"> to </w:t>
      </w:r>
      <w:r w:rsidR="00856968" w:rsidRPr="00610904">
        <w:rPr>
          <w:noProof w:val="0"/>
          <w:lang w:val="en-US"/>
        </w:rPr>
        <w:t>antiretroviral</w:t>
      </w:r>
      <w:r w:rsidR="00545F2A" w:rsidRPr="00610904">
        <w:rPr>
          <w:noProof w:val="0"/>
          <w:lang w:val="en-US"/>
        </w:rPr>
        <w:t xml:space="preserve"> drugs and other medicines does not comply with the obligations of prevention, treatment, care and support arising from the right to the highest attainable standard of health.</w:t>
      </w:r>
      <w:r w:rsidR="00D839BE" w:rsidRPr="00610904">
        <w:rPr>
          <w:rStyle w:val="FootnoteReference"/>
          <w:noProof w:val="0"/>
          <w:lang w:val="en-US"/>
        </w:rPr>
        <w:footnoteReference w:id="231"/>
      </w:r>
      <w:r w:rsidR="00545F2A" w:rsidRPr="00610904">
        <w:rPr>
          <w:noProof w:val="0"/>
          <w:lang w:val="en-US"/>
        </w:rPr>
        <w:t xml:space="preserve"> These aspects of the quality of health</w:t>
      </w:r>
      <w:r w:rsidR="00D839BE" w:rsidRPr="00610904">
        <w:rPr>
          <w:rStyle w:val="FootnoteReference"/>
          <w:noProof w:val="0"/>
          <w:lang w:val="en-US"/>
        </w:rPr>
        <w:footnoteReference w:id="232"/>
      </w:r>
      <w:r w:rsidR="00D839BE" w:rsidRPr="00610904">
        <w:rPr>
          <w:noProof w:val="0"/>
          <w:lang w:val="en-US"/>
        </w:rPr>
        <w:t xml:space="preserve"> </w:t>
      </w:r>
      <w:r w:rsidR="00545F2A" w:rsidRPr="00610904">
        <w:rPr>
          <w:noProof w:val="0"/>
          <w:lang w:val="en-US"/>
        </w:rPr>
        <w:t>are related to the State obligation</w:t>
      </w:r>
      <w:r w:rsidRPr="00610904">
        <w:rPr>
          <w:noProof w:val="0"/>
          <w:lang w:val="en-US"/>
        </w:rPr>
        <w:t xml:space="preserve"> to </w:t>
      </w:r>
      <w:r w:rsidRPr="00610904">
        <w:rPr>
          <w:noProof w:val="0"/>
          <w:lang w:val="en-US"/>
        </w:rPr>
        <w:lastRenderedPageBreak/>
        <w:t>ensure</w:t>
      </w:r>
      <w:r w:rsidR="00545F2A" w:rsidRPr="00610904">
        <w:rPr>
          <w:noProof w:val="0"/>
          <w:lang w:val="en-US"/>
        </w:rPr>
        <w:t xml:space="preserve"> </w:t>
      </w:r>
      <w:r w:rsidRPr="00610904">
        <w:rPr>
          <w:noProof w:val="0"/>
          <w:szCs w:val="20"/>
          <w:lang w:val="en-US"/>
        </w:rPr>
        <w:t>“safe and secure environments, especially for young girls, expanding good quality youth-friendly information and sexual health education and counselling services, strengthening reproductive and sexual health programmes, and involving families and young people in planning, implementing and evaluating HIV and AIDS prevention and care programmes, to the extent possible.</w:t>
      </w:r>
      <w:r w:rsidR="00D839BE" w:rsidRPr="00610904">
        <w:rPr>
          <w:noProof w:val="0"/>
          <w:lang w:val="en-US"/>
        </w:rPr>
        <w:t>”</w:t>
      </w:r>
      <w:r w:rsidR="00D839BE" w:rsidRPr="00610904">
        <w:rPr>
          <w:noProof w:val="0"/>
          <w:vertAlign w:val="superscript"/>
          <w:lang w:val="en-US"/>
        </w:rPr>
        <w:footnoteReference w:id="233"/>
      </w:r>
      <w:r w:rsidR="00D839BE" w:rsidRPr="00610904">
        <w:rPr>
          <w:noProof w:val="0"/>
          <w:vertAlign w:val="superscript"/>
          <w:lang w:val="en-US"/>
        </w:rPr>
        <w:t xml:space="preserve"> </w:t>
      </w:r>
    </w:p>
    <w:p w:rsidR="00D839BE" w:rsidRPr="00610904" w:rsidRDefault="00D839BE" w:rsidP="00610904">
      <w:pPr>
        <w:autoSpaceDE w:val="0"/>
        <w:autoSpaceDN w:val="0"/>
        <w:adjustRightInd w:val="0"/>
        <w:rPr>
          <w:rFonts w:cs="Arial"/>
          <w:noProof w:val="0"/>
          <w:spacing w:val="-2"/>
          <w:highlight w:val="green"/>
          <w:lang w:val="en-US"/>
        </w:rPr>
      </w:pPr>
    </w:p>
    <w:p w:rsidR="00D839BE" w:rsidRPr="00610904" w:rsidRDefault="002C5A54" w:rsidP="00610904">
      <w:pPr>
        <w:numPr>
          <w:ilvl w:val="0"/>
          <w:numId w:val="1"/>
        </w:numPr>
        <w:autoSpaceDE w:val="0"/>
        <w:autoSpaceDN w:val="0"/>
        <w:adjustRightInd w:val="0"/>
        <w:contextualSpacing/>
        <w:rPr>
          <w:rFonts w:cs="Arial"/>
          <w:noProof w:val="0"/>
          <w:spacing w:val="-2"/>
          <w:lang w:val="en-US"/>
        </w:rPr>
      </w:pPr>
      <w:r w:rsidRPr="00610904">
        <w:rPr>
          <w:noProof w:val="0"/>
          <w:lang w:val="en-US"/>
        </w:rPr>
        <w:t xml:space="preserve">Another relevant aspect </w:t>
      </w:r>
      <w:r w:rsidR="00AA493E" w:rsidRPr="00610904">
        <w:rPr>
          <w:noProof w:val="0"/>
          <w:lang w:val="en-US"/>
        </w:rPr>
        <w:t>of</w:t>
      </w:r>
      <w:r w:rsidRPr="00610904">
        <w:rPr>
          <w:noProof w:val="0"/>
          <w:lang w:val="en-US"/>
        </w:rPr>
        <w:t xml:space="preserve"> the right to health and</w:t>
      </w:r>
      <w:r w:rsidR="00AA493E" w:rsidRPr="00610904">
        <w:rPr>
          <w:noProof w:val="0"/>
          <w:lang w:val="en-US"/>
        </w:rPr>
        <w:t xml:space="preserve"> to</w:t>
      </w:r>
      <w:r w:rsidRPr="00610904">
        <w:rPr>
          <w:noProof w:val="0"/>
          <w:lang w:val="en-US"/>
        </w:rPr>
        <w:t xml:space="preserve"> health care is access to information that </w:t>
      </w:r>
      <w:r w:rsidR="00AA493E" w:rsidRPr="00610904">
        <w:rPr>
          <w:noProof w:val="0"/>
          <w:lang w:val="en-US"/>
        </w:rPr>
        <w:t xml:space="preserve">can </w:t>
      </w:r>
      <w:r w:rsidR="003E08F4" w:rsidRPr="00610904">
        <w:rPr>
          <w:noProof w:val="0"/>
          <w:lang w:val="en-US"/>
        </w:rPr>
        <w:t xml:space="preserve">help the individual cope with the disease in the best way possible. In this regard, in General Comment No. 3 on HIV/AIDS and the Rights of the Child, </w:t>
      </w:r>
      <w:r w:rsidR="003E08F4" w:rsidRPr="00610904">
        <w:rPr>
          <w:noProof w:val="0"/>
          <w:szCs w:val="20"/>
          <w:lang w:val="en-US"/>
        </w:rPr>
        <w:t>the Committee on the Rights of the Child</w:t>
      </w:r>
      <w:r w:rsidR="003E08F4" w:rsidRPr="00610904">
        <w:rPr>
          <w:noProof w:val="0"/>
          <w:lang w:val="en-US"/>
        </w:rPr>
        <w:t xml:space="preserve"> repeated the need to ensure that children:</w:t>
      </w:r>
    </w:p>
    <w:p w:rsidR="003E08F4" w:rsidRPr="00610904" w:rsidRDefault="003E08F4" w:rsidP="00610904">
      <w:pPr>
        <w:ind w:left="720" w:right="565"/>
        <w:rPr>
          <w:noProof w:val="0"/>
          <w:sz w:val="16"/>
          <w:szCs w:val="16"/>
          <w:lang w:val="en-US"/>
        </w:rPr>
      </w:pPr>
    </w:p>
    <w:p w:rsidR="00D839BE" w:rsidRPr="00610904" w:rsidRDefault="003E08F4" w:rsidP="003D3ABA">
      <w:pPr>
        <w:ind w:left="720" w:right="475"/>
        <w:rPr>
          <w:rFonts w:cs="Arial"/>
          <w:noProof w:val="0"/>
          <w:sz w:val="16"/>
          <w:szCs w:val="16"/>
          <w:lang w:val="en-US"/>
        </w:rPr>
      </w:pPr>
      <w:r w:rsidRPr="00610904">
        <w:rPr>
          <w:rFonts w:cs="Arial"/>
          <w:noProof w:val="0"/>
          <w:sz w:val="16"/>
          <w:szCs w:val="16"/>
          <w:lang w:val="en-US"/>
        </w:rPr>
        <w:t>[do not suffer] discrimination in offering them access to HIV-related information, voluntary counselling and testing, knowledge of their HIV status, confidential sexual and reproductive health services, and free or low-cost contraceptive, methods and services, as well as HIV-related care and treatment if and when needed, including for the prevention and treatment of health problems related to HIV/AIDS.</w:t>
      </w:r>
      <w:r w:rsidR="00D839BE" w:rsidRPr="00610904">
        <w:rPr>
          <w:rStyle w:val="FootnoteReference"/>
          <w:noProof w:val="0"/>
          <w:sz w:val="16"/>
          <w:szCs w:val="16"/>
          <w:lang w:val="en-US"/>
        </w:rPr>
        <w:footnoteReference w:id="234"/>
      </w:r>
    </w:p>
    <w:p w:rsidR="00D839BE" w:rsidRPr="00610904" w:rsidRDefault="00D839BE" w:rsidP="00610904">
      <w:pPr>
        <w:rPr>
          <w:noProof w:val="0"/>
          <w:lang w:val="en-US"/>
        </w:rPr>
      </w:pPr>
    </w:p>
    <w:p w:rsidR="00D839BE" w:rsidRPr="00610904" w:rsidRDefault="003E08F4" w:rsidP="00610904">
      <w:pPr>
        <w:numPr>
          <w:ilvl w:val="0"/>
          <w:numId w:val="1"/>
        </w:numPr>
        <w:autoSpaceDE w:val="0"/>
        <w:autoSpaceDN w:val="0"/>
        <w:adjustRightInd w:val="0"/>
        <w:contextualSpacing/>
        <w:rPr>
          <w:rFonts w:cs="Arial"/>
          <w:noProof w:val="0"/>
          <w:spacing w:val="-2"/>
          <w:lang w:val="en-US"/>
        </w:rPr>
      </w:pPr>
      <w:r w:rsidRPr="00610904">
        <w:rPr>
          <w:noProof w:val="0"/>
          <w:lang w:val="en-US"/>
        </w:rPr>
        <w:t xml:space="preserve">Lastly, regarding children with disabilities </w:t>
      </w:r>
      <w:r w:rsidR="005B5F67" w:rsidRPr="00610904">
        <w:rPr>
          <w:noProof w:val="0"/>
          <w:lang w:val="en-US"/>
        </w:rPr>
        <w:t>(</w:t>
      </w:r>
      <w:r w:rsidR="005B5F67" w:rsidRPr="00610904">
        <w:rPr>
          <w:i/>
          <w:noProof w:val="0"/>
          <w:lang w:val="en-US"/>
        </w:rPr>
        <w:t>infra</w:t>
      </w:r>
      <w:r w:rsidR="005B5F67" w:rsidRPr="00610904">
        <w:rPr>
          <w:noProof w:val="0"/>
          <w:lang w:val="en-US"/>
        </w:rPr>
        <w:t xml:space="preserve"> </w:t>
      </w:r>
      <w:r w:rsidR="006E502B" w:rsidRPr="00610904">
        <w:rPr>
          <w:noProof w:val="0"/>
          <w:lang w:val="en-US"/>
        </w:rPr>
        <w:t>paras.</w:t>
      </w:r>
      <w:r w:rsidR="005B5F67" w:rsidRPr="00610904">
        <w:rPr>
          <w:noProof w:val="0"/>
          <w:lang w:val="en-US"/>
        </w:rPr>
        <w:t xml:space="preserve"> 236</w:t>
      </w:r>
      <w:r w:rsidRPr="00610904">
        <w:rPr>
          <w:noProof w:val="0"/>
          <w:lang w:val="en-US"/>
        </w:rPr>
        <w:t xml:space="preserve"> to</w:t>
      </w:r>
      <w:r w:rsidR="00861A2D" w:rsidRPr="00610904">
        <w:rPr>
          <w:noProof w:val="0"/>
          <w:lang w:val="en-US"/>
        </w:rPr>
        <w:t xml:space="preserve"> 240</w:t>
      </w:r>
      <w:r w:rsidR="005B5F67" w:rsidRPr="00610904">
        <w:rPr>
          <w:noProof w:val="0"/>
          <w:lang w:val="en-US"/>
        </w:rPr>
        <w:t>)</w:t>
      </w:r>
      <w:r w:rsidR="00D839BE" w:rsidRPr="00610904">
        <w:rPr>
          <w:noProof w:val="0"/>
          <w:lang w:val="en-US"/>
        </w:rPr>
        <w:t xml:space="preserve">, </w:t>
      </w:r>
      <w:r w:rsidRPr="00610904">
        <w:rPr>
          <w:noProof w:val="0"/>
          <w:lang w:val="en-US"/>
        </w:rPr>
        <w:t>the Committee on the Rights of the Child</w:t>
      </w:r>
      <w:r w:rsidR="00D839BE" w:rsidRPr="00610904">
        <w:rPr>
          <w:noProof w:val="0"/>
          <w:lang w:val="en-US"/>
        </w:rPr>
        <w:t xml:space="preserve"> </w:t>
      </w:r>
      <w:r w:rsidRPr="00610904">
        <w:rPr>
          <w:noProof w:val="0"/>
          <w:lang w:val="en-US"/>
        </w:rPr>
        <w:t>indicated that</w:t>
      </w:r>
      <w:r w:rsidR="00D839BE" w:rsidRPr="00610904">
        <w:rPr>
          <w:noProof w:val="0"/>
          <w:lang w:val="en-US"/>
        </w:rPr>
        <w:t xml:space="preserve"> </w:t>
      </w:r>
      <w:r w:rsidRPr="00610904">
        <w:rPr>
          <w:noProof w:val="0"/>
          <w:lang w:val="en-US"/>
        </w:rPr>
        <w:t>“[a</w:t>
      </w:r>
      <w:r w:rsidR="00D839BE" w:rsidRPr="00610904">
        <w:rPr>
          <w:noProof w:val="0"/>
          <w:lang w:val="en-US"/>
        </w:rPr>
        <w:t>]</w:t>
      </w:r>
      <w:r w:rsidRPr="00610904">
        <w:rPr>
          <w:noProof w:val="0"/>
          <w:szCs w:val="20"/>
          <w:lang w:val="en-US"/>
        </w:rPr>
        <w:t>ttainment of the highest possible standard of health as well as access and affordability of quality healthcare is an inherent right for all children. Children with disabilities are often left out because of several challenges, including discrimination, inaccessibility due to the lack of information and/or financial resources, transportation, geographic distribution and physical access to health care facilities.</w:t>
      </w:r>
      <w:r w:rsidR="00D839BE" w:rsidRPr="00610904">
        <w:rPr>
          <w:noProof w:val="0"/>
          <w:lang w:val="en-US"/>
        </w:rPr>
        <w:t>”</w:t>
      </w:r>
      <w:r w:rsidR="00D839BE" w:rsidRPr="00610904">
        <w:rPr>
          <w:rStyle w:val="FootnoteReference"/>
          <w:noProof w:val="0"/>
          <w:sz w:val="16"/>
          <w:szCs w:val="16"/>
          <w:lang w:val="en-US"/>
        </w:rPr>
        <w:footnoteReference w:id="235"/>
      </w:r>
    </w:p>
    <w:p w:rsidR="00D839BE" w:rsidRPr="00610904" w:rsidRDefault="00D839BE" w:rsidP="00610904">
      <w:pPr>
        <w:autoSpaceDE w:val="0"/>
        <w:autoSpaceDN w:val="0"/>
        <w:adjustRightInd w:val="0"/>
        <w:rPr>
          <w:rFonts w:cs="Arial"/>
          <w:noProof w:val="0"/>
          <w:spacing w:val="-2"/>
          <w:lang w:val="en-US"/>
        </w:rPr>
      </w:pPr>
    </w:p>
    <w:p w:rsidR="00D839BE" w:rsidRPr="00610904" w:rsidRDefault="009F3D78" w:rsidP="00610904">
      <w:pPr>
        <w:numPr>
          <w:ilvl w:val="0"/>
          <w:numId w:val="1"/>
        </w:numPr>
        <w:autoSpaceDE w:val="0"/>
        <w:autoSpaceDN w:val="0"/>
        <w:adjustRightInd w:val="0"/>
        <w:contextualSpacing/>
        <w:rPr>
          <w:rFonts w:cs="Arial"/>
          <w:b/>
          <w:noProof w:val="0"/>
          <w:spacing w:val="-2"/>
          <w:lang w:val="en-US"/>
        </w:rPr>
      </w:pPr>
      <w:r w:rsidRPr="00610904">
        <w:rPr>
          <w:rFonts w:cs="Arial"/>
          <w:noProof w:val="0"/>
          <w:shd w:val="clear" w:color="auto" w:fill="FFFFFF"/>
          <w:lang w:val="en-US"/>
        </w:rPr>
        <w:t>The representatives</w:t>
      </w:r>
      <w:r w:rsidR="003309BE" w:rsidRPr="00610904">
        <w:rPr>
          <w:rFonts w:cs="Arial"/>
          <w:noProof w:val="0"/>
          <w:shd w:val="clear" w:color="auto" w:fill="FFFFFF"/>
          <w:lang w:val="en-US"/>
        </w:rPr>
        <w:t xml:space="preserve"> of the </w:t>
      </w:r>
      <w:r w:rsidRPr="00610904">
        <w:rPr>
          <w:rFonts w:cs="Arial"/>
          <w:noProof w:val="0"/>
          <w:shd w:val="clear" w:color="auto" w:fill="FFFFFF"/>
          <w:lang w:val="en-US"/>
        </w:rPr>
        <w:t>presumed victims</w:t>
      </w:r>
      <w:r w:rsidR="003E08F4" w:rsidRPr="00610904">
        <w:rPr>
          <w:rFonts w:cs="Arial"/>
          <w:noProof w:val="0"/>
          <w:shd w:val="clear" w:color="auto" w:fill="FFFFFF"/>
          <w:lang w:val="en-US"/>
        </w:rPr>
        <w:t xml:space="preserve"> did not present </w:t>
      </w:r>
      <w:r w:rsidR="00795F5F" w:rsidRPr="00610904">
        <w:rPr>
          <w:rFonts w:cs="Arial"/>
          <w:noProof w:val="0"/>
          <w:shd w:val="clear" w:color="auto" w:fill="FFFFFF"/>
          <w:lang w:val="en-US"/>
        </w:rPr>
        <w:t>observations</w:t>
      </w:r>
      <w:r w:rsidR="00D839BE" w:rsidRPr="00610904">
        <w:rPr>
          <w:rFonts w:cs="Arial"/>
          <w:noProof w:val="0"/>
          <w:shd w:val="clear" w:color="auto" w:fill="FFFFFF"/>
          <w:lang w:val="en-US"/>
        </w:rPr>
        <w:t>, objec</w:t>
      </w:r>
      <w:r w:rsidR="00AA493E" w:rsidRPr="00610904">
        <w:rPr>
          <w:rFonts w:cs="Arial"/>
          <w:noProof w:val="0"/>
          <w:shd w:val="clear" w:color="auto" w:fill="FFFFFF"/>
          <w:lang w:val="en-US"/>
        </w:rPr>
        <w:t>t</w:t>
      </w:r>
      <w:r w:rsidR="003E08F4" w:rsidRPr="00610904">
        <w:rPr>
          <w:rFonts w:cs="Arial"/>
          <w:noProof w:val="0"/>
          <w:shd w:val="clear" w:color="auto" w:fill="FFFFFF"/>
          <w:lang w:val="en-US"/>
        </w:rPr>
        <w:t xml:space="preserve">ions or any other type of argument to disprove explicitly the information provided by </w:t>
      </w:r>
      <w:r w:rsidR="00A8072E" w:rsidRPr="00610904">
        <w:rPr>
          <w:rFonts w:cs="Arial"/>
          <w:noProof w:val="0"/>
          <w:shd w:val="clear" w:color="auto" w:fill="FFFFFF"/>
          <w:lang w:val="en-US"/>
        </w:rPr>
        <w:t>expert witness</w:t>
      </w:r>
      <w:r w:rsidR="003E08F4" w:rsidRPr="00610904">
        <w:rPr>
          <w:rFonts w:cs="Arial"/>
          <w:noProof w:val="0"/>
          <w:shd w:val="clear" w:color="auto" w:fill="FFFFFF"/>
          <w:lang w:val="en-US"/>
        </w:rPr>
        <w:t>e</w:t>
      </w:r>
      <w:r w:rsidR="00D839BE" w:rsidRPr="00610904">
        <w:rPr>
          <w:rFonts w:cs="Arial"/>
          <w:noProof w:val="0"/>
          <w:shd w:val="clear" w:color="auto" w:fill="FFFFFF"/>
          <w:lang w:val="en-US"/>
        </w:rPr>
        <w:t>s Diana Molina</w:t>
      </w:r>
      <w:r w:rsidRPr="00610904">
        <w:rPr>
          <w:rFonts w:cs="Arial"/>
          <w:noProof w:val="0"/>
          <w:shd w:val="clear" w:color="auto" w:fill="FFFFFF"/>
          <w:lang w:val="en-US"/>
        </w:rPr>
        <w:t xml:space="preserve"> and </w:t>
      </w:r>
      <w:r w:rsidR="00D839BE" w:rsidRPr="00610904">
        <w:rPr>
          <w:rFonts w:cs="Arial"/>
          <w:noProof w:val="0"/>
          <w:shd w:val="clear" w:color="auto" w:fill="FFFFFF"/>
          <w:lang w:val="en-US"/>
        </w:rPr>
        <w:t xml:space="preserve">Carmen del Rocío Carrasco </w:t>
      </w:r>
      <w:r w:rsidR="003E08F4" w:rsidRPr="00610904">
        <w:rPr>
          <w:rFonts w:cs="Arial"/>
          <w:noProof w:val="0"/>
          <w:shd w:val="clear" w:color="auto" w:fill="FFFFFF"/>
          <w:lang w:val="en-US"/>
        </w:rPr>
        <w:t xml:space="preserve">with regard to the health care received by </w:t>
      </w:r>
      <w:r w:rsidR="00D839BE" w:rsidRPr="00610904">
        <w:rPr>
          <w:rFonts w:cs="Arial"/>
          <w:noProof w:val="0"/>
          <w:shd w:val="clear" w:color="auto" w:fill="FFFFFF"/>
          <w:lang w:val="en-US"/>
        </w:rPr>
        <w:t xml:space="preserve">Talía </w:t>
      </w:r>
      <w:r w:rsidR="00010F61" w:rsidRPr="00610904">
        <w:rPr>
          <w:rFonts w:cs="Arial"/>
          <w:noProof w:val="0"/>
          <w:shd w:val="clear" w:color="auto" w:fill="FFFFFF"/>
          <w:lang w:val="en-US"/>
        </w:rPr>
        <w:t>Gonzales</w:t>
      </w:r>
      <w:r w:rsidR="00D839BE" w:rsidRPr="00610904">
        <w:rPr>
          <w:rFonts w:cs="Arial"/>
          <w:noProof w:val="0"/>
          <w:shd w:val="clear" w:color="auto" w:fill="FFFFFF"/>
          <w:lang w:val="en-US"/>
        </w:rPr>
        <w:t xml:space="preserve"> Lluy </w:t>
      </w:r>
      <w:r w:rsidR="00AA493E" w:rsidRPr="00610904">
        <w:rPr>
          <w:rFonts w:cs="Arial"/>
          <w:noProof w:val="0"/>
          <w:shd w:val="clear" w:color="auto" w:fill="FFFFFF"/>
          <w:lang w:val="en-US"/>
        </w:rPr>
        <w:t>from the time</w:t>
      </w:r>
      <w:r w:rsidR="003E08F4" w:rsidRPr="00610904">
        <w:rPr>
          <w:rFonts w:cs="Arial"/>
          <w:noProof w:val="0"/>
          <w:shd w:val="clear" w:color="auto" w:fill="FFFFFF"/>
          <w:lang w:val="en-US"/>
        </w:rPr>
        <w:t xml:space="preserve"> the Stat</w:t>
      </w:r>
      <w:r w:rsidR="00AA493E" w:rsidRPr="00610904">
        <w:rPr>
          <w:rFonts w:cs="Arial"/>
          <w:noProof w:val="0"/>
          <w:shd w:val="clear" w:color="auto" w:fill="FFFFFF"/>
          <w:lang w:val="en-US"/>
        </w:rPr>
        <w:t>e</w:t>
      </w:r>
      <w:r w:rsidR="003E08F4" w:rsidRPr="00610904">
        <w:rPr>
          <w:rFonts w:cs="Arial"/>
          <w:noProof w:val="0"/>
          <w:shd w:val="clear" w:color="auto" w:fill="FFFFFF"/>
          <w:lang w:val="en-US"/>
        </w:rPr>
        <w:t xml:space="preserve"> became aware that she had been infected with</w:t>
      </w:r>
      <w:r w:rsidR="00D839BE" w:rsidRPr="00610904">
        <w:rPr>
          <w:rFonts w:cs="Arial"/>
          <w:noProof w:val="0"/>
          <w:shd w:val="clear" w:color="auto" w:fill="FFFFFF"/>
          <w:lang w:val="en-US"/>
        </w:rPr>
        <w:t xml:space="preserve"> </w:t>
      </w:r>
      <w:r w:rsidR="00A8072E" w:rsidRPr="00610904">
        <w:rPr>
          <w:rFonts w:cs="Arial"/>
          <w:noProof w:val="0"/>
          <w:shd w:val="clear" w:color="auto" w:fill="FFFFFF"/>
          <w:lang w:val="en-US"/>
        </w:rPr>
        <w:t>HIV</w:t>
      </w:r>
      <w:r w:rsidR="00D839BE" w:rsidRPr="00610904">
        <w:rPr>
          <w:rFonts w:cs="Arial"/>
          <w:noProof w:val="0"/>
          <w:shd w:val="clear" w:color="auto" w:fill="FFFFFF"/>
          <w:lang w:val="en-US"/>
        </w:rPr>
        <w:t xml:space="preserve"> (</w:t>
      </w:r>
      <w:r w:rsidR="00D839BE" w:rsidRPr="00610904">
        <w:rPr>
          <w:rFonts w:cs="Arial"/>
          <w:i/>
          <w:noProof w:val="0"/>
          <w:shd w:val="clear" w:color="auto" w:fill="FFFFFF"/>
          <w:lang w:val="en-US"/>
        </w:rPr>
        <w:t>supra</w:t>
      </w:r>
      <w:r w:rsidR="00D839BE" w:rsidRPr="00610904">
        <w:rPr>
          <w:rFonts w:cs="Arial"/>
          <w:noProof w:val="0"/>
          <w:shd w:val="clear" w:color="auto" w:fill="FFFFFF"/>
          <w:lang w:val="en-US"/>
        </w:rPr>
        <w:t xml:space="preserve"> </w:t>
      </w:r>
      <w:r w:rsidR="006E502B" w:rsidRPr="00610904">
        <w:rPr>
          <w:rFonts w:cs="Arial"/>
          <w:noProof w:val="0"/>
          <w:shd w:val="clear" w:color="auto" w:fill="FFFFFF"/>
          <w:lang w:val="en-US"/>
        </w:rPr>
        <w:t>paras.</w:t>
      </w:r>
      <w:r w:rsidR="00D839BE" w:rsidRPr="00610904">
        <w:rPr>
          <w:rFonts w:cs="Arial"/>
          <w:noProof w:val="0"/>
          <w:shd w:val="clear" w:color="auto" w:fill="FFFFFF"/>
          <w:lang w:val="en-US"/>
        </w:rPr>
        <w:t xml:space="preserve"> </w:t>
      </w:r>
      <w:r w:rsidR="003E08F4" w:rsidRPr="00610904">
        <w:rPr>
          <w:rFonts w:cs="Arial"/>
          <w:noProof w:val="0"/>
          <w:shd w:val="clear" w:color="auto" w:fill="FFFFFF"/>
          <w:lang w:val="en-US"/>
        </w:rPr>
        <w:t>148 to</w:t>
      </w:r>
      <w:r w:rsidR="00D839BE" w:rsidRPr="00610904">
        <w:rPr>
          <w:rFonts w:cs="Arial"/>
          <w:noProof w:val="0"/>
          <w:shd w:val="clear" w:color="auto" w:fill="FFFFFF"/>
          <w:lang w:val="en-US"/>
        </w:rPr>
        <w:t xml:space="preserve"> 153).</w:t>
      </w:r>
      <w:r w:rsidR="00D839BE" w:rsidRPr="00610904">
        <w:rPr>
          <w:rFonts w:cs="Arial"/>
          <w:b/>
          <w:noProof w:val="0"/>
          <w:shd w:val="clear" w:color="auto" w:fill="FFFFFF"/>
          <w:lang w:val="en-US"/>
        </w:rPr>
        <w:t xml:space="preserve"> </w:t>
      </w:r>
      <w:r w:rsidR="003E08F4" w:rsidRPr="00610904">
        <w:rPr>
          <w:rFonts w:cs="Arial"/>
          <w:noProof w:val="0"/>
          <w:shd w:val="clear" w:color="auto" w:fill="FFFFFF"/>
          <w:lang w:val="en-US"/>
        </w:rPr>
        <w:t xml:space="preserve">In their statements, both </w:t>
      </w:r>
      <w:r w:rsidRPr="00610904">
        <w:rPr>
          <w:rFonts w:cs="Arial"/>
          <w:noProof w:val="0"/>
          <w:shd w:val="clear" w:color="auto" w:fill="FFFFFF"/>
          <w:lang w:val="en-US"/>
        </w:rPr>
        <w:t>the representatives</w:t>
      </w:r>
      <w:r w:rsidR="00D839BE" w:rsidRPr="00610904">
        <w:rPr>
          <w:rFonts w:cs="Arial"/>
          <w:noProof w:val="0"/>
          <w:shd w:val="clear" w:color="auto" w:fill="FFFFFF"/>
          <w:lang w:val="en-US"/>
        </w:rPr>
        <w:t xml:space="preserve"> </w:t>
      </w:r>
      <w:r w:rsidR="003E08F4" w:rsidRPr="00610904">
        <w:rPr>
          <w:rFonts w:cs="Arial"/>
          <w:noProof w:val="0"/>
          <w:shd w:val="clear" w:color="auto" w:fill="FFFFFF"/>
          <w:lang w:val="en-US"/>
        </w:rPr>
        <w:t>and</w:t>
      </w:r>
      <w:r w:rsidR="00D839BE" w:rsidRPr="00610904">
        <w:rPr>
          <w:rFonts w:cs="Arial"/>
          <w:noProof w:val="0"/>
          <w:shd w:val="clear" w:color="auto" w:fill="FFFFFF"/>
          <w:lang w:val="en-US"/>
        </w:rPr>
        <w:t xml:space="preserve"> </w:t>
      </w:r>
      <w:r w:rsidRPr="00610904">
        <w:rPr>
          <w:rFonts w:cs="Arial"/>
          <w:noProof w:val="0"/>
          <w:shd w:val="clear" w:color="auto" w:fill="FFFFFF"/>
          <w:lang w:val="en-US"/>
        </w:rPr>
        <w:t>the presumed victims</w:t>
      </w:r>
      <w:r w:rsidR="003E08F4" w:rsidRPr="00610904">
        <w:rPr>
          <w:rFonts w:cs="Arial"/>
          <w:noProof w:val="0"/>
          <w:shd w:val="clear" w:color="auto" w:fill="FFFFFF"/>
          <w:lang w:val="en-US"/>
        </w:rPr>
        <w:t xml:space="preserve"> insisted on systematic problems in the comprehensive nature of the care. The Court notes that an initial problem of the quality of the health care arose when </w:t>
      </w:r>
      <w:r w:rsidR="00AA493E" w:rsidRPr="00610904">
        <w:rPr>
          <w:rFonts w:cs="Arial"/>
          <w:noProof w:val="0"/>
          <w:shd w:val="clear" w:color="auto" w:fill="FFFFFF"/>
          <w:lang w:val="en-US"/>
        </w:rPr>
        <w:t>Talía was</w:t>
      </w:r>
      <w:r w:rsidR="003E08F4" w:rsidRPr="00610904">
        <w:rPr>
          <w:rFonts w:cs="Arial"/>
          <w:noProof w:val="0"/>
          <w:shd w:val="clear" w:color="auto" w:fill="FFFFFF"/>
          <w:lang w:val="en-US"/>
        </w:rPr>
        <w:t xml:space="preserve"> tr</w:t>
      </w:r>
      <w:r w:rsidR="00AA493E" w:rsidRPr="00610904">
        <w:rPr>
          <w:rFonts w:cs="Arial"/>
          <w:noProof w:val="0"/>
          <w:shd w:val="clear" w:color="auto" w:fill="FFFFFF"/>
          <w:lang w:val="en-US"/>
        </w:rPr>
        <w:t>eated</w:t>
      </w:r>
      <w:r w:rsidR="003E08F4" w:rsidRPr="00610904">
        <w:rPr>
          <w:rFonts w:cs="Arial"/>
          <w:noProof w:val="0"/>
          <w:shd w:val="clear" w:color="auto" w:fill="FFFFFF"/>
          <w:lang w:val="en-US"/>
        </w:rPr>
        <w:t xml:space="preserve"> for the emergency that occurred in 1998. The Court observes that, at that time, there were insufficient personnel, the laboratories did not have all the necessary tests to examine blood, and therefore had to ask laboratories in Quito to verify the blood, and the personnel of the Red Cross and the hospital where Talía was interned did not know how to handle the samples appropriately</w:t>
      </w:r>
      <w:r w:rsidR="00D839BE" w:rsidRPr="00610904">
        <w:rPr>
          <w:noProof w:val="0"/>
          <w:lang w:val="en-US"/>
        </w:rPr>
        <w:t xml:space="preserve"> (</w:t>
      </w:r>
      <w:r w:rsidR="00D2029A" w:rsidRPr="00610904">
        <w:rPr>
          <w:i/>
          <w:noProof w:val="0"/>
          <w:lang w:val="en-US"/>
        </w:rPr>
        <w:t>supra</w:t>
      </w:r>
      <w:r w:rsidR="00D2029A" w:rsidRPr="00610904">
        <w:rPr>
          <w:noProof w:val="0"/>
          <w:lang w:val="en-US"/>
        </w:rPr>
        <w:t xml:space="preserve"> </w:t>
      </w:r>
      <w:r w:rsidR="006E502B" w:rsidRPr="00610904">
        <w:rPr>
          <w:noProof w:val="0"/>
          <w:lang w:val="en-US"/>
        </w:rPr>
        <w:t>para.</w:t>
      </w:r>
      <w:r w:rsidR="00D2029A" w:rsidRPr="00610904">
        <w:rPr>
          <w:noProof w:val="0"/>
          <w:lang w:val="en-US"/>
        </w:rPr>
        <w:t xml:space="preserve"> 77</w:t>
      </w:r>
      <w:r w:rsidR="00D839BE" w:rsidRPr="00610904">
        <w:rPr>
          <w:noProof w:val="0"/>
          <w:lang w:val="en-US"/>
        </w:rPr>
        <w:t>).</w:t>
      </w:r>
      <w:r w:rsidR="001E7CC2" w:rsidRPr="00610904">
        <w:rPr>
          <w:noProof w:val="0"/>
          <w:lang w:val="en-US"/>
        </w:rPr>
        <w:t xml:space="preserve"> </w:t>
      </w:r>
    </w:p>
    <w:p w:rsidR="00D839BE" w:rsidRPr="00610904" w:rsidRDefault="00D839BE" w:rsidP="00610904">
      <w:pPr>
        <w:autoSpaceDE w:val="0"/>
        <w:autoSpaceDN w:val="0"/>
        <w:adjustRightInd w:val="0"/>
        <w:rPr>
          <w:rFonts w:cs="Arial"/>
          <w:b/>
          <w:noProof w:val="0"/>
          <w:spacing w:val="-2"/>
          <w:lang w:val="en-US"/>
        </w:rPr>
      </w:pPr>
    </w:p>
    <w:p w:rsidR="00D839BE" w:rsidRPr="00610904" w:rsidRDefault="00D839BE" w:rsidP="00610904">
      <w:pPr>
        <w:numPr>
          <w:ilvl w:val="0"/>
          <w:numId w:val="1"/>
        </w:numPr>
        <w:autoSpaceDE w:val="0"/>
        <w:autoSpaceDN w:val="0"/>
        <w:adjustRightInd w:val="0"/>
        <w:contextualSpacing/>
        <w:rPr>
          <w:rFonts w:cs="Arial"/>
          <w:noProof w:val="0"/>
          <w:spacing w:val="-2"/>
          <w:lang w:val="en-US"/>
        </w:rPr>
      </w:pPr>
      <w:r w:rsidRPr="00610904">
        <w:rPr>
          <w:rFonts w:cs="Arial"/>
          <w:noProof w:val="0"/>
          <w:shd w:val="clear" w:color="auto" w:fill="FFFFFF"/>
          <w:lang w:val="en-US"/>
        </w:rPr>
        <w:t>Ot</w:t>
      </w:r>
      <w:r w:rsidR="003E08F4" w:rsidRPr="00610904">
        <w:rPr>
          <w:rFonts w:cs="Arial"/>
          <w:noProof w:val="0"/>
          <w:shd w:val="clear" w:color="auto" w:fill="FFFFFF"/>
          <w:lang w:val="en-US"/>
        </w:rPr>
        <w:t xml:space="preserve">her problems mentioned by </w:t>
      </w:r>
      <w:r w:rsidR="009F3D78" w:rsidRPr="00610904">
        <w:rPr>
          <w:rFonts w:cs="Arial"/>
          <w:noProof w:val="0"/>
          <w:shd w:val="clear" w:color="auto" w:fill="FFFFFF"/>
          <w:lang w:val="en-US"/>
        </w:rPr>
        <w:t>the representatives</w:t>
      </w:r>
      <w:r w:rsidRPr="00610904">
        <w:rPr>
          <w:rFonts w:cs="Arial"/>
          <w:noProof w:val="0"/>
          <w:shd w:val="clear" w:color="auto" w:fill="FFFFFF"/>
          <w:lang w:val="en-US"/>
        </w:rPr>
        <w:t xml:space="preserve"> </w:t>
      </w:r>
      <w:r w:rsidR="003E08F4" w:rsidRPr="00610904">
        <w:rPr>
          <w:rFonts w:cs="Arial"/>
          <w:noProof w:val="0"/>
          <w:shd w:val="clear" w:color="auto" w:fill="FFFFFF"/>
          <w:lang w:val="en-US"/>
        </w:rPr>
        <w:t xml:space="preserve">related to the accessibility of health-related information in order to understand and to be able to cope, as well as possible, with the </w:t>
      </w:r>
      <w:r w:rsidR="00AA493E" w:rsidRPr="00610904">
        <w:rPr>
          <w:rFonts w:cs="Arial"/>
          <w:noProof w:val="0"/>
          <w:shd w:val="clear" w:color="auto" w:fill="FFFFFF"/>
          <w:lang w:val="en-US"/>
        </w:rPr>
        <w:t>illness</w:t>
      </w:r>
      <w:r w:rsidR="003E08F4" w:rsidRPr="00610904">
        <w:rPr>
          <w:rFonts w:cs="Arial"/>
          <w:noProof w:val="0"/>
          <w:shd w:val="clear" w:color="auto" w:fill="FFFFFF"/>
          <w:lang w:val="en-US"/>
        </w:rPr>
        <w:t xml:space="preserve">, particularly when the family first became aware of it. The representatives also </w:t>
      </w:r>
      <w:r w:rsidR="00856968" w:rsidRPr="00610904">
        <w:rPr>
          <w:rFonts w:cs="Arial"/>
          <w:noProof w:val="0"/>
          <w:shd w:val="clear" w:color="auto" w:fill="FFFFFF"/>
          <w:lang w:val="en-US"/>
        </w:rPr>
        <w:t>indicated that</w:t>
      </w:r>
      <w:r w:rsidR="003E08F4" w:rsidRPr="00610904">
        <w:rPr>
          <w:rFonts w:cs="Arial"/>
          <w:noProof w:val="0"/>
          <w:shd w:val="clear" w:color="auto" w:fill="FFFFFF"/>
          <w:lang w:val="en-US"/>
        </w:rPr>
        <w:t xml:space="preserve"> the State had offered medicines, but at times failed to supply them, and </w:t>
      </w:r>
      <w:r w:rsidR="00AA493E" w:rsidRPr="00610904">
        <w:rPr>
          <w:rFonts w:cs="Arial"/>
          <w:noProof w:val="0"/>
          <w:shd w:val="clear" w:color="auto" w:fill="FFFFFF"/>
          <w:lang w:val="en-US"/>
        </w:rPr>
        <w:t xml:space="preserve">mentioned </w:t>
      </w:r>
      <w:r w:rsidR="003E08F4" w:rsidRPr="00610904">
        <w:rPr>
          <w:rFonts w:cs="Arial"/>
          <w:noProof w:val="0"/>
          <w:shd w:val="clear" w:color="auto" w:fill="FFFFFF"/>
          <w:lang w:val="en-US"/>
        </w:rPr>
        <w:t>other problems of access to diagnostic procedures and blood tests.</w:t>
      </w:r>
      <w:r w:rsidRPr="00610904">
        <w:rPr>
          <w:rStyle w:val="FootnoteReference"/>
          <w:noProof w:val="0"/>
          <w:lang w:val="en-US"/>
        </w:rPr>
        <w:footnoteReference w:id="236"/>
      </w:r>
      <w:r w:rsidR="003E08F4" w:rsidRPr="00610904">
        <w:rPr>
          <w:noProof w:val="0"/>
          <w:szCs w:val="20"/>
          <w:lang w:val="en-US"/>
        </w:rPr>
        <w:t xml:space="preserve"> Regarding </w:t>
      </w:r>
      <w:r w:rsidR="003E08F4" w:rsidRPr="00610904">
        <w:rPr>
          <w:noProof w:val="0"/>
          <w:szCs w:val="20"/>
          <w:lang w:val="en-US"/>
        </w:rPr>
        <w:lastRenderedPageBreak/>
        <w:t>geographical accessibility, they mentioned that, on several occasions, it beca</w:t>
      </w:r>
      <w:r w:rsidR="00AA493E" w:rsidRPr="00610904">
        <w:rPr>
          <w:noProof w:val="0"/>
          <w:szCs w:val="20"/>
          <w:lang w:val="en-US"/>
        </w:rPr>
        <w:t>me necessary to travel outside C</w:t>
      </w:r>
      <w:r w:rsidR="003E08F4" w:rsidRPr="00610904">
        <w:rPr>
          <w:noProof w:val="0"/>
          <w:szCs w:val="20"/>
          <w:lang w:val="en-US"/>
        </w:rPr>
        <w:t>uenca, which was especially difficult for a family living in poverty.</w:t>
      </w:r>
      <w:r w:rsidRPr="00610904">
        <w:rPr>
          <w:noProof w:val="0"/>
          <w:vertAlign w:val="superscript"/>
          <w:lang w:val="en-US"/>
        </w:rPr>
        <w:footnoteReference w:id="237"/>
      </w:r>
      <w:r w:rsidRPr="00610904">
        <w:rPr>
          <w:noProof w:val="0"/>
          <w:lang w:val="en-US"/>
        </w:rPr>
        <w:t xml:space="preserve"> </w:t>
      </w:r>
    </w:p>
    <w:p w:rsidR="00D839BE" w:rsidRPr="00610904" w:rsidRDefault="00D839BE" w:rsidP="00610904">
      <w:pPr>
        <w:rPr>
          <w:rFonts w:cs="Arial"/>
          <w:strike/>
          <w:noProof w:val="0"/>
          <w:shd w:val="clear" w:color="auto" w:fill="FFFFFF"/>
          <w:lang w:val="en-US"/>
        </w:rPr>
      </w:pPr>
    </w:p>
    <w:p w:rsidR="00D839BE" w:rsidRPr="00610904" w:rsidRDefault="003E08F4" w:rsidP="00610904">
      <w:pPr>
        <w:numPr>
          <w:ilvl w:val="0"/>
          <w:numId w:val="1"/>
        </w:numPr>
        <w:autoSpaceDE w:val="0"/>
        <w:autoSpaceDN w:val="0"/>
        <w:adjustRightInd w:val="0"/>
        <w:contextualSpacing/>
        <w:rPr>
          <w:rFonts w:cs="Arial"/>
          <w:b/>
          <w:noProof w:val="0"/>
          <w:spacing w:val="-2"/>
          <w:lang w:val="en-US"/>
        </w:rPr>
      </w:pPr>
      <w:r w:rsidRPr="00610904">
        <w:rPr>
          <w:noProof w:val="0"/>
          <w:lang w:val="en-US"/>
        </w:rPr>
        <w:t>The</w:t>
      </w:r>
      <w:r w:rsidR="00D839BE" w:rsidRPr="00610904">
        <w:rPr>
          <w:noProof w:val="0"/>
          <w:lang w:val="en-US"/>
        </w:rPr>
        <w:t xml:space="preserve"> Lluy </w:t>
      </w:r>
      <w:proofErr w:type="gramStart"/>
      <w:r w:rsidRPr="00610904">
        <w:rPr>
          <w:noProof w:val="0"/>
          <w:lang w:val="en-US"/>
        </w:rPr>
        <w:t>family have</w:t>
      </w:r>
      <w:proofErr w:type="gramEnd"/>
      <w:r w:rsidRPr="00610904">
        <w:rPr>
          <w:noProof w:val="0"/>
          <w:lang w:val="en-US"/>
        </w:rPr>
        <w:t xml:space="preserve"> indicated that, since Talía became infected and up until 2015, all the tests for </w:t>
      </w:r>
      <w:r w:rsidR="00D839BE" w:rsidRPr="00610904">
        <w:rPr>
          <w:noProof w:val="0"/>
          <w:lang w:val="en-US"/>
        </w:rPr>
        <w:t>CD4</w:t>
      </w:r>
      <w:r w:rsidR="009F3D78" w:rsidRPr="00610904">
        <w:rPr>
          <w:noProof w:val="0"/>
          <w:lang w:val="en-US"/>
        </w:rPr>
        <w:t xml:space="preserve"> and </w:t>
      </w:r>
      <w:r w:rsidRPr="00610904">
        <w:rPr>
          <w:noProof w:val="0"/>
          <w:lang w:val="en-US"/>
        </w:rPr>
        <w:t xml:space="preserve">viral load had been performed in private clinics and paid </w:t>
      </w:r>
      <w:r w:rsidR="00AA493E" w:rsidRPr="00610904">
        <w:rPr>
          <w:noProof w:val="0"/>
          <w:lang w:val="en-US"/>
        </w:rPr>
        <w:t xml:space="preserve">for </w:t>
      </w:r>
      <w:r w:rsidRPr="00610904">
        <w:rPr>
          <w:noProof w:val="0"/>
          <w:lang w:val="en-US"/>
        </w:rPr>
        <w:t xml:space="preserve">by the Lluy family. However, the only </w:t>
      </w:r>
      <w:proofErr w:type="gramStart"/>
      <w:r w:rsidRPr="00610904">
        <w:rPr>
          <w:noProof w:val="0"/>
          <w:lang w:val="en-US"/>
        </w:rPr>
        <w:t>receipts for payment presented by the victims in this regard is</w:t>
      </w:r>
      <w:proofErr w:type="gramEnd"/>
      <w:r w:rsidRPr="00610904">
        <w:rPr>
          <w:noProof w:val="0"/>
          <w:lang w:val="en-US"/>
        </w:rPr>
        <w:t xml:space="preserve"> one for a medical examination in a private laboratory for </w:t>
      </w:r>
      <w:r w:rsidRPr="00610904">
        <w:rPr>
          <w:rFonts w:cs="Courier New"/>
          <w:noProof w:val="0"/>
          <w:lang w:val="en-US"/>
        </w:rPr>
        <w:t>US</w:t>
      </w:r>
      <w:r w:rsidR="00D839BE" w:rsidRPr="00610904">
        <w:rPr>
          <w:rFonts w:cs="Courier New"/>
          <w:noProof w:val="0"/>
          <w:lang w:val="en-US"/>
        </w:rPr>
        <w:t>$489.44</w:t>
      </w:r>
      <w:r w:rsidRPr="00610904">
        <w:rPr>
          <w:rFonts w:cs="Courier New"/>
          <w:noProof w:val="0"/>
          <w:lang w:val="en-US"/>
        </w:rPr>
        <w:t>.</w:t>
      </w:r>
      <w:r w:rsidR="00D839BE" w:rsidRPr="00610904">
        <w:rPr>
          <w:rStyle w:val="FootnoteReference"/>
          <w:noProof w:val="0"/>
          <w:lang w:val="en-US"/>
        </w:rPr>
        <w:footnoteReference w:id="238"/>
      </w:r>
      <w:r w:rsidRPr="00610904">
        <w:rPr>
          <w:rFonts w:cs="Courier New"/>
          <w:noProof w:val="0"/>
          <w:lang w:val="en-US"/>
        </w:rPr>
        <w:t xml:space="preserve"> Consequently, the Court has no probative elements that would cause it to reject the information indicated in the case file to the effect that, between 2004 and 2012, Talía received antiretroviral drugs  from a Stat</w:t>
      </w:r>
      <w:r w:rsidR="00404EE1" w:rsidRPr="00610904">
        <w:rPr>
          <w:rFonts w:cs="Courier New"/>
          <w:noProof w:val="0"/>
          <w:lang w:val="en-US"/>
        </w:rPr>
        <w:t>e</w:t>
      </w:r>
      <w:r w:rsidRPr="00610904">
        <w:rPr>
          <w:rFonts w:cs="Courier New"/>
          <w:noProof w:val="0"/>
          <w:lang w:val="en-US"/>
        </w:rPr>
        <w:t xml:space="preserve"> entity; that is, the Military Hospital.</w:t>
      </w:r>
      <w:r w:rsidR="00D839BE" w:rsidRPr="00610904">
        <w:rPr>
          <w:rStyle w:val="FootnoteReference"/>
          <w:noProof w:val="0"/>
          <w:lang w:val="en-US"/>
        </w:rPr>
        <w:footnoteReference w:id="239"/>
      </w:r>
      <w:r w:rsidR="00D839BE" w:rsidRPr="00610904">
        <w:rPr>
          <w:noProof w:val="0"/>
          <w:lang w:val="en-US"/>
        </w:rPr>
        <w:t xml:space="preserve"> </w:t>
      </w:r>
    </w:p>
    <w:p w:rsidR="00D839BE" w:rsidRPr="00610904" w:rsidRDefault="00D839BE" w:rsidP="00610904">
      <w:pPr>
        <w:autoSpaceDE w:val="0"/>
        <w:autoSpaceDN w:val="0"/>
        <w:adjustRightInd w:val="0"/>
        <w:rPr>
          <w:rFonts w:cs="Arial"/>
          <w:b/>
          <w:noProof w:val="0"/>
          <w:spacing w:val="-2"/>
          <w:lang w:val="en-US"/>
        </w:rPr>
      </w:pPr>
    </w:p>
    <w:p w:rsidR="00D839BE" w:rsidRPr="00610904" w:rsidRDefault="00BB71B4" w:rsidP="00610904">
      <w:pPr>
        <w:numPr>
          <w:ilvl w:val="0"/>
          <w:numId w:val="1"/>
        </w:numPr>
        <w:autoSpaceDE w:val="0"/>
        <w:autoSpaceDN w:val="0"/>
        <w:adjustRightInd w:val="0"/>
        <w:contextualSpacing/>
        <w:rPr>
          <w:rFonts w:cs="Arial"/>
          <w:b/>
          <w:noProof w:val="0"/>
          <w:spacing w:val="-2"/>
          <w:lang w:val="en-US"/>
        </w:rPr>
      </w:pPr>
      <w:r w:rsidRPr="00610904">
        <w:rPr>
          <w:noProof w:val="0"/>
          <w:lang w:val="en-US"/>
        </w:rPr>
        <w:t xml:space="preserve">Furthermore, </w:t>
      </w:r>
      <w:r w:rsidR="009F3D78" w:rsidRPr="00610904">
        <w:rPr>
          <w:noProof w:val="0"/>
          <w:lang w:val="en-US"/>
        </w:rPr>
        <w:t>the representatives</w:t>
      </w:r>
      <w:r w:rsidR="00D839BE" w:rsidRPr="00610904">
        <w:rPr>
          <w:noProof w:val="0"/>
          <w:lang w:val="en-US"/>
        </w:rPr>
        <w:t xml:space="preserve"> </w:t>
      </w:r>
      <w:r w:rsidRPr="00610904">
        <w:rPr>
          <w:noProof w:val="0"/>
          <w:lang w:val="en-US"/>
        </w:rPr>
        <w:t>have not de</w:t>
      </w:r>
      <w:r w:rsidR="00AA493E" w:rsidRPr="00610904">
        <w:rPr>
          <w:noProof w:val="0"/>
          <w:lang w:val="en-US"/>
        </w:rPr>
        <w:t>scribed</w:t>
      </w:r>
      <w:r w:rsidRPr="00610904">
        <w:rPr>
          <w:noProof w:val="0"/>
          <w:lang w:val="en-US"/>
        </w:rPr>
        <w:t xml:space="preserve"> with sufficient clarity all the dates or characteristics of the interruptions in the supply of medicines and tests.</w:t>
      </w:r>
      <w:r w:rsidR="00D839BE" w:rsidRPr="00610904">
        <w:rPr>
          <w:rStyle w:val="FootnoteReference"/>
          <w:noProof w:val="0"/>
          <w:lang w:val="en-US"/>
        </w:rPr>
        <w:footnoteReference w:id="240"/>
      </w:r>
    </w:p>
    <w:p w:rsidR="00D839BE" w:rsidRPr="00610904" w:rsidRDefault="00D839BE" w:rsidP="00610904">
      <w:pPr>
        <w:rPr>
          <w:rFonts w:cs="Courier New"/>
          <w:strike/>
          <w:noProof w:val="0"/>
          <w:lang w:val="en-US"/>
        </w:rPr>
      </w:pPr>
    </w:p>
    <w:p w:rsidR="00D839BE" w:rsidRPr="00610904" w:rsidRDefault="00BB71B4" w:rsidP="00610904">
      <w:pPr>
        <w:numPr>
          <w:ilvl w:val="0"/>
          <w:numId w:val="1"/>
        </w:numPr>
        <w:autoSpaceDE w:val="0"/>
        <w:autoSpaceDN w:val="0"/>
        <w:adjustRightInd w:val="0"/>
        <w:contextualSpacing/>
        <w:rPr>
          <w:rFonts w:cs="Arial"/>
          <w:b/>
          <w:noProof w:val="0"/>
          <w:spacing w:val="-2"/>
          <w:lang w:val="en-US"/>
        </w:rPr>
      </w:pPr>
      <w:r w:rsidRPr="00610904">
        <w:rPr>
          <w:noProof w:val="0"/>
          <w:lang w:val="en-US"/>
        </w:rPr>
        <w:t xml:space="preserve">Another aspect of health care quality is revealed by the consistent statements of </w:t>
      </w:r>
      <w:r w:rsidR="00D839BE" w:rsidRPr="00610904">
        <w:rPr>
          <w:noProof w:val="0"/>
          <w:lang w:val="en-US"/>
        </w:rPr>
        <w:t xml:space="preserve">Talía, </w:t>
      </w:r>
      <w:r w:rsidRPr="00610904">
        <w:rPr>
          <w:noProof w:val="0"/>
          <w:lang w:val="en-US"/>
        </w:rPr>
        <w:t xml:space="preserve">her mother and her brother that, under the </w:t>
      </w:r>
      <w:r w:rsidR="00856968" w:rsidRPr="00610904">
        <w:rPr>
          <w:noProof w:val="0"/>
          <w:lang w:val="en-US"/>
        </w:rPr>
        <w:t>public</w:t>
      </w:r>
      <w:r w:rsidRPr="00610904">
        <w:rPr>
          <w:noProof w:val="0"/>
          <w:lang w:val="en-US"/>
        </w:rPr>
        <w:t xml:space="preserve"> health system, specifically in the Cuenca hospital</w:t>
      </w:r>
      <w:r w:rsidR="00D839BE" w:rsidRPr="00610904">
        <w:rPr>
          <w:noProof w:val="0"/>
          <w:lang w:val="en-US"/>
        </w:rPr>
        <w:t xml:space="preserve">, </w:t>
      </w:r>
      <w:r w:rsidR="00A8072E" w:rsidRPr="00610904">
        <w:rPr>
          <w:noProof w:val="0"/>
          <w:lang w:val="en-US"/>
        </w:rPr>
        <w:t>the presumed victim</w:t>
      </w:r>
      <w:r w:rsidR="00D839BE" w:rsidRPr="00610904">
        <w:rPr>
          <w:noProof w:val="0"/>
          <w:lang w:val="en-US"/>
        </w:rPr>
        <w:t xml:space="preserve"> </w:t>
      </w:r>
      <w:r w:rsidRPr="00610904">
        <w:rPr>
          <w:noProof w:val="0"/>
          <w:lang w:val="en-US"/>
        </w:rPr>
        <w:t>was stigmatized and treated inappropriately by the hospital personnel</w:t>
      </w:r>
      <w:r w:rsidR="00AA493E" w:rsidRPr="00610904">
        <w:rPr>
          <w:noProof w:val="0"/>
          <w:lang w:val="en-US"/>
        </w:rPr>
        <w:t xml:space="preserve"> on several occasions</w:t>
      </w:r>
      <w:r w:rsidRPr="00610904">
        <w:rPr>
          <w:noProof w:val="0"/>
          <w:lang w:val="en-US"/>
        </w:rPr>
        <w:t xml:space="preserve">. The statements mention several problems relating to the confidentiality, quality and </w:t>
      </w:r>
      <w:r w:rsidR="00953111" w:rsidRPr="00610904">
        <w:rPr>
          <w:noProof w:val="0"/>
          <w:spacing w:val="-2"/>
          <w:szCs w:val="20"/>
          <w:lang w:val="en-US"/>
        </w:rPr>
        <w:t xml:space="preserve">user-friendliness </w:t>
      </w:r>
      <w:r w:rsidRPr="00610904">
        <w:rPr>
          <w:noProof w:val="0"/>
          <w:lang w:val="en-US"/>
        </w:rPr>
        <w:t>of the care.</w:t>
      </w:r>
      <w:r w:rsidR="00D839BE" w:rsidRPr="00610904">
        <w:rPr>
          <w:rStyle w:val="FootnoteReference"/>
          <w:noProof w:val="0"/>
          <w:lang w:val="en-US"/>
        </w:rPr>
        <w:footnoteReference w:id="241"/>
      </w:r>
      <w:r w:rsidR="00D839BE" w:rsidRPr="00610904">
        <w:rPr>
          <w:noProof w:val="0"/>
          <w:lang w:val="en-US"/>
        </w:rPr>
        <w:t xml:space="preserve"> </w:t>
      </w:r>
      <w:r w:rsidR="00D839BE" w:rsidRPr="00610904">
        <w:rPr>
          <w:rFonts w:cs="Arial"/>
          <w:noProof w:val="0"/>
          <w:szCs w:val="20"/>
          <w:lang w:val="en-US"/>
        </w:rPr>
        <w:t>Talía</w:t>
      </w:r>
      <w:r w:rsidRPr="00610904">
        <w:rPr>
          <w:rFonts w:cs="Arial"/>
          <w:noProof w:val="0"/>
          <w:szCs w:val="20"/>
          <w:lang w:val="en-US"/>
        </w:rPr>
        <w:t xml:space="preserve"> testified that she received treatment in the province of </w:t>
      </w:r>
      <w:r w:rsidR="00D839BE" w:rsidRPr="00610904">
        <w:rPr>
          <w:noProof w:val="0"/>
          <w:lang w:val="en-US"/>
        </w:rPr>
        <w:t>Cañar</w:t>
      </w:r>
      <w:r w:rsidR="009F3D78" w:rsidRPr="00610904">
        <w:rPr>
          <w:noProof w:val="0"/>
          <w:lang w:val="en-US"/>
        </w:rPr>
        <w:t xml:space="preserve"> and </w:t>
      </w:r>
      <w:r w:rsidR="00D839BE" w:rsidRPr="00610904">
        <w:rPr>
          <w:noProof w:val="0"/>
          <w:lang w:val="en-US"/>
        </w:rPr>
        <w:t>no</w:t>
      </w:r>
      <w:r w:rsidRPr="00610904">
        <w:rPr>
          <w:noProof w:val="0"/>
          <w:lang w:val="en-US"/>
        </w:rPr>
        <w:t xml:space="preserve">t in the province of </w:t>
      </w:r>
      <w:r w:rsidR="00D839BE" w:rsidRPr="00610904">
        <w:rPr>
          <w:noProof w:val="0"/>
          <w:lang w:val="en-US"/>
        </w:rPr>
        <w:t xml:space="preserve">Azuay, </w:t>
      </w:r>
      <w:r w:rsidRPr="00610904">
        <w:rPr>
          <w:noProof w:val="0"/>
          <w:lang w:val="en-US"/>
        </w:rPr>
        <w:t xml:space="preserve">which is where she lives with her family, because she had been mistreated by the person in charge of the HIV program in Cuenca. According to Talía’s testimony, the doctor who treats her in Cuenca “does not know how to provide the confidential, quality and </w:t>
      </w:r>
      <w:r w:rsidR="00AA493E" w:rsidRPr="00610904">
        <w:rPr>
          <w:noProof w:val="0"/>
          <w:lang w:val="en-US"/>
        </w:rPr>
        <w:t>friendly</w:t>
      </w:r>
      <w:r w:rsidRPr="00610904">
        <w:rPr>
          <w:noProof w:val="0"/>
          <w:lang w:val="en-US"/>
        </w:rPr>
        <w:t xml:space="preserve"> treatment to be expected of a public servant.</w:t>
      </w:r>
      <w:r w:rsidR="00D839BE" w:rsidRPr="00610904">
        <w:rPr>
          <w:noProof w:val="0"/>
          <w:lang w:val="en-US"/>
        </w:rPr>
        <w:t>”</w:t>
      </w:r>
      <w:r w:rsidR="001D5CE0" w:rsidRPr="00610904">
        <w:rPr>
          <w:rStyle w:val="FootnoteReference"/>
          <w:noProof w:val="0"/>
          <w:lang w:val="en-US"/>
        </w:rPr>
        <w:footnoteReference w:id="242"/>
      </w:r>
    </w:p>
    <w:p w:rsidR="00D839BE" w:rsidRPr="00610904" w:rsidRDefault="00D839BE" w:rsidP="00610904">
      <w:pPr>
        <w:rPr>
          <w:noProof w:val="0"/>
          <w:lang w:val="en-US"/>
        </w:rPr>
      </w:pPr>
    </w:p>
    <w:p w:rsidR="00D839BE" w:rsidRPr="00610904" w:rsidRDefault="009F3D78" w:rsidP="00610904">
      <w:pPr>
        <w:numPr>
          <w:ilvl w:val="0"/>
          <w:numId w:val="1"/>
        </w:numPr>
        <w:autoSpaceDE w:val="0"/>
        <w:autoSpaceDN w:val="0"/>
        <w:adjustRightInd w:val="0"/>
        <w:contextualSpacing/>
        <w:rPr>
          <w:rFonts w:cs="Arial"/>
          <w:b/>
          <w:noProof w:val="0"/>
          <w:spacing w:val="-2"/>
          <w:lang w:val="en-US"/>
        </w:rPr>
      </w:pPr>
      <w:r w:rsidRPr="00610904">
        <w:rPr>
          <w:noProof w:val="0"/>
          <w:lang w:val="en-US"/>
        </w:rPr>
        <w:t>The Court</w:t>
      </w:r>
      <w:r w:rsidR="00D839BE" w:rsidRPr="00610904">
        <w:rPr>
          <w:noProof w:val="0"/>
          <w:lang w:val="en-US"/>
        </w:rPr>
        <w:t xml:space="preserve"> conclu</w:t>
      </w:r>
      <w:r w:rsidR="00BB71B4" w:rsidRPr="00610904">
        <w:rPr>
          <w:noProof w:val="0"/>
          <w:lang w:val="en-US"/>
        </w:rPr>
        <w:t xml:space="preserve">des that, on some occasions, </w:t>
      </w:r>
      <w:r w:rsidR="00D839BE" w:rsidRPr="00610904">
        <w:rPr>
          <w:rFonts w:cs="Arial"/>
          <w:noProof w:val="0"/>
          <w:szCs w:val="20"/>
          <w:lang w:val="en-US"/>
        </w:rPr>
        <w:t>Talía</w:t>
      </w:r>
      <w:r w:rsidR="00010F61" w:rsidRPr="00610904">
        <w:rPr>
          <w:rFonts w:cs="Arial"/>
          <w:noProof w:val="0"/>
          <w:szCs w:val="20"/>
          <w:lang w:val="en-US"/>
        </w:rPr>
        <w:t xml:space="preserve"> Gonza</w:t>
      </w:r>
      <w:r w:rsidR="00D839BE" w:rsidRPr="00610904">
        <w:rPr>
          <w:rFonts w:cs="Arial"/>
          <w:noProof w:val="0"/>
          <w:szCs w:val="20"/>
          <w:lang w:val="en-US"/>
        </w:rPr>
        <w:t xml:space="preserve">les Lluy </w:t>
      </w:r>
      <w:r w:rsidR="00BB71B4" w:rsidRPr="00610904">
        <w:rPr>
          <w:rFonts w:cs="Arial"/>
          <w:noProof w:val="0"/>
          <w:szCs w:val="20"/>
          <w:lang w:val="en-US"/>
        </w:rPr>
        <w:t xml:space="preserve">has not had access to a safe and </w:t>
      </w:r>
      <w:r w:rsidR="00AA493E" w:rsidRPr="00610904">
        <w:rPr>
          <w:rFonts w:cs="Arial"/>
          <w:noProof w:val="0"/>
          <w:szCs w:val="20"/>
          <w:lang w:val="en-US"/>
        </w:rPr>
        <w:t>friendly</w:t>
      </w:r>
      <w:r w:rsidR="00BB71B4" w:rsidRPr="00610904">
        <w:rPr>
          <w:rFonts w:cs="Arial"/>
          <w:noProof w:val="0"/>
          <w:szCs w:val="20"/>
          <w:lang w:val="en-US"/>
        </w:rPr>
        <w:t xml:space="preserve"> environment in relation to her health care and that, at times, she reacted negatively to the type of care received. This negative reaction </w:t>
      </w:r>
      <w:r w:rsidR="00AA493E" w:rsidRPr="00610904">
        <w:rPr>
          <w:rFonts w:cs="Arial"/>
          <w:noProof w:val="0"/>
          <w:szCs w:val="20"/>
          <w:lang w:val="en-US"/>
        </w:rPr>
        <w:t>was</w:t>
      </w:r>
      <w:r w:rsidR="00BB71B4" w:rsidRPr="00610904">
        <w:rPr>
          <w:rFonts w:cs="Arial"/>
          <w:noProof w:val="0"/>
          <w:szCs w:val="20"/>
          <w:lang w:val="en-US"/>
        </w:rPr>
        <w:t xml:space="preserve"> associated with </w:t>
      </w:r>
      <w:r w:rsidR="00BB71B4" w:rsidRPr="00610904">
        <w:rPr>
          <w:rFonts w:cs="Arial"/>
          <w:noProof w:val="0"/>
          <w:szCs w:val="20"/>
          <w:lang w:val="en-US"/>
        </w:rPr>
        <w:lastRenderedPageBreak/>
        <w:t>tensions with the doctors who treat</w:t>
      </w:r>
      <w:r w:rsidR="00AA493E" w:rsidRPr="00610904">
        <w:rPr>
          <w:rFonts w:cs="Arial"/>
          <w:noProof w:val="0"/>
          <w:szCs w:val="20"/>
          <w:lang w:val="en-US"/>
        </w:rPr>
        <w:t>ed her at times when</w:t>
      </w:r>
      <w:r w:rsidR="00BB71B4" w:rsidRPr="00610904">
        <w:rPr>
          <w:rFonts w:cs="Arial"/>
          <w:noProof w:val="0"/>
          <w:szCs w:val="20"/>
          <w:lang w:val="en-US"/>
        </w:rPr>
        <w:t xml:space="preserve"> Talía and her family were asked to abide by the rules of the public health policies for HIV care. </w:t>
      </w:r>
      <w:r w:rsidR="00AA493E" w:rsidRPr="00610904">
        <w:rPr>
          <w:rFonts w:cs="Arial"/>
          <w:noProof w:val="0"/>
          <w:szCs w:val="20"/>
          <w:lang w:val="en-US"/>
        </w:rPr>
        <w:t>From time to time, there were also</w:t>
      </w:r>
      <w:r w:rsidR="00BB71B4" w:rsidRPr="00610904">
        <w:rPr>
          <w:rFonts w:cs="Arial"/>
          <w:noProof w:val="0"/>
          <w:szCs w:val="20"/>
          <w:lang w:val="en-US"/>
        </w:rPr>
        <w:t xml:space="preserve"> specific problems of availability of the viral load test and disputes on geographical accessibility </w:t>
      </w:r>
      <w:r w:rsidR="0065360C" w:rsidRPr="00610904">
        <w:rPr>
          <w:rFonts w:cs="Arial"/>
          <w:noProof w:val="0"/>
          <w:szCs w:val="20"/>
          <w:lang w:val="en-US"/>
        </w:rPr>
        <w:t>because the</w:t>
      </w:r>
      <w:r w:rsidR="00AA493E" w:rsidRPr="00610904">
        <w:rPr>
          <w:noProof w:val="0"/>
          <w:lang w:val="en-US"/>
        </w:rPr>
        <w:t xml:space="preserve"> presumed victim has</w:t>
      </w:r>
      <w:r w:rsidR="0065360C" w:rsidRPr="00610904">
        <w:rPr>
          <w:noProof w:val="0"/>
          <w:lang w:val="en-US"/>
        </w:rPr>
        <w:t xml:space="preserve"> had to travel to receive treatment</w:t>
      </w:r>
      <w:r w:rsidR="00BB71B4" w:rsidRPr="00610904">
        <w:rPr>
          <w:noProof w:val="0"/>
          <w:lang w:val="en-US"/>
        </w:rPr>
        <w:t>.</w:t>
      </w:r>
      <w:r w:rsidR="0065360C" w:rsidRPr="00610904">
        <w:rPr>
          <w:noProof w:val="0"/>
          <w:lang w:val="en-US"/>
        </w:rPr>
        <w:t xml:space="preserve"> However, these aspects are relat</w:t>
      </w:r>
      <w:r w:rsidR="00AA493E" w:rsidRPr="00610904">
        <w:rPr>
          <w:noProof w:val="0"/>
          <w:lang w:val="en-US"/>
        </w:rPr>
        <w:t>e</w:t>
      </w:r>
      <w:r w:rsidR="0065360C" w:rsidRPr="00610904">
        <w:rPr>
          <w:noProof w:val="0"/>
          <w:lang w:val="en-US"/>
        </w:rPr>
        <w:t xml:space="preserve">d to </w:t>
      </w:r>
      <w:r w:rsidR="00AA493E" w:rsidRPr="00610904">
        <w:rPr>
          <w:noProof w:val="0"/>
          <w:lang w:val="en-US"/>
        </w:rPr>
        <w:t>particular</w:t>
      </w:r>
      <w:r w:rsidR="0065360C" w:rsidRPr="00610904">
        <w:rPr>
          <w:noProof w:val="0"/>
          <w:lang w:val="en-US"/>
        </w:rPr>
        <w:t xml:space="preserve"> elements of the health care that, at specific moments, caused problems</w:t>
      </w:r>
      <w:r w:rsidR="00AA493E" w:rsidRPr="00610904">
        <w:rPr>
          <w:noProof w:val="0"/>
          <w:lang w:val="en-US"/>
        </w:rPr>
        <w:t>,</w:t>
      </w:r>
      <w:r w:rsidR="0065360C" w:rsidRPr="00610904">
        <w:rPr>
          <w:noProof w:val="0"/>
          <w:lang w:val="en-US"/>
        </w:rPr>
        <w:t xml:space="preserve"> but without being su</w:t>
      </w:r>
      <w:r w:rsidR="00AA493E" w:rsidRPr="00610904">
        <w:rPr>
          <w:noProof w:val="0"/>
          <w:lang w:val="en-US"/>
        </w:rPr>
        <w:t>f</w:t>
      </w:r>
      <w:r w:rsidR="0065360C" w:rsidRPr="00610904">
        <w:rPr>
          <w:noProof w:val="0"/>
          <w:lang w:val="en-US"/>
        </w:rPr>
        <w:t>ficient to undermine the global scope of the health care over more than a decade. In addition, some of the specific claims and reports concerning the health care have not been denounced before the Ministry of Health authorities, which – following investigations at the domestic level – would have provided more documentary evidence on the type of restriction</w:t>
      </w:r>
      <w:r w:rsidR="00AA493E" w:rsidRPr="00610904">
        <w:rPr>
          <w:noProof w:val="0"/>
          <w:lang w:val="en-US"/>
        </w:rPr>
        <w:t>s</w:t>
      </w:r>
      <w:r w:rsidR="0065360C" w:rsidRPr="00610904">
        <w:rPr>
          <w:noProof w:val="0"/>
          <w:lang w:val="en-US"/>
        </w:rPr>
        <w:t xml:space="preserve"> generated by the State, and the extent of the problems that the presumed victims alleged that they have suffered in aspects relating to the accessibility and acceptability of health care. Taking into account that the information on the overall treatment </w:t>
      </w:r>
      <w:r w:rsidR="00AA493E" w:rsidRPr="00610904">
        <w:rPr>
          <w:noProof w:val="0"/>
          <w:lang w:val="en-US"/>
        </w:rPr>
        <w:t>continuum</w:t>
      </w:r>
      <w:r w:rsidR="0065360C" w:rsidRPr="00610904">
        <w:rPr>
          <w:noProof w:val="0"/>
          <w:lang w:val="en-US"/>
        </w:rPr>
        <w:t xml:space="preserve"> presented by </w:t>
      </w:r>
      <w:r w:rsidR="00A8072E" w:rsidRPr="00610904">
        <w:rPr>
          <w:noProof w:val="0"/>
          <w:lang w:val="en-US"/>
        </w:rPr>
        <w:t xml:space="preserve">expert </w:t>
      </w:r>
      <w:r w:rsidR="00856968" w:rsidRPr="00610904">
        <w:rPr>
          <w:noProof w:val="0"/>
          <w:lang w:val="en-US"/>
        </w:rPr>
        <w:t>witnesses</w:t>
      </w:r>
      <w:r w:rsidR="00D839BE" w:rsidRPr="00610904">
        <w:rPr>
          <w:noProof w:val="0"/>
          <w:lang w:val="en-US"/>
        </w:rPr>
        <w:t xml:space="preserve"> </w:t>
      </w:r>
      <w:r w:rsidR="00D839BE" w:rsidRPr="00610904">
        <w:rPr>
          <w:rFonts w:cs="Arial"/>
          <w:noProof w:val="0"/>
          <w:shd w:val="clear" w:color="auto" w:fill="FFFFFF"/>
          <w:lang w:val="en-US"/>
        </w:rPr>
        <w:t>Diana Molina</w:t>
      </w:r>
      <w:r w:rsidRPr="00610904">
        <w:rPr>
          <w:rFonts w:cs="Arial"/>
          <w:noProof w:val="0"/>
          <w:shd w:val="clear" w:color="auto" w:fill="FFFFFF"/>
          <w:lang w:val="en-US"/>
        </w:rPr>
        <w:t xml:space="preserve"> and </w:t>
      </w:r>
      <w:r w:rsidR="00D839BE" w:rsidRPr="00610904">
        <w:rPr>
          <w:rFonts w:cs="Arial"/>
          <w:noProof w:val="0"/>
          <w:shd w:val="clear" w:color="auto" w:fill="FFFFFF"/>
          <w:lang w:val="en-US"/>
        </w:rPr>
        <w:t xml:space="preserve">Carmen del Rocío Carrasco </w:t>
      </w:r>
      <w:r w:rsidR="00D839BE" w:rsidRPr="00610904">
        <w:rPr>
          <w:noProof w:val="0"/>
          <w:lang w:val="en-US"/>
        </w:rPr>
        <w:t>(</w:t>
      </w:r>
      <w:r w:rsidR="00D839BE" w:rsidRPr="00610904">
        <w:rPr>
          <w:rFonts w:cs="Arial"/>
          <w:i/>
          <w:noProof w:val="0"/>
          <w:shd w:val="clear" w:color="auto" w:fill="FFFFFF"/>
          <w:lang w:val="en-US"/>
        </w:rPr>
        <w:t>supra</w:t>
      </w:r>
      <w:r w:rsidR="00D839BE" w:rsidRPr="00610904">
        <w:rPr>
          <w:rFonts w:cs="Arial"/>
          <w:noProof w:val="0"/>
          <w:shd w:val="clear" w:color="auto" w:fill="FFFFFF"/>
          <w:lang w:val="en-US"/>
        </w:rPr>
        <w:t xml:space="preserve"> </w:t>
      </w:r>
      <w:r w:rsidR="006E502B" w:rsidRPr="00610904">
        <w:rPr>
          <w:rFonts w:cs="Arial"/>
          <w:noProof w:val="0"/>
          <w:shd w:val="clear" w:color="auto" w:fill="FFFFFF"/>
          <w:lang w:val="en-US"/>
        </w:rPr>
        <w:t>paras.</w:t>
      </w:r>
      <w:r w:rsidR="00D839BE" w:rsidRPr="00610904">
        <w:rPr>
          <w:rFonts w:cs="Arial"/>
          <w:noProof w:val="0"/>
          <w:shd w:val="clear" w:color="auto" w:fill="FFFFFF"/>
          <w:lang w:val="en-US"/>
        </w:rPr>
        <w:t xml:space="preserve"> </w:t>
      </w:r>
      <w:r w:rsidR="0065360C" w:rsidRPr="00610904">
        <w:rPr>
          <w:rFonts w:cs="Arial"/>
          <w:noProof w:val="0"/>
          <w:shd w:val="clear" w:color="auto" w:fill="FFFFFF"/>
          <w:lang w:val="en-US"/>
        </w:rPr>
        <w:t>148 to</w:t>
      </w:r>
      <w:r w:rsidR="00D839BE" w:rsidRPr="00610904">
        <w:rPr>
          <w:rFonts w:cs="Arial"/>
          <w:noProof w:val="0"/>
          <w:shd w:val="clear" w:color="auto" w:fill="FFFFFF"/>
          <w:lang w:val="en-US"/>
        </w:rPr>
        <w:t xml:space="preserve"> 153</w:t>
      </w:r>
      <w:r w:rsidR="00D839BE" w:rsidRPr="00610904">
        <w:rPr>
          <w:noProof w:val="0"/>
          <w:lang w:val="en-US"/>
        </w:rPr>
        <w:t>)</w:t>
      </w:r>
      <w:r w:rsidR="0065360C" w:rsidRPr="00610904">
        <w:rPr>
          <w:noProof w:val="0"/>
          <w:lang w:val="en-US"/>
        </w:rPr>
        <w:t xml:space="preserve"> has not been disproved</w:t>
      </w:r>
      <w:r w:rsidR="00D839BE" w:rsidRPr="00610904">
        <w:rPr>
          <w:noProof w:val="0"/>
          <w:lang w:val="en-US"/>
        </w:rPr>
        <w:t>,</w:t>
      </w:r>
      <w:r w:rsidRPr="00610904">
        <w:rPr>
          <w:noProof w:val="0"/>
          <w:lang w:val="en-US"/>
        </w:rPr>
        <w:t xml:space="preserve"> and </w:t>
      </w:r>
      <w:r w:rsidR="0065360C" w:rsidRPr="00610904">
        <w:rPr>
          <w:noProof w:val="0"/>
          <w:lang w:val="en-US"/>
        </w:rPr>
        <w:t xml:space="preserve">based on an overall assessment of the health care over these 17 years that Talía has lived with the illness, without dwelling on isolated events at specific times, the Court considers that the evidence available is insufficient to attribute international responsibility to the State for a violation </w:t>
      </w:r>
      <w:r w:rsidR="00312B9E" w:rsidRPr="00610904">
        <w:rPr>
          <w:noProof w:val="0"/>
          <w:lang w:val="en-US"/>
        </w:rPr>
        <w:t xml:space="preserve">of the </w:t>
      </w:r>
      <w:r w:rsidR="00215C41" w:rsidRPr="00610904">
        <w:rPr>
          <w:noProof w:val="0"/>
          <w:lang w:val="en-US"/>
        </w:rPr>
        <w:t>right to life</w:t>
      </w:r>
      <w:r w:rsidRPr="00610904">
        <w:rPr>
          <w:noProof w:val="0"/>
          <w:lang w:val="en-US"/>
        </w:rPr>
        <w:t xml:space="preserve"> </w:t>
      </w:r>
      <w:r w:rsidR="000F35AC" w:rsidRPr="00610904">
        <w:rPr>
          <w:noProof w:val="0"/>
          <w:lang w:val="en-US"/>
        </w:rPr>
        <w:t>and to personal</w:t>
      </w:r>
      <w:r w:rsidR="008956E2" w:rsidRPr="00610904">
        <w:rPr>
          <w:noProof w:val="0"/>
          <w:lang w:val="en-US"/>
        </w:rPr>
        <w:t xml:space="preserve"> integrity</w:t>
      </w:r>
      <w:r w:rsidR="001B060C" w:rsidRPr="00610904">
        <w:rPr>
          <w:noProof w:val="0"/>
          <w:lang w:val="en-US"/>
        </w:rPr>
        <w:t xml:space="preserve"> </w:t>
      </w:r>
      <w:r w:rsidR="0065360C" w:rsidRPr="00610904">
        <w:rPr>
          <w:noProof w:val="0"/>
          <w:lang w:val="en-US"/>
        </w:rPr>
        <w:t>owing to the</w:t>
      </w:r>
      <w:r w:rsidR="001B060C" w:rsidRPr="00610904">
        <w:rPr>
          <w:noProof w:val="0"/>
          <w:lang w:val="en-US"/>
        </w:rPr>
        <w:t xml:space="preserve"> </w:t>
      </w:r>
      <w:r w:rsidR="00223622" w:rsidRPr="00610904">
        <w:rPr>
          <w:noProof w:val="0"/>
          <w:lang w:val="en-US"/>
        </w:rPr>
        <w:t>alleged</w:t>
      </w:r>
      <w:r w:rsidR="0065360C" w:rsidRPr="00610904">
        <w:rPr>
          <w:noProof w:val="0"/>
          <w:lang w:val="en-US"/>
        </w:rPr>
        <w:t xml:space="preserve"> lack of availability and quality of the services provided.</w:t>
      </w:r>
    </w:p>
    <w:p w:rsidR="00D839BE" w:rsidRPr="00610904" w:rsidRDefault="00D839BE" w:rsidP="00610904">
      <w:pPr>
        <w:rPr>
          <w:rFonts w:cs="Arial"/>
          <w:noProof w:val="0"/>
          <w:spacing w:val="-2"/>
          <w:lang w:val="en-US"/>
        </w:rPr>
      </w:pPr>
    </w:p>
    <w:p w:rsidR="00D839BE" w:rsidRPr="00610904" w:rsidRDefault="00D839BE" w:rsidP="00610904">
      <w:pPr>
        <w:autoSpaceDE w:val="0"/>
        <w:autoSpaceDN w:val="0"/>
        <w:adjustRightInd w:val="0"/>
        <w:jc w:val="center"/>
        <w:rPr>
          <w:rFonts w:cs="Arial"/>
          <w:noProof w:val="0"/>
          <w:spacing w:val="-2"/>
          <w:lang w:val="en-US"/>
        </w:rPr>
      </w:pPr>
      <w:r w:rsidRPr="00610904">
        <w:rPr>
          <w:rFonts w:cs="Arial"/>
          <w:noProof w:val="0"/>
          <w:spacing w:val="-2"/>
          <w:lang w:val="en-US"/>
        </w:rPr>
        <w:t>*</w:t>
      </w:r>
    </w:p>
    <w:p w:rsidR="00D839BE" w:rsidRPr="00610904" w:rsidRDefault="00D839BE" w:rsidP="00610904">
      <w:pPr>
        <w:rPr>
          <w:rFonts w:cs="Arial"/>
          <w:noProof w:val="0"/>
          <w:spacing w:val="-2"/>
          <w:lang w:val="en-US"/>
        </w:rPr>
      </w:pPr>
    </w:p>
    <w:p w:rsidR="00D839BE" w:rsidRPr="00610904" w:rsidRDefault="0065360C" w:rsidP="00610904">
      <w:pPr>
        <w:numPr>
          <w:ilvl w:val="0"/>
          <w:numId w:val="1"/>
        </w:numPr>
        <w:autoSpaceDE w:val="0"/>
        <w:autoSpaceDN w:val="0"/>
        <w:adjustRightInd w:val="0"/>
        <w:contextualSpacing/>
        <w:rPr>
          <w:rFonts w:cs="Arial"/>
          <w:noProof w:val="0"/>
          <w:spacing w:val="-2"/>
          <w:lang w:val="en-US"/>
        </w:rPr>
      </w:pPr>
      <w:r w:rsidRPr="00610904">
        <w:rPr>
          <w:noProof w:val="0"/>
          <w:lang w:val="en-US"/>
        </w:rPr>
        <w:t xml:space="preserve">Lastly, </w:t>
      </w:r>
      <w:r w:rsidR="009F3D78" w:rsidRPr="00610904">
        <w:rPr>
          <w:noProof w:val="0"/>
          <w:lang w:val="en-US"/>
        </w:rPr>
        <w:t>the Court</w:t>
      </w:r>
      <w:r w:rsidRPr="00610904">
        <w:rPr>
          <w:noProof w:val="0"/>
          <w:lang w:val="en-US"/>
        </w:rPr>
        <w:t xml:space="preserve"> observes that, among the evidence provided to the case file, and in the context of the request for </w:t>
      </w:r>
      <w:r w:rsidR="00A8072E" w:rsidRPr="00610904">
        <w:rPr>
          <w:noProof w:val="0"/>
          <w:lang w:val="en-US"/>
        </w:rPr>
        <w:t>provisional measures</w:t>
      </w:r>
      <w:r w:rsidR="00D839BE" w:rsidRPr="00610904">
        <w:rPr>
          <w:noProof w:val="0"/>
          <w:lang w:val="en-US"/>
        </w:rPr>
        <w:t xml:space="preserve"> </w:t>
      </w:r>
      <w:r w:rsidRPr="00610904">
        <w:rPr>
          <w:noProof w:val="0"/>
          <w:lang w:val="en-US"/>
        </w:rPr>
        <w:t>in this case</w:t>
      </w:r>
      <w:r w:rsidR="00D839BE" w:rsidRPr="00610904">
        <w:rPr>
          <w:noProof w:val="0"/>
          <w:lang w:val="en-US"/>
        </w:rPr>
        <w:t xml:space="preserve"> (</w:t>
      </w:r>
      <w:r w:rsidR="00D839BE" w:rsidRPr="00610904">
        <w:rPr>
          <w:i/>
          <w:noProof w:val="0"/>
          <w:lang w:val="en-US"/>
        </w:rPr>
        <w:t>supra</w:t>
      </w:r>
      <w:r w:rsidR="00D839BE" w:rsidRPr="00610904">
        <w:rPr>
          <w:noProof w:val="0"/>
          <w:lang w:val="en-US"/>
        </w:rPr>
        <w:t xml:space="preserve"> </w:t>
      </w:r>
      <w:r w:rsidR="006E502B" w:rsidRPr="00610904">
        <w:rPr>
          <w:noProof w:val="0"/>
          <w:lang w:val="en-US"/>
        </w:rPr>
        <w:t>para.</w:t>
      </w:r>
      <w:r w:rsidR="00D839BE" w:rsidRPr="00610904">
        <w:rPr>
          <w:noProof w:val="0"/>
          <w:lang w:val="en-US"/>
        </w:rPr>
        <w:t xml:space="preserve"> 14)</w:t>
      </w:r>
      <w:r w:rsidRPr="00610904">
        <w:rPr>
          <w:noProof w:val="0"/>
          <w:lang w:val="en-US"/>
        </w:rPr>
        <w:t xml:space="preserve">, it has been reported that, over the last year, </w:t>
      </w:r>
      <w:r w:rsidR="00D839BE" w:rsidRPr="00610904">
        <w:rPr>
          <w:noProof w:val="0"/>
          <w:lang w:val="en-US"/>
        </w:rPr>
        <w:t>Talía ha</w:t>
      </w:r>
      <w:r w:rsidRPr="00610904">
        <w:rPr>
          <w:noProof w:val="0"/>
          <w:lang w:val="en-US"/>
        </w:rPr>
        <w:t xml:space="preserve">s had a low CD4 cell count, which was 366 on </w:t>
      </w:r>
      <w:r w:rsidR="005550B0" w:rsidRPr="00610904">
        <w:rPr>
          <w:noProof w:val="0"/>
          <w:lang w:val="en-US"/>
        </w:rPr>
        <w:t>November 5,</w:t>
      </w:r>
      <w:r w:rsidR="00D839BE" w:rsidRPr="00610904">
        <w:rPr>
          <w:noProof w:val="0"/>
          <w:lang w:val="en-US"/>
        </w:rPr>
        <w:t xml:space="preserve"> 2014</w:t>
      </w:r>
      <w:r w:rsidRPr="00610904">
        <w:rPr>
          <w:noProof w:val="0"/>
          <w:lang w:val="en-US"/>
        </w:rPr>
        <w:t xml:space="preserve">, while before she began to take the medication ordered at this recent stage of treatment the count was </w:t>
      </w:r>
      <w:r w:rsidR="00D839BE" w:rsidRPr="00610904">
        <w:rPr>
          <w:noProof w:val="0"/>
          <w:lang w:val="en-US"/>
        </w:rPr>
        <w:t>518</w:t>
      </w:r>
      <w:r w:rsidRPr="00610904">
        <w:rPr>
          <w:noProof w:val="0"/>
          <w:lang w:val="en-US"/>
        </w:rPr>
        <w:t>.</w:t>
      </w:r>
      <w:r w:rsidR="00035C38" w:rsidRPr="00610904">
        <w:rPr>
          <w:rStyle w:val="FootnoteReference"/>
          <w:noProof w:val="0"/>
          <w:lang w:val="en-US"/>
        </w:rPr>
        <w:footnoteReference w:id="243"/>
      </w:r>
      <w:r w:rsidRPr="00610904">
        <w:rPr>
          <w:noProof w:val="0"/>
          <w:lang w:val="en-US"/>
        </w:rPr>
        <w:t xml:space="preserve"> On this point, the State has indicated that “the standards used by the </w:t>
      </w:r>
      <w:r w:rsidR="00830022" w:rsidRPr="00610904">
        <w:rPr>
          <w:noProof w:val="0"/>
          <w:lang w:val="en-US"/>
        </w:rPr>
        <w:t>Ministry of Public Health</w:t>
      </w:r>
      <w:r w:rsidR="00D839BE" w:rsidRPr="00610904">
        <w:rPr>
          <w:noProof w:val="0"/>
          <w:lang w:val="en-US"/>
        </w:rPr>
        <w:t xml:space="preserve"> </w:t>
      </w:r>
      <w:r w:rsidRPr="00610904">
        <w:rPr>
          <w:noProof w:val="0"/>
          <w:lang w:val="en-US"/>
        </w:rPr>
        <w:t xml:space="preserve">are completely aligned with those recommended by </w:t>
      </w:r>
      <w:r w:rsidR="00A8072E" w:rsidRPr="00610904">
        <w:rPr>
          <w:noProof w:val="0"/>
          <w:lang w:val="en-US"/>
        </w:rPr>
        <w:t>the WHO</w:t>
      </w:r>
      <w:r w:rsidR="00D839BE" w:rsidRPr="00610904">
        <w:rPr>
          <w:noProof w:val="0"/>
          <w:lang w:val="en-US"/>
        </w:rPr>
        <w:t>, inclu</w:t>
      </w:r>
      <w:r w:rsidRPr="00610904">
        <w:rPr>
          <w:noProof w:val="0"/>
          <w:lang w:val="en-US"/>
        </w:rPr>
        <w:t xml:space="preserve">ding the </w:t>
      </w:r>
      <w:r w:rsidR="00D839BE" w:rsidRPr="00610904">
        <w:rPr>
          <w:noProof w:val="0"/>
          <w:lang w:val="en-US"/>
        </w:rPr>
        <w:t xml:space="preserve">2.0 </w:t>
      </w:r>
      <w:r w:rsidRPr="00610904">
        <w:rPr>
          <w:noProof w:val="0"/>
          <w:lang w:val="en-US"/>
        </w:rPr>
        <w:t xml:space="preserve">which introduced a new combination with [a new] leading edge drug, despite the </w:t>
      </w:r>
      <w:r w:rsidR="00856968" w:rsidRPr="00610904">
        <w:rPr>
          <w:noProof w:val="0"/>
          <w:lang w:val="en-US"/>
        </w:rPr>
        <w:t>significant</w:t>
      </w:r>
      <w:r w:rsidRPr="00610904">
        <w:rPr>
          <w:noProof w:val="0"/>
          <w:lang w:val="en-US"/>
        </w:rPr>
        <w:t xml:space="preserve"> cost th</w:t>
      </w:r>
      <w:r w:rsidR="00AA493E" w:rsidRPr="00610904">
        <w:rPr>
          <w:noProof w:val="0"/>
          <w:lang w:val="en-US"/>
        </w:rPr>
        <w:t>a</w:t>
      </w:r>
      <w:r w:rsidRPr="00610904">
        <w:rPr>
          <w:noProof w:val="0"/>
          <w:lang w:val="en-US"/>
        </w:rPr>
        <w:t xml:space="preserve">t this represents for the </w:t>
      </w:r>
      <w:r w:rsidR="009F3D78" w:rsidRPr="00610904">
        <w:rPr>
          <w:noProof w:val="0"/>
          <w:lang w:val="en-US"/>
        </w:rPr>
        <w:t>State</w:t>
      </w:r>
      <w:r w:rsidRPr="00610904">
        <w:rPr>
          <w:noProof w:val="0"/>
          <w:lang w:val="en-US"/>
        </w:rPr>
        <w:t>.</w:t>
      </w:r>
      <w:r w:rsidR="00D839BE" w:rsidRPr="00610904">
        <w:rPr>
          <w:noProof w:val="0"/>
          <w:lang w:val="en-US"/>
        </w:rPr>
        <w:t>”</w:t>
      </w:r>
      <w:r w:rsidRPr="00610904">
        <w:rPr>
          <w:noProof w:val="0"/>
          <w:lang w:val="en-US"/>
        </w:rPr>
        <w:t xml:space="preserve"> The State also pointed out that</w:t>
      </w:r>
      <w:r w:rsidR="00AA493E" w:rsidRPr="00610904">
        <w:rPr>
          <w:noProof w:val="0"/>
          <w:lang w:val="en-US"/>
        </w:rPr>
        <w:t>,</w:t>
      </w:r>
      <w:r w:rsidRPr="00610904">
        <w:rPr>
          <w:noProof w:val="0"/>
          <w:lang w:val="en-US"/>
        </w:rPr>
        <w:t xml:space="preserve"> “</w:t>
      </w:r>
      <w:proofErr w:type="gramStart"/>
      <w:r w:rsidRPr="00610904">
        <w:rPr>
          <w:noProof w:val="0"/>
          <w:lang w:val="en-US"/>
        </w:rPr>
        <w:t>as</w:t>
      </w:r>
      <w:proofErr w:type="gramEnd"/>
      <w:r w:rsidRPr="00610904">
        <w:rPr>
          <w:noProof w:val="0"/>
          <w:lang w:val="en-US"/>
        </w:rPr>
        <w:t xml:space="preserve"> with any pathology, HIV has its own natural course and evolution, during which there is a progressive decline in the CD4 count, [which] is not necessarily related to the drug treatment.” The State indicated that this </w:t>
      </w:r>
      <w:r w:rsidR="00AA493E" w:rsidRPr="00610904">
        <w:rPr>
          <w:noProof w:val="0"/>
          <w:lang w:val="en-US"/>
        </w:rPr>
        <w:t>connection</w:t>
      </w:r>
      <w:r w:rsidRPr="00610904">
        <w:rPr>
          <w:noProof w:val="0"/>
          <w:lang w:val="en-US"/>
        </w:rPr>
        <w:t xml:space="preserve"> could only be proved by means of an expert medical appraisal.</w:t>
      </w:r>
    </w:p>
    <w:p w:rsidR="00D839BE" w:rsidRPr="00610904" w:rsidRDefault="00D839BE" w:rsidP="00610904">
      <w:pPr>
        <w:rPr>
          <w:noProof w:val="0"/>
          <w:lang w:val="en-US"/>
        </w:rPr>
      </w:pPr>
    </w:p>
    <w:p w:rsidR="00D839BE" w:rsidRPr="00610904" w:rsidRDefault="00A8072E" w:rsidP="00610904">
      <w:pPr>
        <w:numPr>
          <w:ilvl w:val="0"/>
          <w:numId w:val="1"/>
        </w:numPr>
        <w:autoSpaceDE w:val="0"/>
        <w:autoSpaceDN w:val="0"/>
        <w:adjustRightInd w:val="0"/>
        <w:contextualSpacing/>
        <w:rPr>
          <w:rFonts w:cs="Arial"/>
          <w:noProof w:val="0"/>
          <w:spacing w:val="-2"/>
          <w:lang w:val="en-US"/>
        </w:rPr>
      </w:pPr>
      <w:r w:rsidRPr="00610904">
        <w:rPr>
          <w:noProof w:val="0"/>
          <w:lang w:val="en-US"/>
        </w:rPr>
        <w:t>This Court</w:t>
      </w:r>
      <w:r w:rsidR="00D839BE" w:rsidRPr="00610904">
        <w:rPr>
          <w:noProof w:val="0"/>
          <w:lang w:val="en-US"/>
        </w:rPr>
        <w:t xml:space="preserve"> </w:t>
      </w:r>
      <w:r w:rsidR="0065360C" w:rsidRPr="00610904">
        <w:rPr>
          <w:noProof w:val="0"/>
          <w:lang w:val="en-US"/>
        </w:rPr>
        <w:t>finds that these aspects relat</w:t>
      </w:r>
      <w:r w:rsidR="00AA493E" w:rsidRPr="00610904">
        <w:rPr>
          <w:noProof w:val="0"/>
          <w:lang w:val="en-US"/>
        </w:rPr>
        <w:t>e</w:t>
      </w:r>
      <w:r w:rsidR="0065360C" w:rsidRPr="00610904">
        <w:rPr>
          <w:noProof w:val="0"/>
          <w:lang w:val="en-US"/>
        </w:rPr>
        <w:t>d to the decrea</w:t>
      </w:r>
      <w:r w:rsidR="00AA493E" w:rsidRPr="00610904">
        <w:rPr>
          <w:noProof w:val="0"/>
          <w:lang w:val="en-US"/>
        </w:rPr>
        <w:t>s</w:t>
      </w:r>
      <w:r w:rsidR="0065360C" w:rsidRPr="00610904">
        <w:rPr>
          <w:noProof w:val="0"/>
          <w:lang w:val="en-US"/>
        </w:rPr>
        <w:t xml:space="preserve">e in the CD4 count </w:t>
      </w:r>
      <w:r w:rsidR="00AA493E" w:rsidRPr="00610904">
        <w:rPr>
          <w:noProof w:val="0"/>
          <w:lang w:val="en-US"/>
        </w:rPr>
        <w:t xml:space="preserve">are </w:t>
      </w:r>
      <w:r w:rsidR="0065360C" w:rsidRPr="00610904">
        <w:rPr>
          <w:noProof w:val="0"/>
          <w:lang w:val="en-US"/>
        </w:rPr>
        <w:t xml:space="preserve">extremely complex technical elements that it is not for the Court to assess in this chapter in terms of attributing responsibility to the State. The alleged problems in the medicines provided by </w:t>
      </w:r>
      <w:r w:rsidR="009F3D78" w:rsidRPr="00610904">
        <w:rPr>
          <w:noProof w:val="0"/>
          <w:lang w:val="en-US"/>
        </w:rPr>
        <w:t>the State</w:t>
      </w:r>
      <w:r w:rsidR="00D839BE" w:rsidRPr="00610904">
        <w:rPr>
          <w:noProof w:val="0"/>
          <w:lang w:val="en-US"/>
        </w:rPr>
        <w:t xml:space="preserve"> </w:t>
      </w:r>
      <w:r w:rsidR="0065360C" w:rsidRPr="00610904">
        <w:rPr>
          <w:noProof w:val="0"/>
          <w:lang w:val="en-US"/>
        </w:rPr>
        <w:t xml:space="preserve">in relation to the deterioration in defenses and antibodies, and the risk that this could imply to someone </w:t>
      </w:r>
      <w:r w:rsidR="00AA493E" w:rsidRPr="00610904">
        <w:rPr>
          <w:noProof w:val="0"/>
          <w:lang w:val="en-US"/>
        </w:rPr>
        <w:t>living</w:t>
      </w:r>
      <w:r w:rsidR="0065360C" w:rsidRPr="00610904">
        <w:rPr>
          <w:noProof w:val="0"/>
          <w:lang w:val="en-US"/>
        </w:rPr>
        <w:t xml:space="preserve"> with </w:t>
      </w:r>
      <w:r w:rsidRPr="00610904">
        <w:rPr>
          <w:noProof w:val="0"/>
          <w:lang w:val="en-US"/>
        </w:rPr>
        <w:t>AIDS</w:t>
      </w:r>
      <w:r w:rsidR="00D839BE" w:rsidRPr="00610904">
        <w:rPr>
          <w:noProof w:val="0"/>
          <w:lang w:val="en-US"/>
        </w:rPr>
        <w:t xml:space="preserve"> </w:t>
      </w:r>
      <w:r w:rsidR="0065360C" w:rsidRPr="00610904">
        <w:rPr>
          <w:noProof w:val="0"/>
          <w:lang w:val="en-US"/>
        </w:rPr>
        <w:t xml:space="preserve">will be assessed in the section on </w:t>
      </w:r>
      <w:r w:rsidR="00795F5F" w:rsidRPr="00610904">
        <w:rPr>
          <w:noProof w:val="0"/>
          <w:lang w:val="en-US"/>
        </w:rPr>
        <w:t>reparations</w:t>
      </w:r>
      <w:r w:rsidR="00D839BE" w:rsidRPr="00610904">
        <w:rPr>
          <w:noProof w:val="0"/>
          <w:lang w:val="en-US"/>
        </w:rPr>
        <w:t xml:space="preserve">. </w:t>
      </w:r>
    </w:p>
    <w:p w:rsidR="00D839BE" w:rsidRPr="00610904" w:rsidRDefault="00D839BE" w:rsidP="00610904">
      <w:pPr>
        <w:rPr>
          <w:rFonts w:cs="Arial"/>
          <w:noProof w:val="0"/>
          <w:spacing w:val="-2"/>
          <w:lang w:val="en-US"/>
        </w:rPr>
      </w:pPr>
    </w:p>
    <w:p w:rsidR="00D839BE" w:rsidRPr="00610904" w:rsidRDefault="005550B0" w:rsidP="00610904">
      <w:pPr>
        <w:pStyle w:val="Heading2"/>
        <w:numPr>
          <w:ilvl w:val="0"/>
          <w:numId w:val="16"/>
        </w:numPr>
        <w:rPr>
          <w:caps/>
          <w:noProof w:val="0"/>
          <w:lang w:val="en-US"/>
        </w:rPr>
      </w:pPr>
      <w:bookmarkStart w:id="102" w:name="_Toc429519502"/>
      <w:bookmarkStart w:id="103" w:name="_Toc443399101"/>
      <w:r w:rsidRPr="00610904">
        <w:rPr>
          <w:noProof w:val="0"/>
          <w:lang w:val="en-US"/>
        </w:rPr>
        <w:t>Right to personal integrity of</w:t>
      </w:r>
      <w:r w:rsidR="00D839BE" w:rsidRPr="00610904">
        <w:rPr>
          <w:noProof w:val="0"/>
          <w:lang w:val="en-US"/>
        </w:rPr>
        <w:t xml:space="preserve"> Teresa Lluy </w:t>
      </w:r>
      <w:r w:rsidRPr="00610904">
        <w:rPr>
          <w:noProof w:val="0"/>
          <w:lang w:val="en-US"/>
        </w:rPr>
        <w:t>and Iván</w:t>
      </w:r>
      <w:r w:rsidR="00D839BE" w:rsidRPr="00610904">
        <w:rPr>
          <w:noProof w:val="0"/>
          <w:lang w:val="en-US"/>
        </w:rPr>
        <w:t xml:space="preserve"> Lluy</w:t>
      </w:r>
      <w:bookmarkEnd w:id="102"/>
      <w:bookmarkEnd w:id="103"/>
    </w:p>
    <w:p w:rsidR="00D839BE" w:rsidRPr="00610904" w:rsidRDefault="00D839BE" w:rsidP="00610904">
      <w:pPr>
        <w:tabs>
          <w:tab w:val="left" w:pos="709"/>
          <w:tab w:val="left" w:pos="10065"/>
        </w:tabs>
        <w:ind w:left="567" w:right="735"/>
        <w:rPr>
          <w:i/>
          <w:noProof w:val="0"/>
          <w:szCs w:val="20"/>
          <w:lang w:val="en-US"/>
        </w:rPr>
      </w:pPr>
    </w:p>
    <w:p w:rsidR="00D839BE" w:rsidRPr="00610904" w:rsidRDefault="00223622" w:rsidP="00610904">
      <w:pPr>
        <w:tabs>
          <w:tab w:val="left" w:pos="709"/>
          <w:tab w:val="left" w:pos="10065"/>
        </w:tabs>
        <w:ind w:left="720" w:right="735"/>
        <w:rPr>
          <w:i/>
          <w:noProof w:val="0"/>
          <w:szCs w:val="20"/>
          <w:lang w:val="en-US"/>
        </w:rPr>
      </w:pPr>
      <w:r w:rsidRPr="00610904">
        <w:rPr>
          <w:i/>
          <w:noProof w:val="0"/>
          <w:szCs w:val="20"/>
          <w:lang w:val="en-US"/>
        </w:rPr>
        <w:t>Arguments</w:t>
      </w:r>
      <w:r w:rsidR="003309BE" w:rsidRPr="00610904">
        <w:rPr>
          <w:i/>
          <w:noProof w:val="0"/>
          <w:szCs w:val="20"/>
          <w:lang w:val="en-US"/>
        </w:rPr>
        <w:t xml:space="preserve"> of the </w:t>
      </w:r>
      <w:r w:rsidR="002F5BBA" w:rsidRPr="00610904">
        <w:rPr>
          <w:i/>
          <w:noProof w:val="0"/>
          <w:szCs w:val="20"/>
          <w:lang w:val="en-US"/>
        </w:rPr>
        <w:t>Commission</w:t>
      </w:r>
      <w:r w:rsidR="009F3D78" w:rsidRPr="00610904">
        <w:rPr>
          <w:i/>
          <w:noProof w:val="0"/>
          <w:szCs w:val="20"/>
          <w:lang w:val="en-US"/>
        </w:rPr>
        <w:t xml:space="preserve"> </w:t>
      </w:r>
      <w:r w:rsidR="0013395A" w:rsidRPr="00610904">
        <w:rPr>
          <w:i/>
          <w:noProof w:val="0"/>
          <w:szCs w:val="20"/>
          <w:lang w:val="en-US"/>
        </w:rPr>
        <w:t>and of the parties</w:t>
      </w:r>
    </w:p>
    <w:p w:rsidR="00D839BE" w:rsidRPr="00610904" w:rsidRDefault="00D839BE" w:rsidP="00610904">
      <w:pPr>
        <w:rPr>
          <w:noProof w:val="0"/>
          <w:lang w:val="en-US"/>
        </w:rPr>
      </w:pPr>
    </w:p>
    <w:p w:rsidR="00D839BE" w:rsidRPr="00610904" w:rsidRDefault="002F5BBA" w:rsidP="00610904">
      <w:pPr>
        <w:numPr>
          <w:ilvl w:val="0"/>
          <w:numId w:val="1"/>
        </w:numPr>
        <w:contextualSpacing/>
        <w:rPr>
          <w:noProof w:val="0"/>
          <w:lang w:val="en-US"/>
        </w:rPr>
      </w:pPr>
      <w:r w:rsidRPr="00610904">
        <w:rPr>
          <w:noProof w:val="0"/>
          <w:szCs w:val="20"/>
          <w:lang w:val="en-US"/>
        </w:rPr>
        <w:t>The Commission</w:t>
      </w:r>
      <w:r w:rsidR="0065360C" w:rsidRPr="00610904">
        <w:rPr>
          <w:noProof w:val="0"/>
          <w:szCs w:val="20"/>
          <w:lang w:val="en-US"/>
        </w:rPr>
        <w:t>, in its</w:t>
      </w:r>
      <w:r w:rsidR="00D839BE" w:rsidRPr="00610904">
        <w:rPr>
          <w:noProof w:val="0"/>
          <w:szCs w:val="20"/>
          <w:lang w:val="en-US"/>
        </w:rPr>
        <w:t xml:space="preserve"> </w:t>
      </w:r>
      <w:r w:rsidR="006E502B" w:rsidRPr="00610904">
        <w:rPr>
          <w:noProof w:val="0"/>
          <w:szCs w:val="20"/>
          <w:lang w:val="en-US"/>
        </w:rPr>
        <w:t>Merits Report</w:t>
      </w:r>
      <w:r w:rsidR="0065360C" w:rsidRPr="00610904">
        <w:rPr>
          <w:noProof w:val="0"/>
          <w:szCs w:val="20"/>
          <w:lang w:val="en-US"/>
        </w:rPr>
        <w:t xml:space="preserve">, ruled on the violation </w:t>
      </w:r>
      <w:r w:rsidR="006E502B" w:rsidRPr="00610904">
        <w:rPr>
          <w:noProof w:val="0"/>
          <w:szCs w:val="20"/>
          <w:lang w:val="en-US"/>
        </w:rPr>
        <w:t>of Article</w:t>
      </w:r>
      <w:r w:rsidR="00D839BE" w:rsidRPr="00610904">
        <w:rPr>
          <w:noProof w:val="0"/>
          <w:szCs w:val="20"/>
          <w:lang w:val="en-US"/>
        </w:rPr>
        <w:t xml:space="preserve"> 5</w:t>
      </w:r>
      <w:r w:rsidR="009F3D78" w:rsidRPr="00610904">
        <w:rPr>
          <w:noProof w:val="0"/>
          <w:szCs w:val="20"/>
          <w:lang w:val="en-US"/>
        </w:rPr>
        <w:t xml:space="preserve"> of the American Convention</w:t>
      </w:r>
      <w:r w:rsidR="00D839BE" w:rsidRPr="00610904">
        <w:rPr>
          <w:noProof w:val="0"/>
          <w:szCs w:val="20"/>
          <w:lang w:val="en-US"/>
        </w:rPr>
        <w:t xml:space="preserve"> </w:t>
      </w:r>
      <w:r w:rsidR="0065360C" w:rsidRPr="00610904">
        <w:rPr>
          <w:noProof w:val="0"/>
          <w:szCs w:val="20"/>
          <w:lang w:val="en-US"/>
        </w:rPr>
        <w:t>with regard to</w:t>
      </w:r>
      <w:r w:rsidR="00D839BE" w:rsidRPr="00610904">
        <w:rPr>
          <w:noProof w:val="0"/>
          <w:szCs w:val="20"/>
          <w:lang w:val="en-US"/>
        </w:rPr>
        <w:t xml:space="preserve"> Teresa</w:t>
      </w:r>
      <w:r w:rsidR="00D839BE" w:rsidRPr="00610904">
        <w:rPr>
          <w:rFonts w:cs="Arial"/>
          <w:noProof w:val="0"/>
          <w:snapToGrid w:val="0"/>
          <w:szCs w:val="20"/>
          <w:lang w:val="en-US"/>
        </w:rPr>
        <w:t xml:space="preserve"> Lluy</w:t>
      </w:r>
      <w:r w:rsidR="00D839BE" w:rsidRPr="00610904">
        <w:rPr>
          <w:noProof w:val="0"/>
          <w:szCs w:val="20"/>
          <w:lang w:val="en-US"/>
        </w:rPr>
        <w:t xml:space="preserve"> </w:t>
      </w:r>
      <w:r w:rsidR="005550B0" w:rsidRPr="00610904">
        <w:rPr>
          <w:noProof w:val="0"/>
          <w:szCs w:val="20"/>
          <w:lang w:val="en-US"/>
        </w:rPr>
        <w:t>and Iván</w:t>
      </w:r>
      <w:r w:rsidR="00D839BE" w:rsidRPr="00610904">
        <w:rPr>
          <w:noProof w:val="0"/>
          <w:szCs w:val="20"/>
          <w:lang w:val="en-US"/>
        </w:rPr>
        <w:t xml:space="preserve"> </w:t>
      </w:r>
      <w:r w:rsidR="00D839BE" w:rsidRPr="00610904">
        <w:rPr>
          <w:rFonts w:cs="Arial"/>
          <w:noProof w:val="0"/>
          <w:snapToGrid w:val="0"/>
          <w:szCs w:val="20"/>
          <w:lang w:val="en-US"/>
        </w:rPr>
        <w:t>Lluy,</w:t>
      </w:r>
      <w:r w:rsidR="00D839BE" w:rsidRPr="00610904">
        <w:rPr>
          <w:noProof w:val="0"/>
          <w:szCs w:val="20"/>
          <w:lang w:val="en-US"/>
        </w:rPr>
        <w:t xml:space="preserve"> indic</w:t>
      </w:r>
      <w:r w:rsidR="0065360C" w:rsidRPr="00610904">
        <w:rPr>
          <w:noProof w:val="0"/>
          <w:szCs w:val="20"/>
          <w:lang w:val="en-US"/>
        </w:rPr>
        <w:t xml:space="preserve">ating that </w:t>
      </w:r>
      <w:r w:rsidR="00D839BE" w:rsidRPr="00610904">
        <w:rPr>
          <w:noProof w:val="0"/>
          <w:szCs w:val="20"/>
          <w:lang w:val="en-US"/>
        </w:rPr>
        <w:t>“</w:t>
      </w:r>
      <w:r w:rsidR="009F3D78" w:rsidRPr="00610904">
        <w:rPr>
          <w:noProof w:val="0"/>
          <w:szCs w:val="20"/>
          <w:lang w:val="en-US"/>
        </w:rPr>
        <w:t>the State</w:t>
      </w:r>
      <w:r w:rsidR="00D839BE" w:rsidRPr="00610904">
        <w:rPr>
          <w:noProof w:val="0"/>
          <w:szCs w:val="20"/>
          <w:lang w:val="en-US"/>
        </w:rPr>
        <w:t xml:space="preserve"> </w:t>
      </w:r>
      <w:r w:rsidR="004A6E8B" w:rsidRPr="00610904">
        <w:rPr>
          <w:noProof w:val="0"/>
          <w:szCs w:val="20"/>
          <w:lang w:val="en-US"/>
        </w:rPr>
        <w:t>is responsible for the violation</w:t>
      </w:r>
      <w:r w:rsidR="00D839BE" w:rsidRPr="00610904">
        <w:rPr>
          <w:noProof w:val="0"/>
          <w:szCs w:val="20"/>
          <w:lang w:val="en-US"/>
        </w:rPr>
        <w:t xml:space="preserve"> </w:t>
      </w:r>
      <w:r w:rsidR="0065360C" w:rsidRPr="00610904">
        <w:rPr>
          <w:noProof w:val="0"/>
          <w:szCs w:val="20"/>
          <w:lang w:val="en-US"/>
        </w:rPr>
        <w:t xml:space="preserve">of the right to mental and moral integrity of </w:t>
      </w:r>
      <w:proofErr w:type="gramStart"/>
      <w:r w:rsidR="0065360C" w:rsidRPr="00610904">
        <w:rPr>
          <w:noProof w:val="0"/>
          <w:szCs w:val="20"/>
          <w:lang w:val="en-US"/>
        </w:rPr>
        <w:t>T[</w:t>
      </w:r>
      <w:proofErr w:type="gramEnd"/>
      <w:r w:rsidR="0065360C" w:rsidRPr="00610904">
        <w:rPr>
          <w:noProof w:val="0"/>
          <w:szCs w:val="20"/>
          <w:lang w:val="en-US"/>
        </w:rPr>
        <w:t xml:space="preserve">alía’s] mother and </w:t>
      </w:r>
      <w:r w:rsidR="0065360C" w:rsidRPr="00610904">
        <w:rPr>
          <w:noProof w:val="0"/>
          <w:szCs w:val="20"/>
          <w:lang w:val="en-US"/>
        </w:rPr>
        <w:lastRenderedPageBreak/>
        <w:t xml:space="preserve">brother.” According to the Commission, this violation </w:t>
      </w:r>
      <w:r w:rsidR="006F07E6" w:rsidRPr="00610904">
        <w:rPr>
          <w:noProof w:val="0"/>
          <w:szCs w:val="20"/>
          <w:lang w:val="en-US"/>
        </w:rPr>
        <w:t>resulted from</w:t>
      </w:r>
      <w:r w:rsidR="0065360C" w:rsidRPr="00610904">
        <w:rPr>
          <w:noProof w:val="0"/>
          <w:szCs w:val="20"/>
          <w:lang w:val="en-US"/>
        </w:rPr>
        <w:t xml:space="preserve"> the deterioration in Talía’s health and the lack of </w:t>
      </w:r>
      <w:r w:rsidR="006F07E6" w:rsidRPr="00610904">
        <w:rPr>
          <w:noProof w:val="0"/>
          <w:szCs w:val="20"/>
          <w:lang w:val="en-US"/>
        </w:rPr>
        <w:t>medical treatment, as well as from</w:t>
      </w:r>
      <w:r w:rsidR="0065360C" w:rsidRPr="00610904">
        <w:rPr>
          <w:noProof w:val="0"/>
          <w:szCs w:val="20"/>
          <w:lang w:val="en-US"/>
        </w:rPr>
        <w:t xml:space="preserve"> the discrimination arising from being </w:t>
      </w:r>
      <w:r w:rsidR="006F07E6" w:rsidRPr="00610904">
        <w:rPr>
          <w:noProof w:val="0"/>
          <w:szCs w:val="20"/>
          <w:lang w:val="en-US"/>
        </w:rPr>
        <w:t xml:space="preserve">a </w:t>
      </w:r>
      <w:r w:rsidR="0065360C" w:rsidRPr="00610904">
        <w:rPr>
          <w:noProof w:val="0"/>
          <w:szCs w:val="20"/>
          <w:lang w:val="en-US"/>
        </w:rPr>
        <w:t>person with HIV. The C</w:t>
      </w:r>
      <w:r w:rsidR="006F07E6" w:rsidRPr="00610904">
        <w:rPr>
          <w:noProof w:val="0"/>
          <w:szCs w:val="20"/>
          <w:lang w:val="en-US"/>
        </w:rPr>
        <w:t>ommission also asserted that</w:t>
      </w:r>
      <w:r w:rsidR="0065360C" w:rsidRPr="00610904">
        <w:rPr>
          <w:noProof w:val="0"/>
          <w:szCs w:val="20"/>
          <w:lang w:val="en-US"/>
        </w:rPr>
        <w:t xml:space="preserve"> Talía’s situation as a person with HIV “has caused serious harm that extends to her immediate family” and “the basic conditions to lead a decent life.” The Commission also argued that Talía’s infection with HIV occurred owing to the error in the blood transfusion and had a significant impact on her immediate family. It also stressed that the violation of the</w:t>
      </w:r>
      <w:r w:rsidR="0065360C" w:rsidRPr="00610904">
        <w:rPr>
          <w:noProof w:val="0"/>
          <w:lang w:val="en-US"/>
        </w:rPr>
        <w:t xml:space="preserve"> </w:t>
      </w:r>
      <w:r w:rsidR="0065360C" w:rsidRPr="00610904">
        <w:rPr>
          <w:noProof w:val="0"/>
          <w:szCs w:val="20"/>
          <w:lang w:val="en-US"/>
        </w:rPr>
        <w:t>r</w:t>
      </w:r>
      <w:r w:rsidR="005550B0" w:rsidRPr="00610904">
        <w:rPr>
          <w:noProof w:val="0"/>
          <w:szCs w:val="20"/>
          <w:lang w:val="en-US"/>
        </w:rPr>
        <w:t>ight to personal integrity of</w:t>
      </w:r>
      <w:r w:rsidR="0065360C" w:rsidRPr="00610904">
        <w:rPr>
          <w:noProof w:val="0"/>
          <w:szCs w:val="20"/>
          <w:lang w:val="en-US"/>
        </w:rPr>
        <w:t xml:space="preserve"> Talía’s mother and brother was exacerbated by factors of poverty and stigmatization because a member of their immediate family had HIV </w:t>
      </w:r>
      <w:r w:rsidR="00D839BE" w:rsidRPr="00610904">
        <w:rPr>
          <w:noProof w:val="0"/>
          <w:szCs w:val="20"/>
          <w:lang w:val="en-US"/>
        </w:rPr>
        <w:t>a</w:t>
      </w:r>
      <w:r w:rsidR="0065360C" w:rsidRPr="00610904">
        <w:rPr>
          <w:noProof w:val="0"/>
          <w:szCs w:val="20"/>
          <w:lang w:val="en-US"/>
        </w:rPr>
        <w:t>nd lived with them</w:t>
      </w:r>
      <w:r w:rsidR="00D839BE" w:rsidRPr="00610904">
        <w:rPr>
          <w:rFonts w:cs="Arial"/>
          <w:noProof w:val="0"/>
          <w:snapToGrid w:val="0"/>
          <w:szCs w:val="20"/>
          <w:lang w:val="en-US"/>
        </w:rPr>
        <w:t xml:space="preserve">. </w:t>
      </w:r>
    </w:p>
    <w:p w:rsidR="00B517E3" w:rsidRPr="00610904" w:rsidRDefault="00B517E3" w:rsidP="00610904">
      <w:pPr>
        <w:contextualSpacing/>
        <w:rPr>
          <w:noProof w:val="0"/>
          <w:lang w:val="en-US"/>
        </w:rPr>
      </w:pPr>
    </w:p>
    <w:p w:rsidR="00B517E3" w:rsidRPr="00610904" w:rsidRDefault="009F3D78" w:rsidP="00610904">
      <w:pPr>
        <w:numPr>
          <w:ilvl w:val="0"/>
          <w:numId w:val="1"/>
        </w:numPr>
        <w:contextualSpacing/>
        <w:rPr>
          <w:noProof w:val="0"/>
          <w:lang w:val="en-US"/>
        </w:rPr>
      </w:pPr>
      <w:r w:rsidRPr="00610904">
        <w:rPr>
          <w:noProof w:val="0"/>
          <w:szCs w:val="20"/>
          <w:lang w:val="en-US"/>
        </w:rPr>
        <w:t>The representatives</w:t>
      </w:r>
      <w:r w:rsidR="00D839BE" w:rsidRPr="00610904">
        <w:rPr>
          <w:noProof w:val="0"/>
          <w:szCs w:val="20"/>
          <w:lang w:val="en-US"/>
        </w:rPr>
        <w:t xml:space="preserve"> reitera</w:t>
      </w:r>
      <w:r w:rsidR="0065360C" w:rsidRPr="00610904">
        <w:rPr>
          <w:noProof w:val="0"/>
          <w:szCs w:val="20"/>
          <w:lang w:val="en-US"/>
        </w:rPr>
        <w:t xml:space="preserve">ted the </w:t>
      </w:r>
      <w:r w:rsidR="00B517E3" w:rsidRPr="00610904">
        <w:rPr>
          <w:noProof w:val="0"/>
          <w:szCs w:val="20"/>
          <w:lang w:val="en-US"/>
        </w:rPr>
        <w:t xml:space="preserve">Commission’s </w:t>
      </w:r>
      <w:r w:rsidR="0065360C" w:rsidRPr="00610904">
        <w:rPr>
          <w:noProof w:val="0"/>
          <w:szCs w:val="20"/>
          <w:lang w:val="en-US"/>
        </w:rPr>
        <w:t>assertions</w:t>
      </w:r>
      <w:r w:rsidR="00D839BE" w:rsidRPr="00610904">
        <w:rPr>
          <w:noProof w:val="0"/>
          <w:szCs w:val="20"/>
          <w:lang w:val="en-US"/>
        </w:rPr>
        <w:t xml:space="preserve">, </w:t>
      </w:r>
      <w:r w:rsidR="00B517E3" w:rsidRPr="00610904">
        <w:rPr>
          <w:noProof w:val="0"/>
          <w:szCs w:val="20"/>
          <w:lang w:val="en-US"/>
        </w:rPr>
        <w:t>and added that</w:t>
      </w:r>
      <w:r w:rsidR="00D839BE" w:rsidRPr="00610904">
        <w:rPr>
          <w:noProof w:val="0"/>
          <w:szCs w:val="20"/>
          <w:lang w:val="en-US"/>
        </w:rPr>
        <w:t xml:space="preserve"> </w:t>
      </w:r>
      <w:r w:rsidR="00EC0A9D" w:rsidRPr="00610904">
        <w:rPr>
          <w:noProof w:val="0"/>
          <w:szCs w:val="20"/>
          <w:lang w:val="en-US"/>
        </w:rPr>
        <w:t>Talía’s family</w:t>
      </w:r>
      <w:r w:rsidR="00D839BE" w:rsidRPr="00610904">
        <w:rPr>
          <w:noProof w:val="0"/>
          <w:szCs w:val="20"/>
          <w:lang w:val="en-US"/>
        </w:rPr>
        <w:t xml:space="preserve"> </w:t>
      </w:r>
      <w:r w:rsidR="0065360C" w:rsidRPr="00610904">
        <w:rPr>
          <w:noProof w:val="0"/>
          <w:szCs w:val="20"/>
          <w:lang w:val="en-US"/>
        </w:rPr>
        <w:t xml:space="preserve">never had a stable environment and </w:t>
      </w:r>
      <w:r w:rsidR="00B517E3" w:rsidRPr="00610904">
        <w:rPr>
          <w:noProof w:val="0"/>
          <w:szCs w:val="20"/>
          <w:lang w:val="en-US"/>
        </w:rPr>
        <w:t>the atmosphere</w:t>
      </w:r>
      <w:r w:rsidR="0065360C" w:rsidRPr="00610904">
        <w:rPr>
          <w:noProof w:val="0"/>
          <w:szCs w:val="20"/>
          <w:lang w:val="en-US"/>
        </w:rPr>
        <w:t xml:space="preserve"> was always </w:t>
      </w:r>
      <w:r w:rsidR="006F07E6" w:rsidRPr="00610904">
        <w:rPr>
          <w:noProof w:val="0"/>
          <w:szCs w:val="20"/>
          <w:lang w:val="en-US"/>
        </w:rPr>
        <w:t>hostile</w:t>
      </w:r>
      <w:r w:rsidR="0065360C" w:rsidRPr="00610904">
        <w:rPr>
          <w:noProof w:val="0"/>
          <w:szCs w:val="20"/>
          <w:lang w:val="en-US"/>
        </w:rPr>
        <w:t xml:space="preserve">, </w:t>
      </w:r>
      <w:r w:rsidR="00B517E3" w:rsidRPr="00610904">
        <w:rPr>
          <w:noProof w:val="0"/>
          <w:szCs w:val="20"/>
          <w:lang w:val="en-US"/>
        </w:rPr>
        <w:t>and this</w:t>
      </w:r>
      <w:r w:rsidR="0065360C" w:rsidRPr="00610904">
        <w:rPr>
          <w:noProof w:val="0"/>
          <w:szCs w:val="20"/>
          <w:lang w:val="en-US"/>
        </w:rPr>
        <w:t xml:space="preserve"> caused all the members of th</w:t>
      </w:r>
      <w:r w:rsidR="00B517E3" w:rsidRPr="00610904">
        <w:rPr>
          <w:noProof w:val="0"/>
          <w:szCs w:val="20"/>
          <w:lang w:val="en-US"/>
        </w:rPr>
        <w:t>e</w:t>
      </w:r>
      <w:r w:rsidR="0065360C" w:rsidRPr="00610904">
        <w:rPr>
          <w:noProof w:val="0"/>
          <w:szCs w:val="20"/>
          <w:lang w:val="en-US"/>
        </w:rPr>
        <w:t xml:space="preserve"> family to feel fear and instability. In addition, Talía’s mother and brother “never received any information from the State that [would have] helped them to understand the problem they were experiencing.” According to </w:t>
      </w:r>
      <w:r w:rsidRPr="00610904">
        <w:rPr>
          <w:rFonts w:cs="Times New Roman"/>
          <w:bCs/>
          <w:noProof w:val="0"/>
          <w:szCs w:val="20"/>
          <w:lang w:val="en-US"/>
        </w:rPr>
        <w:t>the representatives</w:t>
      </w:r>
      <w:r w:rsidR="00D839BE" w:rsidRPr="00610904">
        <w:rPr>
          <w:rFonts w:cs="Times New Roman"/>
          <w:bCs/>
          <w:noProof w:val="0"/>
          <w:szCs w:val="20"/>
          <w:lang w:val="en-US"/>
        </w:rPr>
        <w:t xml:space="preserve">, </w:t>
      </w:r>
      <w:r w:rsidRPr="00610904">
        <w:rPr>
          <w:rFonts w:cs="Times New Roman"/>
          <w:bCs/>
          <w:noProof w:val="0"/>
          <w:szCs w:val="20"/>
          <w:lang w:val="en-US"/>
        </w:rPr>
        <w:t>the State</w:t>
      </w:r>
      <w:r w:rsidR="00D839BE" w:rsidRPr="00610904">
        <w:rPr>
          <w:rFonts w:cs="Times New Roman"/>
          <w:bCs/>
          <w:noProof w:val="0"/>
          <w:szCs w:val="20"/>
          <w:lang w:val="en-US"/>
        </w:rPr>
        <w:t xml:space="preserve"> </w:t>
      </w:r>
      <w:r w:rsidR="0065360C" w:rsidRPr="00610904">
        <w:rPr>
          <w:rFonts w:cs="Times New Roman"/>
          <w:bCs/>
          <w:noProof w:val="0"/>
          <w:szCs w:val="20"/>
          <w:lang w:val="en-US"/>
        </w:rPr>
        <w:t xml:space="preserve">did not implement a program of care, treatment and education on HIV for Talía and her family. The representatives also argued that the Lluy family did not receive quality medical care; according to </w:t>
      </w:r>
      <w:r w:rsidRPr="00610904">
        <w:rPr>
          <w:noProof w:val="0"/>
          <w:szCs w:val="20"/>
          <w:lang w:val="en-US"/>
        </w:rPr>
        <w:t>the representatives</w:t>
      </w:r>
      <w:r w:rsidR="00D839BE" w:rsidRPr="00610904">
        <w:rPr>
          <w:noProof w:val="0"/>
          <w:szCs w:val="20"/>
          <w:lang w:val="en-US"/>
        </w:rPr>
        <w:t xml:space="preserve">, </w:t>
      </w:r>
      <w:r w:rsidR="00D839BE" w:rsidRPr="00610904">
        <w:rPr>
          <w:bCs/>
          <w:noProof w:val="0"/>
          <w:szCs w:val="20"/>
          <w:lang w:val="en-US"/>
        </w:rPr>
        <w:t>Talía</w:t>
      </w:r>
      <w:r w:rsidRPr="00610904">
        <w:rPr>
          <w:bCs/>
          <w:noProof w:val="0"/>
          <w:szCs w:val="20"/>
          <w:lang w:val="en-US"/>
        </w:rPr>
        <w:t xml:space="preserve"> and </w:t>
      </w:r>
      <w:r w:rsidR="0065360C" w:rsidRPr="00610904">
        <w:rPr>
          <w:bCs/>
          <w:noProof w:val="0"/>
          <w:szCs w:val="20"/>
          <w:lang w:val="en-US"/>
        </w:rPr>
        <w:t>the members of her family did not use the health care system provided by the State because, on repeated occasions, they were discriminated against and they were not given the necessary medicines; consequently, they resort</w:t>
      </w:r>
      <w:r w:rsidR="00B517E3" w:rsidRPr="00610904">
        <w:rPr>
          <w:bCs/>
          <w:noProof w:val="0"/>
          <w:szCs w:val="20"/>
          <w:lang w:val="en-US"/>
        </w:rPr>
        <w:t>e</w:t>
      </w:r>
      <w:r w:rsidR="0065360C" w:rsidRPr="00610904">
        <w:rPr>
          <w:bCs/>
          <w:noProof w:val="0"/>
          <w:szCs w:val="20"/>
          <w:lang w:val="en-US"/>
        </w:rPr>
        <w:t>d to a private health care system.</w:t>
      </w:r>
    </w:p>
    <w:p w:rsidR="00D839BE" w:rsidRPr="00610904" w:rsidRDefault="00D839BE" w:rsidP="00610904">
      <w:pPr>
        <w:tabs>
          <w:tab w:val="left" w:pos="709"/>
          <w:tab w:val="left" w:pos="10065"/>
        </w:tabs>
        <w:ind w:right="735"/>
        <w:contextualSpacing/>
        <w:rPr>
          <w:b/>
          <w:noProof w:val="0"/>
          <w:szCs w:val="20"/>
          <w:lang w:val="en-US"/>
        </w:rPr>
      </w:pPr>
    </w:p>
    <w:p w:rsidR="00D839BE" w:rsidRPr="00610904" w:rsidRDefault="009F3D78" w:rsidP="00610904">
      <w:pPr>
        <w:numPr>
          <w:ilvl w:val="0"/>
          <w:numId w:val="1"/>
        </w:numPr>
        <w:tabs>
          <w:tab w:val="left" w:pos="709"/>
          <w:tab w:val="left" w:pos="10065"/>
        </w:tabs>
        <w:ind w:right="25"/>
        <w:contextualSpacing/>
        <w:rPr>
          <w:b/>
          <w:noProof w:val="0"/>
          <w:szCs w:val="20"/>
          <w:lang w:val="en-US"/>
        </w:rPr>
      </w:pPr>
      <w:r w:rsidRPr="00610904">
        <w:rPr>
          <w:rFonts w:cs="Times New Roman"/>
          <w:bCs/>
          <w:noProof w:val="0"/>
          <w:szCs w:val="20"/>
          <w:lang w:val="en-US"/>
        </w:rPr>
        <w:t>The State</w:t>
      </w:r>
      <w:r w:rsidR="00D839BE" w:rsidRPr="00610904">
        <w:rPr>
          <w:rFonts w:cs="Times New Roman"/>
          <w:bCs/>
          <w:noProof w:val="0"/>
          <w:szCs w:val="20"/>
          <w:lang w:val="en-US"/>
        </w:rPr>
        <w:t xml:space="preserve"> </w:t>
      </w:r>
      <w:r w:rsidR="00D839BE" w:rsidRPr="00610904">
        <w:rPr>
          <w:noProof w:val="0"/>
          <w:szCs w:val="20"/>
          <w:lang w:val="en-US"/>
        </w:rPr>
        <w:t>argu</w:t>
      </w:r>
      <w:r w:rsidR="00B517E3" w:rsidRPr="00610904">
        <w:rPr>
          <w:noProof w:val="0"/>
          <w:szCs w:val="20"/>
          <w:lang w:val="en-US"/>
        </w:rPr>
        <w:t xml:space="preserve">ed that the impact on </w:t>
      </w:r>
      <w:r w:rsidR="00D839BE" w:rsidRPr="00610904">
        <w:rPr>
          <w:noProof w:val="0"/>
          <w:szCs w:val="20"/>
          <w:lang w:val="en-US"/>
        </w:rPr>
        <w:t xml:space="preserve">Teresa </w:t>
      </w:r>
      <w:r w:rsidR="005550B0" w:rsidRPr="00610904">
        <w:rPr>
          <w:noProof w:val="0"/>
          <w:szCs w:val="20"/>
          <w:lang w:val="en-US"/>
        </w:rPr>
        <w:t>and Iván</w:t>
      </w:r>
      <w:r w:rsidR="00D839BE" w:rsidRPr="00610904">
        <w:rPr>
          <w:noProof w:val="0"/>
          <w:szCs w:val="20"/>
          <w:lang w:val="en-US"/>
        </w:rPr>
        <w:t xml:space="preserve"> Lluy </w:t>
      </w:r>
      <w:r w:rsidR="00B517E3" w:rsidRPr="00610904">
        <w:rPr>
          <w:noProof w:val="0"/>
          <w:szCs w:val="20"/>
          <w:lang w:val="en-US"/>
        </w:rPr>
        <w:t>was a matter that related to the private entities, because the State had duly complied with its obligation in relation to the r</w:t>
      </w:r>
      <w:r w:rsidR="006F07E6" w:rsidRPr="00610904">
        <w:rPr>
          <w:noProof w:val="0"/>
          <w:szCs w:val="20"/>
          <w:lang w:val="en-US"/>
        </w:rPr>
        <w:t>e</w:t>
      </w:r>
      <w:r w:rsidR="00B517E3" w:rsidRPr="00610904">
        <w:rPr>
          <w:noProof w:val="0"/>
          <w:szCs w:val="20"/>
          <w:lang w:val="en-US"/>
        </w:rPr>
        <w:t xml:space="preserve">gulation, supervision and monitoring of the private entities that provided health care services. In addition, the State argued that “it cannot be affirmed that there has been a violation of </w:t>
      </w:r>
      <w:r w:rsidR="00B517E3" w:rsidRPr="00610904">
        <w:rPr>
          <w:rFonts w:cs="Bookman Old Style"/>
          <w:noProof w:val="0"/>
          <w:szCs w:val="20"/>
          <w:lang w:val="en-US"/>
        </w:rPr>
        <w:t>the</w:t>
      </w:r>
      <w:r w:rsidR="008956E2" w:rsidRPr="00610904">
        <w:rPr>
          <w:rFonts w:cs="Bookman Old Style"/>
          <w:noProof w:val="0"/>
          <w:szCs w:val="20"/>
          <w:lang w:val="en-US"/>
        </w:rPr>
        <w:t xml:space="preserve"> personal integrity</w:t>
      </w:r>
      <w:r w:rsidRPr="00610904">
        <w:rPr>
          <w:rFonts w:cs="Bookman Old Style"/>
          <w:noProof w:val="0"/>
          <w:szCs w:val="20"/>
          <w:lang w:val="en-US"/>
        </w:rPr>
        <w:t xml:space="preserve"> </w:t>
      </w:r>
      <w:r w:rsidR="00B517E3" w:rsidRPr="00610904">
        <w:rPr>
          <w:rFonts w:cs="Bookman Old Style"/>
          <w:noProof w:val="0"/>
          <w:szCs w:val="20"/>
          <w:lang w:val="en-US"/>
        </w:rPr>
        <w:t>of Talía and her family as a direct result of the State’s actions, because her illness and suffering […] were not increased in any way by acts or omissions of State agents.”</w:t>
      </w:r>
    </w:p>
    <w:p w:rsidR="00D839BE" w:rsidRPr="00610904" w:rsidRDefault="00D839BE" w:rsidP="00610904">
      <w:pPr>
        <w:tabs>
          <w:tab w:val="left" w:pos="709"/>
          <w:tab w:val="left" w:pos="10065"/>
        </w:tabs>
        <w:ind w:right="25"/>
        <w:contextualSpacing/>
        <w:rPr>
          <w:rFonts w:cs="Bookman Old Style"/>
          <w:b/>
          <w:noProof w:val="0"/>
          <w:szCs w:val="20"/>
          <w:lang w:val="en-US"/>
        </w:rPr>
      </w:pPr>
    </w:p>
    <w:p w:rsidR="00D839BE" w:rsidRPr="00610904" w:rsidRDefault="00A8072E" w:rsidP="00610904">
      <w:pPr>
        <w:tabs>
          <w:tab w:val="left" w:pos="450"/>
          <w:tab w:val="left" w:pos="810"/>
          <w:tab w:val="left" w:pos="1440"/>
          <w:tab w:val="left" w:pos="10065"/>
        </w:tabs>
        <w:ind w:left="450" w:right="25"/>
        <w:contextualSpacing/>
        <w:rPr>
          <w:rFonts w:cs="Bookman Old Style"/>
          <w:i/>
          <w:noProof w:val="0"/>
          <w:szCs w:val="20"/>
          <w:lang w:val="en-US"/>
        </w:rPr>
      </w:pPr>
      <w:r w:rsidRPr="00610904">
        <w:rPr>
          <w:i/>
          <w:noProof w:val="0"/>
          <w:szCs w:val="20"/>
          <w:lang w:val="en-US"/>
        </w:rPr>
        <w:t>Considerations</w:t>
      </w:r>
      <w:r w:rsidR="009F3D78" w:rsidRPr="00610904">
        <w:rPr>
          <w:i/>
          <w:noProof w:val="0"/>
          <w:szCs w:val="20"/>
          <w:lang w:val="en-US"/>
        </w:rPr>
        <w:t xml:space="preserve"> of the Court</w:t>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9F3D78"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The Court</w:t>
      </w:r>
      <w:r w:rsidR="00D839BE" w:rsidRPr="00610904">
        <w:rPr>
          <w:noProof w:val="0"/>
          <w:szCs w:val="20"/>
          <w:lang w:val="en-US"/>
        </w:rPr>
        <w:t xml:space="preserve"> ha</w:t>
      </w:r>
      <w:r w:rsidR="006D376C" w:rsidRPr="00610904">
        <w:rPr>
          <w:noProof w:val="0"/>
          <w:szCs w:val="20"/>
          <w:lang w:val="en-US"/>
        </w:rPr>
        <w:t>s reiter</w:t>
      </w:r>
      <w:r w:rsidR="006F07E6" w:rsidRPr="00610904">
        <w:rPr>
          <w:noProof w:val="0"/>
          <w:szCs w:val="20"/>
          <w:lang w:val="en-US"/>
        </w:rPr>
        <w:t>a</w:t>
      </w:r>
      <w:r w:rsidR="006D376C" w:rsidRPr="00610904">
        <w:rPr>
          <w:noProof w:val="0"/>
          <w:szCs w:val="20"/>
          <w:lang w:val="en-US"/>
        </w:rPr>
        <w:t>ted its case law that the next of kin of the victims of certain human rights violations may, in turn, be victims.</w:t>
      </w:r>
      <w:r w:rsidR="00D839BE" w:rsidRPr="00610904">
        <w:rPr>
          <w:rStyle w:val="FootnoteReference"/>
          <w:noProof w:val="0"/>
          <w:lang w:val="en-US"/>
        </w:rPr>
        <w:footnoteReference w:id="244"/>
      </w:r>
      <w:r w:rsidR="00D839BE" w:rsidRPr="00610904">
        <w:rPr>
          <w:noProof w:val="0"/>
          <w:szCs w:val="20"/>
          <w:lang w:val="en-US"/>
        </w:rPr>
        <w:t xml:space="preserve"> </w:t>
      </w:r>
      <w:r w:rsidRPr="00610904">
        <w:rPr>
          <w:noProof w:val="0"/>
          <w:szCs w:val="20"/>
          <w:lang w:val="en-US"/>
        </w:rPr>
        <w:t>The Court</w:t>
      </w:r>
      <w:r w:rsidR="00D839BE" w:rsidRPr="00610904">
        <w:rPr>
          <w:rFonts w:cs="Verdana"/>
          <w:noProof w:val="0"/>
          <w:szCs w:val="20"/>
          <w:lang w:val="en-US" w:eastAsia="es-MX"/>
        </w:rPr>
        <w:t xml:space="preserve"> ha</w:t>
      </w:r>
      <w:r w:rsidR="006D376C" w:rsidRPr="00610904">
        <w:rPr>
          <w:rFonts w:cs="Verdana"/>
          <w:noProof w:val="0"/>
          <w:szCs w:val="20"/>
          <w:lang w:val="en-US" w:eastAsia="es-MX"/>
        </w:rPr>
        <w:t>s considered that the right to mental and moral integrity of some</w:t>
      </w:r>
      <w:r w:rsidR="006F07E6" w:rsidRPr="00610904">
        <w:rPr>
          <w:rFonts w:cs="Verdana"/>
          <w:noProof w:val="0"/>
          <w:szCs w:val="20"/>
          <w:lang w:val="en-US" w:eastAsia="es-MX"/>
        </w:rPr>
        <w:t xml:space="preserve"> next of kin has been violated due</w:t>
      </w:r>
      <w:r w:rsidR="006D376C" w:rsidRPr="00610904">
        <w:rPr>
          <w:rFonts w:cs="Verdana"/>
          <w:noProof w:val="0"/>
          <w:szCs w:val="20"/>
          <w:lang w:val="en-US" w:eastAsia="es-MX"/>
        </w:rPr>
        <w:t xml:space="preserve"> to the suffering they have endured </w:t>
      </w:r>
      <w:r w:rsidR="006F07E6" w:rsidRPr="00610904">
        <w:rPr>
          <w:rFonts w:cs="Verdana"/>
          <w:noProof w:val="0"/>
          <w:szCs w:val="20"/>
          <w:lang w:val="en-US" w:eastAsia="es-MX"/>
        </w:rPr>
        <w:t>because of</w:t>
      </w:r>
      <w:r w:rsidR="006D376C" w:rsidRPr="00610904">
        <w:rPr>
          <w:rFonts w:cs="Verdana"/>
          <w:noProof w:val="0"/>
          <w:szCs w:val="20"/>
          <w:lang w:val="en-US" w:eastAsia="es-MX"/>
        </w:rPr>
        <w:t xml:space="preserve"> the acts and omissions of the State authorities,</w:t>
      </w:r>
      <w:r w:rsidR="00D839BE" w:rsidRPr="00610904">
        <w:rPr>
          <w:rStyle w:val="FootnoteReference"/>
          <w:rFonts w:cs="Verdana"/>
          <w:noProof w:val="0"/>
          <w:lang w:val="en-US" w:eastAsia="es-MX"/>
        </w:rPr>
        <w:footnoteReference w:id="245"/>
      </w:r>
      <w:r w:rsidR="006D376C" w:rsidRPr="00610904">
        <w:rPr>
          <w:rFonts w:cs="Verdana"/>
          <w:noProof w:val="0"/>
          <w:szCs w:val="20"/>
          <w:lang w:val="en-US" w:eastAsia="es-MX"/>
        </w:rPr>
        <w:t xml:space="preserve"> taking into account, among other matters</w:t>
      </w:r>
      <w:r w:rsidR="00D839BE" w:rsidRPr="00610904">
        <w:rPr>
          <w:rFonts w:cs="Verdana"/>
          <w:noProof w:val="0"/>
          <w:szCs w:val="20"/>
          <w:lang w:val="en-US" w:eastAsia="es-MX"/>
        </w:rPr>
        <w:t>, t</w:t>
      </w:r>
      <w:r w:rsidR="006D376C" w:rsidRPr="00610904">
        <w:rPr>
          <w:rFonts w:cs="Verdana"/>
          <w:noProof w:val="0"/>
          <w:szCs w:val="20"/>
          <w:lang w:val="en-US" w:eastAsia="es-MX"/>
        </w:rPr>
        <w:t>he steps taken to obtain justice and the existence of close family ties.</w:t>
      </w:r>
      <w:r w:rsidR="00D839BE" w:rsidRPr="00610904">
        <w:rPr>
          <w:rStyle w:val="FootnoteReference"/>
          <w:rFonts w:cs="Verdana"/>
          <w:noProof w:val="0"/>
          <w:lang w:val="en-US"/>
        </w:rPr>
        <w:footnoteReference w:id="246"/>
      </w:r>
      <w:r w:rsidR="006D376C" w:rsidRPr="00610904">
        <w:rPr>
          <w:rFonts w:cs="Verdana"/>
          <w:noProof w:val="0"/>
          <w:szCs w:val="20"/>
          <w:lang w:val="en-US"/>
        </w:rPr>
        <w:t xml:space="preserve"> It has also declared the violation of this right, based on the suffering arising from acts perpetrated against their loved ones.</w:t>
      </w:r>
      <w:r w:rsidR="00D839BE" w:rsidRPr="00610904">
        <w:rPr>
          <w:rStyle w:val="FootnoteReference"/>
          <w:noProof w:val="0"/>
          <w:lang w:val="en-US"/>
        </w:rPr>
        <w:footnoteReference w:id="247"/>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6F07E6"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The</w:t>
      </w:r>
      <w:r w:rsidR="00A8072E" w:rsidRPr="00610904">
        <w:rPr>
          <w:noProof w:val="0"/>
          <w:szCs w:val="20"/>
          <w:lang w:val="en-US"/>
        </w:rPr>
        <w:t xml:space="preserve"> Court</w:t>
      </w:r>
      <w:r w:rsidR="00D839BE" w:rsidRPr="00610904">
        <w:rPr>
          <w:noProof w:val="0"/>
          <w:szCs w:val="20"/>
          <w:lang w:val="en-US"/>
        </w:rPr>
        <w:t xml:space="preserve"> h</w:t>
      </w:r>
      <w:r w:rsidR="006D376C" w:rsidRPr="00610904">
        <w:rPr>
          <w:noProof w:val="0"/>
          <w:szCs w:val="20"/>
          <w:lang w:val="en-US"/>
        </w:rPr>
        <w:t xml:space="preserve">as indicated that the part played by the State in creating or exacerbating the situation of vulnerability of a person has a significant impact on the integrity of those who surround him or her, especially the closest family members who are faced with the </w:t>
      </w:r>
      <w:r w:rsidR="006D376C" w:rsidRPr="00610904">
        <w:rPr>
          <w:noProof w:val="0"/>
          <w:szCs w:val="20"/>
          <w:lang w:val="en-US"/>
        </w:rPr>
        <w:lastRenderedPageBreak/>
        <w:t>uncertainty and insecurity that results from the violation perpetrated against their close or immediate family member.</w:t>
      </w:r>
      <w:r w:rsidR="00D839BE" w:rsidRPr="00610904">
        <w:rPr>
          <w:rStyle w:val="FootnoteReference"/>
          <w:noProof w:val="0"/>
          <w:lang w:val="en-US"/>
        </w:rPr>
        <w:footnoteReference w:id="248"/>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6D376C" w:rsidP="00610904">
      <w:pPr>
        <w:numPr>
          <w:ilvl w:val="0"/>
          <w:numId w:val="1"/>
        </w:numPr>
        <w:tabs>
          <w:tab w:val="left" w:pos="709"/>
          <w:tab w:val="left" w:pos="10065"/>
        </w:tabs>
        <w:ind w:right="25"/>
        <w:contextualSpacing/>
        <w:rPr>
          <w:noProof w:val="0"/>
          <w:szCs w:val="20"/>
          <w:lang w:val="en-US"/>
        </w:rPr>
      </w:pPr>
      <w:r w:rsidRPr="00610904">
        <w:rPr>
          <w:rFonts w:cs="Bookman Old Style"/>
          <w:noProof w:val="0"/>
          <w:szCs w:val="20"/>
          <w:lang w:val="en-US"/>
        </w:rPr>
        <w:t xml:space="preserve">In this case, the Court finds it pertinent to analyze aspects relating to the application </w:t>
      </w:r>
      <w:r w:rsidR="006E502B" w:rsidRPr="00610904">
        <w:rPr>
          <w:rFonts w:cs="Bookman Old Style"/>
          <w:noProof w:val="0"/>
          <w:szCs w:val="20"/>
          <w:lang w:val="en-US"/>
        </w:rPr>
        <w:t>of Article</w:t>
      </w:r>
      <w:r w:rsidR="00D839BE" w:rsidRPr="00610904">
        <w:rPr>
          <w:rFonts w:cs="Bookman Old Style"/>
          <w:noProof w:val="0"/>
          <w:szCs w:val="20"/>
          <w:lang w:val="en-US"/>
        </w:rPr>
        <w:t xml:space="preserve"> 5</w:t>
      </w:r>
      <w:r w:rsidR="009F3D78" w:rsidRPr="00610904">
        <w:rPr>
          <w:rFonts w:cs="Bookman Old Style"/>
          <w:noProof w:val="0"/>
          <w:szCs w:val="20"/>
          <w:lang w:val="en-US"/>
        </w:rPr>
        <w:t xml:space="preserve"> of the Convention</w:t>
      </w:r>
      <w:r w:rsidR="00D839BE" w:rsidRPr="00610904">
        <w:rPr>
          <w:rFonts w:cs="Bookman Old Style"/>
          <w:noProof w:val="0"/>
          <w:szCs w:val="20"/>
          <w:lang w:val="en-US"/>
        </w:rPr>
        <w:t xml:space="preserve">, </w:t>
      </w:r>
      <w:r w:rsidRPr="00610904">
        <w:rPr>
          <w:rFonts w:cs="Bookman Old Style"/>
          <w:noProof w:val="0"/>
          <w:szCs w:val="20"/>
          <w:lang w:val="en-US"/>
        </w:rPr>
        <w:t>in order to determine whether the State’s responsibility has been constituted by the violation of the r</w:t>
      </w:r>
      <w:r w:rsidR="005550B0" w:rsidRPr="00610904">
        <w:rPr>
          <w:rFonts w:cs="Bookman Old Style"/>
          <w:noProof w:val="0"/>
          <w:szCs w:val="20"/>
          <w:lang w:val="en-US"/>
        </w:rPr>
        <w:t>ight to personal integrity of</w:t>
      </w:r>
      <w:r w:rsidR="00D839BE" w:rsidRPr="00610904">
        <w:rPr>
          <w:rFonts w:cs="Verdana"/>
          <w:noProof w:val="0"/>
          <w:szCs w:val="20"/>
          <w:lang w:val="en-US" w:eastAsia="es-MX"/>
        </w:rPr>
        <w:t xml:space="preserve"> Teresa </w:t>
      </w:r>
      <w:r w:rsidR="005550B0" w:rsidRPr="00610904">
        <w:rPr>
          <w:rFonts w:cs="Verdana"/>
          <w:noProof w:val="0"/>
          <w:szCs w:val="20"/>
          <w:lang w:val="en-US" w:eastAsia="es-MX"/>
        </w:rPr>
        <w:t>and Iván</w:t>
      </w:r>
      <w:r w:rsidR="00D839BE" w:rsidRPr="00610904">
        <w:rPr>
          <w:rFonts w:cs="Verdana"/>
          <w:noProof w:val="0"/>
          <w:szCs w:val="20"/>
          <w:lang w:val="en-US" w:eastAsia="es-MX"/>
        </w:rPr>
        <w:t xml:space="preserve"> Lluy. </w:t>
      </w:r>
      <w:r w:rsidRPr="00610904">
        <w:rPr>
          <w:rFonts w:cs="Verdana"/>
          <w:noProof w:val="0"/>
          <w:szCs w:val="20"/>
          <w:lang w:val="en-US" w:eastAsia="es-MX"/>
        </w:rPr>
        <w:t>To this end, the Court will now examine</w:t>
      </w:r>
      <w:r w:rsidR="00D839BE" w:rsidRPr="00610904">
        <w:rPr>
          <w:rFonts w:cs="Verdana"/>
          <w:noProof w:val="0"/>
          <w:szCs w:val="20"/>
          <w:lang w:val="en-US" w:eastAsia="es-MX"/>
        </w:rPr>
        <w:t xml:space="preserve">: </w:t>
      </w:r>
      <w:r w:rsidRPr="00610904">
        <w:rPr>
          <w:rFonts w:cs="Verdana"/>
          <w:noProof w:val="0"/>
          <w:szCs w:val="20"/>
          <w:lang w:val="en-US" w:eastAsia="es-MX"/>
        </w:rPr>
        <w:t>(</w:t>
      </w:r>
      <w:r w:rsidR="00D839BE" w:rsidRPr="00610904">
        <w:rPr>
          <w:rFonts w:cs="Verdana"/>
          <w:noProof w:val="0"/>
          <w:szCs w:val="20"/>
          <w:lang w:val="en-US" w:eastAsia="es-MX"/>
        </w:rPr>
        <w:t xml:space="preserve">i) </w:t>
      </w:r>
      <w:r w:rsidRPr="00610904">
        <w:rPr>
          <w:rFonts w:cs="Verdana"/>
          <w:noProof w:val="0"/>
          <w:szCs w:val="20"/>
          <w:lang w:val="en-US" w:eastAsia="es-MX"/>
        </w:rPr>
        <w:t xml:space="preserve">the stigma faced by </w:t>
      </w:r>
      <w:r w:rsidR="00D839BE" w:rsidRPr="00610904">
        <w:rPr>
          <w:rFonts w:cs="Verdana"/>
          <w:noProof w:val="0"/>
          <w:szCs w:val="20"/>
          <w:lang w:val="en-US" w:eastAsia="es-MX"/>
        </w:rPr>
        <w:t xml:space="preserve">Teresa </w:t>
      </w:r>
      <w:r w:rsidR="005550B0" w:rsidRPr="00610904">
        <w:rPr>
          <w:rFonts w:cs="Verdana"/>
          <w:noProof w:val="0"/>
          <w:szCs w:val="20"/>
          <w:lang w:val="en-US" w:eastAsia="es-MX"/>
        </w:rPr>
        <w:t>and Iván</w:t>
      </w:r>
      <w:r w:rsidR="00D839BE" w:rsidRPr="00610904">
        <w:rPr>
          <w:rFonts w:cs="Verdana"/>
          <w:noProof w:val="0"/>
          <w:szCs w:val="20"/>
          <w:lang w:val="en-US" w:eastAsia="es-MX"/>
        </w:rPr>
        <w:t xml:space="preserve"> Lluy </w:t>
      </w:r>
      <w:r w:rsidRPr="00610904">
        <w:rPr>
          <w:rFonts w:cs="Verdana"/>
          <w:noProof w:val="0"/>
          <w:szCs w:val="20"/>
          <w:lang w:val="en-US" w:eastAsia="es-MX"/>
        </w:rPr>
        <w:t xml:space="preserve">because they were related to a person with </w:t>
      </w:r>
      <w:r w:rsidR="00A8072E" w:rsidRPr="00610904">
        <w:rPr>
          <w:rFonts w:cs="Verdana"/>
          <w:noProof w:val="0"/>
          <w:szCs w:val="20"/>
          <w:lang w:val="en-US" w:eastAsia="es-MX"/>
        </w:rPr>
        <w:t>HIV</w:t>
      </w:r>
      <w:r w:rsidR="00D839BE" w:rsidRPr="00610904">
        <w:rPr>
          <w:rFonts w:cs="Verdana"/>
          <w:noProof w:val="0"/>
          <w:szCs w:val="20"/>
          <w:lang w:val="en-US" w:eastAsia="es-MX"/>
        </w:rPr>
        <w:t>,</w:t>
      </w:r>
      <w:r w:rsidR="009F3D78" w:rsidRPr="00610904">
        <w:rPr>
          <w:rFonts w:cs="Verdana"/>
          <w:noProof w:val="0"/>
          <w:szCs w:val="20"/>
          <w:lang w:val="en-US" w:eastAsia="es-MX"/>
        </w:rPr>
        <w:t xml:space="preserve"> and </w:t>
      </w:r>
      <w:r w:rsidRPr="00610904">
        <w:rPr>
          <w:rFonts w:cs="Verdana"/>
          <w:noProof w:val="0"/>
          <w:szCs w:val="20"/>
          <w:lang w:val="en-US" w:eastAsia="es-MX"/>
        </w:rPr>
        <w:t>(</w:t>
      </w:r>
      <w:r w:rsidR="00D839BE" w:rsidRPr="00610904">
        <w:rPr>
          <w:rFonts w:cs="Verdana"/>
          <w:noProof w:val="0"/>
          <w:szCs w:val="20"/>
          <w:lang w:val="en-US" w:eastAsia="es-MX"/>
        </w:rPr>
        <w:t xml:space="preserve">ii) </w:t>
      </w:r>
      <w:r w:rsidRPr="00610904">
        <w:rPr>
          <w:rFonts w:cs="Verdana"/>
          <w:noProof w:val="0"/>
          <w:szCs w:val="20"/>
          <w:lang w:val="en-US" w:eastAsia="es-MX"/>
        </w:rPr>
        <w:t>the specific impact on</w:t>
      </w:r>
      <w:r w:rsidR="00D839BE" w:rsidRPr="00610904">
        <w:rPr>
          <w:rFonts w:cs="Verdana"/>
          <w:noProof w:val="0"/>
          <w:szCs w:val="20"/>
          <w:lang w:val="en-US" w:eastAsia="es-MX"/>
        </w:rPr>
        <w:t xml:space="preserve"> </w:t>
      </w:r>
      <w:r w:rsidR="008956E2" w:rsidRPr="00610904">
        <w:rPr>
          <w:rFonts w:cs="Verdana"/>
          <w:noProof w:val="0"/>
          <w:szCs w:val="20"/>
          <w:lang w:val="en-US" w:eastAsia="es-MX"/>
        </w:rPr>
        <w:t>the personal integrity</w:t>
      </w:r>
      <w:r w:rsidR="00D839BE" w:rsidRPr="00610904">
        <w:rPr>
          <w:rFonts w:cs="Verdana"/>
          <w:noProof w:val="0"/>
          <w:szCs w:val="20"/>
          <w:lang w:val="en-US" w:eastAsia="es-MX"/>
        </w:rPr>
        <w:t xml:space="preserve"> </w:t>
      </w:r>
      <w:r w:rsidRPr="00610904">
        <w:rPr>
          <w:rFonts w:cs="Verdana"/>
          <w:noProof w:val="0"/>
          <w:szCs w:val="20"/>
          <w:lang w:val="en-US" w:eastAsia="es-MX"/>
        </w:rPr>
        <w:t>of</w:t>
      </w:r>
      <w:r w:rsidR="00D839BE" w:rsidRPr="00610904">
        <w:rPr>
          <w:rFonts w:cs="Verdana"/>
          <w:noProof w:val="0"/>
          <w:szCs w:val="20"/>
          <w:lang w:val="en-US" w:eastAsia="es-MX"/>
        </w:rPr>
        <w:t xml:space="preserve"> Teresa </w:t>
      </w:r>
      <w:r w:rsidR="005550B0" w:rsidRPr="00610904">
        <w:rPr>
          <w:rFonts w:cs="Verdana"/>
          <w:noProof w:val="0"/>
          <w:szCs w:val="20"/>
          <w:lang w:val="en-US" w:eastAsia="es-MX"/>
        </w:rPr>
        <w:t>and Iván</w:t>
      </w:r>
      <w:r w:rsidR="00D839BE" w:rsidRPr="00610904">
        <w:rPr>
          <w:rFonts w:cs="Verdana"/>
          <w:noProof w:val="0"/>
          <w:szCs w:val="20"/>
          <w:lang w:val="en-US" w:eastAsia="es-MX"/>
        </w:rPr>
        <w:t xml:space="preserve"> Lluy. </w:t>
      </w:r>
    </w:p>
    <w:p w:rsidR="00D839BE" w:rsidRPr="00610904" w:rsidRDefault="00D839BE" w:rsidP="00610904">
      <w:pPr>
        <w:rPr>
          <w:noProof w:val="0"/>
          <w:szCs w:val="20"/>
          <w:lang w:val="en-US"/>
        </w:rPr>
      </w:pPr>
    </w:p>
    <w:p w:rsidR="00D839BE" w:rsidRPr="00610904" w:rsidRDefault="009F3D78" w:rsidP="00610904">
      <w:pPr>
        <w:numPr>
          <w:ilvl w:val="0"/>
          <w:numId w:val="1"/>
        </w:numPr>
        <w:tabs>
          <w:tab w:val="left" w:pos="709"/>
          <w:tab w:val="left" w:pos="10065"/>
        </w:tabs>
        <w:ind w:right="25"/>
        <w:contextualSpacing/>
        <w:rPr>
          <w:noProof w:val="0"/>
          <w:szCs w:val="20"/>
          <w:lang w:val="en-US"/>
        </w:rPr>
      </w:pPr>
      <w:r w:rsidRPr="00610904">
        <w:rPr>
          <w:noProof w:val="0"/>
          <w:lang w:val="en-US"/>
        </w:rPr>
        <w:t>The Court</w:t>
      </w:r>
      <w:r w:rsidR="00D839BE" w:rsidRPr="00610904">
        <w:rPr>
          <w:noProof w:val="0"/>
          <w:lang w:val="en-US"/>
        </w:rPr>
        <w:t xml:space="preserve"> </w:t>
      </w:r>
      <w:r w:rsidR="006D376C" w:rsidRPr="00610904">
        <w:rPr>
          <w:noProof w:val="0"/>
          <w:lang w:val="en-US"/>
        </w:rPr>
        <w:t xml:space="preserve">notes that the whole Lluy family were stigmatized because </w:t>
      </w:r>
      <w:r w:rsidR="00D839BE" w:rsidRPr="00610904">
        <w:rPr>
          <w:noProof w:val="0"/>
          <w:lang w:val="en-US"/>
        </w:rPr>
        <w:t xml:space="preserve">Talía </w:t>
      </w:r>
      <w:r w:rsidR="006D376C" w:rsidRPr="00610904">
        <w:rPr>
          <w:noProof w:val="0"/>
          <w:lang w:val="en-US"/>
        </w:rPr>
        <w:t xml:space="preserve">had HIV </w:t>
      </w:r>
      <w:r w:rsidR="00D839BE" w:rsidRPr="00610904">
        <w:rPr>
          <w:noProof w:val="0"/>
          <w:lang w:val="en-US"/>
        </w:rPr>
        <w:t>(</w:t>
      </w:r>
      <w:r w:rsidR="00D839BE" w:rsidRPr="00610904">
        <w:rPr>
          <w:i/>
          <w:noProof w:val="0"/>
          <w:lang w:val="en-US"/>
        </w:rPr>
        <w:t>infra</w:t>
      </w:r>
      <w:r w:rsidR="00D839BE" w:rsidRPr="00610904">
        <w:rPr>
          <w:noProof w:val="0"/>
          <w:lang w:val="en-US"/>
        </w:rPr>
        <w:t xml:space="preserve"> </w:t>
      </w:r>
      <w:r w:rsidR="006E502B" w:rsidRPr="00610904">
        <w:rPr>
          <w:noProof w:val="0"/>
          <w:lang w:val="en-US"/>
        </w:rPr>
        <w:t>para.</w:t>
      </w:r>
      <w:r w:rsidR="00D839BE" w:rsidRPr="00610904">
        <w:rPr>
          <w:noProof w:val="0"/>
          <w:lang w:val="en-US"/>
        </w:rPr>
        <w:t xml:space="preserve"> </w:t>
      </w:r>
      <w:r w:rsidR="00B83277" w:rsidRPr="00610904">
        <w:rPr>
          <w:noProof w:val="0"/>
          <w:lang w:val="en-US"/>
        </w:rPr>
        <w:t>289</w:t>
      </w:r>
      <w:r w:rsidR="00D839BE" w:rsidRPr="00610904">
        <w:rPr>
          <w:noProof w:val="0"/>
          <w:lang w:val="en-US"/>
        </w:rPr>
        <w:t xml:space="preserve">). </w:t>
      </w:r>
      <w:r w:rsidR="006D376C" w:rsidRPr="00610904">
        <w:rPr>
          <w:noProof w:val="0"/>
          <w:lang w:val="en-US"/>
        </w:rPr>
        <w:t>In this regard, it has b</w:t>
      </w:r>
      <w:r w:rsidR="00AC05AD" w:rsidRPr="00610904">
        <w:rPr>
          <w:noProof w:val="0"/>
          <w:lang w:val="en-US"/>
        </w:rPr>
        <w:t xml:space="preserve">een proved that </w:t>
      </w:r>
      <w:r w:rsidR="00F16328" w:rsidRPr="00610904">
        <w:rPr>
          <w:noProof w:val="0"/>
          <w:lang w:val="en-US"/>
        </w:rPr>
        <w:t xml:space="preserve">the lives of </w:t>
      </w:r>
      <w:r w:rsidR="00D839BE" w:rsidRPr="00610904">
        <w:rPr>
          <w:noProof w:val="0"/>
          <w:lang w:val="en-US"/>
        </w:rPr>
        <w:t xml:space="preserve">Teresa </w:t>
      </w:r>
      <w:r w:rsidR="005550B0" w:rsidRPr="00610904">
        <w:rPr>
          <w:noProof w:val="0"/>
          <w:lang w:val="en-US"/>
        </w:rPr>
        <w:t>and Iván</w:t>
      </w:r>
      <w:r w:rsidR="00D839BE" w:rsidRPr="00610904">
        <w:rPr>
          <w:noProof w:val="0"/>
          <w:lang w:val="en-US"/>
        </w:rPr>
        <w:t xml:space="preserve"> </w:t>
      </w:r>
      <w:r w:rsidR="00F16328" w:rsidRPr="00610904">
        <w:rPr>
          <w:noProof w:val="0"/>
          <w:lang w:val="en-US"/>
        </w:rPr>
        <w:t>were affecte</w:t>
      </w:r>
      <w:r w:rsidR="00AC05AD" w:rsidRPr="00610904">
        <w:rPr>
          <w:noProof w:val="0"/>
          <w:lang w:val="en-US"/>
        </w:rPr>
        <w:t>d</w:t>
      </w:r>
      <w:r w:rsidR="006D376C" w:rsidRPr="00610904">
        <w:rPr>
          <w:noProof w:val="0"/>
          <w:lang w:val="en-US"/>
        </w:rPr>
        <w:t xml:space="preserve"> owing to the stigma attached to </w:t>
      </w:r>
      <w:r w:rsidR="00F16328" w:rsidRPr="00610904">
        <w:rPr>
          <w:noProof w:val="0"/>
          <w:lang w:val="en-US"/>
        </w:rPr>
        <w:t>b</w:t>
      </w:r>
      <w:r w:rsidR="006D376C" w:rsidRPr="00610904">
        <w:rPr>
          <w:noProof w:val="0"/>
          <w:lang w:val="en-US"/>
        </w:rPr>
        <w:t xml:space="preserve">eing the mother and brother of a person with </w:t>
      </w:r>
      <w:r w:rsidR="00A8072E" w:rsidRPr="00610904">
        <w:rPr>
          <w:noProof w:val="0"/>
          <w:lang w:val="en-US"/>
        </w:rPr>
        <w:t>HIV</w:t>
      </w:r>
      <w:r w:rsidR="00D839BE" w:rsidRPr="00610904">
        <w:rPr>
          <w:noProof w:val="0"/>
          <w:lang w:val="en-US"/>
        </w:rPr>
        <w:t xml:space="preserve">. </w:t>
      </w:r>
      <w:r w:rsidR="006D376C" w:rsidRPr="00610904">
        <w:rPr>
          <w:noProof w:val="0"/>
          <w:lang w:val="en-US"/>
        </w:rPr>
        <w:t xml:space="preserve">For example, </w:t>
      </w:r>
      <w:r w:rsidR="00D839BE" w:rsidRPr="00610904">
        <w:rPr>
          <w:noProof w:val="0"/>
          <w:lang w:val="en-US"/>
        </w:rPr>
        <w:t xml:space="preserve">Teresa Lluy </w:t>
      </w:r>
      <w:r w:rsidR="006D376C" w:rsidRPr="00610904">
        <w:rPr>
          <w:noProof w:val="0"/>
          <w:lang w:val="en-US"/>
        </w:rPr>
        <w:t xml:space="preserve">was dismissed from several </w:t>
      </w:r>
      <w:r w:rsidR="00AC05AD" w:rsidRPr="00610904">
        <w:rPr>
          <w:noProof w:val="0"/>
          <w:lang w:val="en-US"/>
        </w:rPr>
        <w:t>jobs</w:t>
      </w:r>
      <w:r w:rsidR="006D376C" w:rsidRPr="00610904">
        <w:rPr>
          <w:noProof w:val="0"/>
          <w:lang w:val="en-US"/>
        </w:rPr>
        <w:t xml:space="preserve"> and, at school, </w:t>
      </w:r>
      <w:r w:rsidR="00D839BE" w:rsidRPr="00610904">
        <w:rPr>
          <w:noProof w:val="0"/>
          <w:lang w:val="en-US"/>
        </w:rPr>
        <w:t xml:space="preserve">Iván Lluy </w:t>
      </w:r>
      <w:r w:rsidR="006D376C" w:rsidRPr="00610904">
        <w:rPr>
          <w:noProof w:val="0"/>
          <w:lang w:val="en-US"/>
        </w:rPr>
        <w:t>was subject to comments and finger-pointing</w:t>
      </w:r>
      <w:r w:rsidR="00D839BE" w:rsidRPr="00610904">
        <w:rPr>
          <w:noProof w:val="0"/>
          <w:lang w:val="en-US"/>
        </w:rPr>
        <w:t xml:space="preserve"> (</w:t>
      </w:r>
      <w:r w:rsidR="00D839BE" w:rsidRPr="00610904">
        <w:rPr>
          <w:i/>
          <w:noProof w:val="0"/>
          <w:lang w:val="en-US"/>
        </w:rPr>
        <w:t>infra</w:t>
      </w:r>
      <w:r w:rsidR="00D839BE" w:rsidRPr="00610904">
        <w:rPr>
          <w:noProof w:val="0"/>
          <w:lang w:val="en-US"/>
        </w:rPr>
        <w:t xml:space="preserve"> </w:t>
      </w:r>
      <w:r w:rsidR="006E502B" w:rsidRPr="00610904">
        <w:rPr>
          <w:noProof w:val="0"/>
          <w:lang w:val="en-US"/>
        </w:rPr>
        <w:t>paras.</w:t>
      </w:r>
      <w:r w:rsidR="00D839BE" w:rsidRPr="00610904">
        <w:rPr>
          <w:noProof w:val="0"/>
          <w:lang w:val="en-US"/>
        </w:rPr>
        <w:t xml:space="preserve"> </w:t>
      </w:r>
      <w:r w:rsidR="00BC4152" w:rsidRPr="00610904">
        <w:rPr>
          <w:noProof w:val="0"/>
          <w:lang w:val="en-US"/>
        </w:rPr>
        <w:t>217</w:t>
      </w:r>
      <w:r w:rsidRPr="00610904">
        <w:rPr>
          <w:noProof w:val="0"/>
          <w:lang w:val="en-US"/>
        </w:rPr>
        <w:t xml:space="preserve"> and </w:t>
      </w:r>
      <w:r w:rsidR="00BC4152" w:rsidRPr="00610904">
        <w:rPr>
          <w:noProof w:val="0"/>
          <w:lang w:val="en-US"/>
        </w:rPr>
        <w:t>223</w:t>
      </w:r>
      <w:r w:rsidR="00D839BE" w:rsidRPr="00610904">
        <w:rPr>
          <w:noProof w:val="0"/>
          <w:lang w:val="en-US"/>
        </w:rPr>
        <w:t xml:space="preserve">).  </w:t>
      </w:r>
    </w:p>
    <w:p w:rsidR="00D839BE" w:rsidRPr="00610904" w:rsidRDefault="00D839BE" w:rsidP="00610904">
      <w:pPr>
        <w:ind w:right="25"/>
        <w:rPr>
          <w:noProof w:val="0"/>
          <w:szCs w:val="20"/>
          <w:lang w:val="en-US"/>
        </w:rPr>
      </w:pPr>
    </w:p>
    <w:p w:rsidR="00D839BE" w:rsidRPr="00610904" w:rsidRDefault="00D839BE" w:rsidP="00610904">
      <w:pPr>
        <w:numPr>
          <w:ilvl w:val="0"/>
          <w:numId w:val="1"/>
        </w:numPr>
        <w:tabs>
          <w:tab w:val="left" w:pos="709"/>
          <w:tab w:val="left" w:pos="10065"/>
        </w:tabs>
        <w:ind w:right="25"/>
        <w:contextualSpacing/>
        <w:rPr>
          <w:noProof w:val="0"/>
          <w:szCs w:val="20"/>
          <w:lang w:val="en-US"/>
        </w:rPr>
      </w:pPr>
      <w:r w:rsidRPr="00610904">
        <w:rPr>
          <w:rFonts w:cs="Arial"/>
          <w:noProof w:val="0"/>
          <w:szCs w:val="20"/>
          <w:lang w:val="en-US"/>
        </w:rPr>
        <w:t>Re</w:t>
      </w:r>
      <w:r w:rsidR="002112A8" w:rsidRPr="00610904">
        <w:rPr>
          <w:rFonts w:cs="Arial"/>
          <w:noProof w:val="0"/>
          <w:szCs w:val="20"/>
          <w:lang w:val="en-US"/>
        </w:rPr>
        <w:t xml:space="preserve">garding all the difficulties </w:t>
      </w:r>
      <w:r w:rsidR="00AC05AD" w:rsidRPr="00610904">
        <w:rPr>
          <w:rFonts w:cs="Arial"/>
          <w:noProof w:val="0"/>
          <w:szCs w:val="20"/>
          <w:lang w:val="en-US"/>
        </w:rPr>
        <w:t>in the areas of health, finance</w:t>
      </w:r>
      <w:r w:rsidR="002112A8" w:rsidRPr="00610904">
        <w:rPr>
          <w:rFonts w:cs="Arial"/>
          <w:noProof w:val="0"/>
          <w:szCs w:val="20"/>
          <w:lang w:val="en-US"/>
        </w:rPr>
        <w:t xml:space="preserve"> and housing that the members of her family have endured, Teresa Lluy has testified that</w:t>
      </w:r>
      <w:r w:rsidRPr="00610904">
        <w:rPr>
          <w:rFonts w:cs="Arial"/>
          <w:noProof w:val="0"/>
          <w:szCs w:val="20"/>
          <w:lang w:val="en-US"/>
        </w:rPr>
        <w:t xml:space="preserve">: </w:t>
      </w:r>
    </w:p>
    <w:p w:rsidR="00D839BE" w:rsidRPr="00610904" w:rsidRDefault="00D839BE" w:rsidP="00610904">
      <w:pPr>
        <w:ind w:right="25"/>
        <w:rPr>
          <w:noProof w:val="0"/>
          <w:szCs w:val="20"/>
          <w:lang w:val="en-US"/>
        </w:rPr>
      </w:pPr>
    </w:p>
    <w:p w:rsidR="00D839BE" w:rsidRPr="00610904" w:rsidRDefault="006D376C" w:rsidP="003D3ABA">
      <w:pPr>
        <w:ind w:left="720" w:right="475"/>
        <w:rPr>
          <w:rFonts w:cs="Arial"/>
          <w:noProof w:val="0"/>
          <w:sz w:val="16"/>
          <w:szCs w:val="20"/>
          <w:lang w:val="en-US"/>
        </w:rPr>
      </w:pPr>
      <w:r w:rsidRPr="00610904">
        <w:rPr>
          <w:rFonts w:cs="Arial"/>
          <w:noProof w:val="0"/>
          <w:sz w:val="16"/>
          <w:szCs w:val="20"/>
          <w:lang w:val="en-US"/>
        </w:rPr>
        <w:t xml:space="preserve">“The most difficult times have related to financial problems since the legal actions were filed, the loss of my job, the social rejection owing to the absence of </w:t>
      </w:r>
      <w:r w:rsidR="00856968" w:rsidRPr="00610904">
        <w:rPr>
          <w:rFonts w:cs="Arial"/>
          <w:noProof w:val="0"/>
          <w:sz w:val="16"/>
          <w:szCs w:val="20"/>
          <w:lang w:val="en-US"/>
        </w:rPr>
        <w:t>opportunities</w:t>
      </w:r>
      <w:r w:rsidRPr="00610904">
        <w:rPr>
          <w:rFonts w:cs="Arial"/>
          <w:noProof w:val="0"/>
          <w:sz w:val="16"/>
          <w:szCs w:val="20"/>
          <w:lang w:val="en-US"/>
        </w:rPr>
        <w:t>, […] education, house rental expenses and frequent moves, [being discriminated against by] the home owners.</w:t>
      </w:r>
      <w:r w:rsidR="00D839BE" w:rsidRPr="00610904">
        <w:rPr>
          <w:rFonts w:cs="Arial"/>
          <w:noProof w:val="0"/>
          <w:sz w:val="16"/>
          <w:szCs w:val="20"/>
          <w:lang w:val="en-US"/>
        </w:rPr>
        <w:t>”</w:t>
      </w:r>
      <w:r w:rsidR="00D839BE" w:rsidRPr="00610904">
        <w:rPr>
          <w:rStyle w:val="FootnoteReference"/>
          <w:noProof w:val="0"/>
          <w:sz w:val="16"/>
          <w:lang w:val="en-US"/>
        </w:rPr>
        <w:footnoteReference w:id="249"/>
      </w:r>
    </w:p>
    <w:p w:rsidR="00D839BE" w:rsidRPr="00610904" w:rsidRDefault="00D839BE" w:rsidP="00610904">
      <w:pPr>
        <w:ind w:right="25"/>
        <w:rPr>
          <w:rFonts w:cs="Arial"/>
          <w:noProof w:val="0"/>
          <w:szCs w:val="20"/>
          <w:lang w:val="en-US"/>
        </w:rPr>
      </w:pPr>
    </w:p>
    <w:p w:rsidR="00D839BE" w:rsidRPr="00610904" w:rsidRDefault="009F3D78" w:rsidP="00610904">
      <w:pPr>
        <w:numPr>
          <w:ilvl w:val="0"/>
          <w:numId w:val="1"/>
        </w:numPr>
        <w:tabs>
          <w:tab w:val="left" w:pos="709"/>
          <w:tab w:val="left" w:pos="10065"/>
        </w:tabs>
        <w:ind w:right="25"/>
        <w:contextualSpacing/>
        <w:rPr>
          <w:noProof w:val="0"/>
          <w:szCs w:val="20"/>
          <w:lang w:val="en-US"/>
        </w:rPr>
      </w:pPr>
      <w:r w:rsidRPr="00610904">
        <w:rPr>
          <w:rFonts w:cs="Helvetica"/>
          <w:noProof w:val="0"/>
          <w:szCs w:val="20"/>
          <w:lang w:val="en-US"/>
        </w:rPr>
        <w:t>The Court</w:t>
      </w:r>
      <w:r w:rsidR="00D839BE" w:rsidRPr="00610904">
        <w:rPr>
          <w:rFonts w:cs="Helvetica"/>
          <w:noProof w:val="0"/>
          <w:szCs w:val="20"/>
          <w:lang w:val="en-US"/>
        </w:rPr>
        <w:t xml:space="preserve"> </w:t>
      </w:r>
      <w:r w:rsidR="00AC05AD" w:rsidRPr="00610904">
        <w:rPr>
          <w:rFonts w:cs="Helvetica"/>
          <w:noProof w:val="0"/>
          <w:szCs w:val="20"/>
          <w:lang w:val="en-US"/>
        </w:rPr>
        <w:t>underlines</w:t>
      </w:r>
      <w:r w:rsidR="006D376C" w:rsidRPr="00610904">
        <w:rPr>
          <w:rFonts w:cs="Helvetica"/>
          <w:noProof w:val="0"/>
          <w:szCs w:val="20"/>
          <w:lang w:val="en-US"/>
        </w:rPr>
        <w:t xml:space="preserve"> the constant</w:t>
      </w:r>
      <w:r w:rsidR="00AC05AD" w:rsidRPr="00610904">
        <w:rPr>
          <w:rFonts w:cs="Helvetica"/>
          <w:noProof w:val="0"/>
          <w:szCs w:val="20"/>
          <w:lang w:val="en-US"/>
        </w:rPr>
        <w:t xml:space="preserve"> situation of vulnerability of </w:t>
      </w:r>
      <w:r w:rsidR="006D376C" w:rsidRPr="00610904">
        <w:rPr>
          <w:rFonts w:cs="Helvetica"/>
          <w:noProof w:val="0"/>
          <w:szCs w:val="20"/>
          <w:lang w:val="en-US"/>
        </w:rPr>
        <w:t xml:space="preserve">Teresa </w:t>
      </w:r>
      <w:r w:rsidR="005550B0" w:rsidRPr="00610904">
        <w:rPr>
          <w:noProof w:val="0"/>
          <w:szCs w:val="20"/>
          <w:lang w:val="en-US"/>
        </w:rPr>
        <w:t>and Iván</w:t>
      </w:r>
      <w:r w:rsidR="00D839BE" w:rsidRPr="00610904">
        <w:rPr>
          <w:noProof w:val="0"/>
          <w:szCs w:val="20"/>
          <w:lang w:val="en-US"/>
        </w:rPr>
        <w:t xml:space="preserve"> Lluy</w:t>
      </w:r>
      <w:r w:rsidR="006D376C" w:rsidRPr="00610904">
        <w:rPr>
          <w:noProof w:val="0"/>
          <w:szCs w:val="20"/>
          <w:lang w:val="en-US"/>
        </w:rPr>
        <w:t xml:space="preserve">, because they were discriminated against, isolated from society, and in a precarious </w:t>
      </w:r>
      <w:r w:rsidR="00AC05AD" w:rsidRPr="00610904">
        <w:rPr>
          <w:noProof w:val="0"/>
          <w:szCs w:val="20"/>
          <w:lang w:val="en-US"/>
        </w:rPr>
        <w:t>financial</w:t>
      </w:r>
      <w:r w:rsidR="006D376C" w:rsidRPr="00610904">
        <w:rPr>
          <w:noProof w:val="0"/>
          <w:szCs w:val="20"/>
          <w:lang w:val="en-US"/>
        </w:rPr>
        <w:t xml:space="preserve"> situation.</w:t>
      </w:r>
      <w:r w:rsidR="00D839BE" w:rsidRPr="00610904">
        <w:rPr>
          <w:noProof w:val="0"/>
          <w:szCs w:val="20"/>
          <w:lang w:val="en-US"/>
        </w:rPr>
        <w:t xml:space="preserve"> </w:t>
      </w:r>
      <w:r w:rsidR="006D376C" w:rsidRPr="00610904">
        <w:rPr>
          <w:noProof w:val="0"/>
          <w:szCs w:val="20"/>
          <w:lang w:val="en-US"/>
        </w:rPr>
        <w:t xml:space="preserve">Added to this, Talía’s infection </w:t>
      </w:r>
      <w:r w:rsidR="00AC05AD" w:rsidRPr="00610904">
        <w:rPr>
          <w:noProof w:val="0"/>
          <w:szCs w:val="20"/>
          <w:lang w:val="en-US"/>
        </w:rPr>
        <w:t xml:space="preserve">had a significant effect on </w:t>
      </w:r>
      <w:r w:rsidR="006D376C" w:rsidRPr="00610904">
        <w:rPr>
          <w:noProof w:val="0"/>
          <w:szCs w:val="20"/>
          <w:lang w:val="en-US"/>
        </w:rPr>
        <w:t xml:space="preserve">the whole family, because </w:t>
      </w:r>
      <w:r w:rsidR="00D839BE" w:rsidRPr="00610904">
        <w:rPr>
          <w:noProof w:val="0"/>
          <w:szCs w:val="20"/>
          <w:lang w:val="en-US"/>
        </w:rPr>
        <w:t xml:space="preserve">Teresa </w:t>
      </w:r>
      <w:r w:rsidR="005550B0" w:rsidRPr="00610904">
        <w:rPr>
          <w:noProof w:val="0"/>
          <w:szCs w:val="20"/>
          <w:lang w:val="en-US"/>
        </w:rPr>
        <w:t>and Iván</w:t>
      </w:r>
      <w:r w:rsidR="00D839BE" w:rsidRPr="00610904">
        <w:rPr>
          <w:noProof w:val="0"/>
          <w:szCs w:val="20"/>
          <w:lang w:val="en-US"/>
        </w:rPr>
        <w:t xml:space="preserve"> </w:t>
      </w:r>
      <w:r w:rsidR="006D376C" w:rsidRPr="00610904">
        <w:rPr>
          <w:noProof w:val="0"/>
          <w:szCs w:val="20"/>
          <w:lang w:val="en-US"/>
        </w:rPr>
        <w:t>had to devote most of their physical</w:t>
      </w:r>
      <w:r w:rsidR="00AC05AD" w:rsidRPr="00610904">
        <w:rPr>
          <w:noProof w:val="0"/>
          <w:szCs w:val="20"/>
          <w:lang w:val="en-US"/>
        </w:rPr>
        <w:t>,</w:t>
      </w:r>
      <w:r w:rsidR="006D376C" w:rsidRPr="00610904">
        <w:rPr>
          <w:noProof w:val="0"/>
          <w:szCs w:val="20"/>
          <w:lang w:val="en-US"/>
        </w:rPr>
        <w:t xml:space="preserve"> material and economic efforts to trying to ensure Talía’s survival and a decent life for her. All of </w:t>
      </w:r>
      <w:proofErr w:type="gramStart"/>
      <w:r w:rsidR="006D376C" w:rsidRPr="00610904">
        <w:rPr>
          <w:noProof w:val="0"/>
          <w:szCs w:val="20"/>
          <w:lang w:val="en-US"/>
        </w:rPr>
        <w:t>this</w:t>
      </w:r>
      <w:r w:rsidR="006D376C" w:rsidRPr="00610904">
        <w:rPr>
          <w:noProof w:val="0"/>
          <w:color w:val="000000"/>
          <w:lang w:val="en-US"/>
        </w:rPr>
        <w:t>,</w:t>
      </w:r>
      <w:proofErr w:type="gramEnd"/>
      <w:r w:rsidR="006D376C" w:rsidRPr="00610904">
        <w:rPr>
          <w:noProof w:val="0"/>
          <w:color w:val="000000"/>
          <w:lang w:val="en-US"/>
        </w:rPr>
        <w:t xml:space="preserve"> gave rise to a permane</w:t>
      </w:r>
      <w:r w:rsidR="00AC05AD" w:rsidRPr="00610904">
        <w:rPr>
          <w:noProof w:val="0"/>
          <w:color w:val="000000"/>
          <w:lang w:val="en-US"/>
        </w:rPr>
        <w:t>n</w:t>
      </w:r>
      <w:r w:rsidR="006D376C" w:rsidRPr="00610904">
        <w:rPr>
          <w:noProof w:val="0"/>
          <w:color w:val="000000"/>
          <w:lang w:val="en-US"/>
        </w:rPr>
        <w:t xml:space="preserve">t situation of anguish, uncertainty and insecurity in the life of </w:t>
      </w:r>
      <w:r w:rsidR="00D839BE" w:rsidRPr="00610904">
        <w:rPr>
          <w:noProof w:val="0"/>
          <w:szCs w:val="20"/>
          <w:lang w:val="en-US"/>
        </w:rPr>
        <w:t xml:space="preserve">Talía, Teresa </w:t>
      </w:r>
      <w:r w:rsidR="005550B0" w:rsidRPr="00610904">
        <w:rPr>
          <w:noProof w:val="0"/>
          <w:szCs w:val="20"/>
          <w:lang w:val="en-US"/>
        </w:rPr>
        <w:t>and Iván</w:t>
      </w:r>
      <w:r w:rsidR="00D839BE" w:rsidRPr="00610904">
        <w:rPr>
          <w:noProof w:val="0"/>
          <w:szCs w:val="20"/>
          <w:lang w:val="en-US"/>
        </w:rPr>
        <w:t xml:space="preserve"> Lluy.</w:t>
      </w:r>
    </w:p>
    <w:p w:rsidR="00D839BE" w:rsidRPr="00610904" w:rsidRDefault="00D839BE" w:rsidP="00610904">
      <w:pPr>
        <w:ind w:right="25"/>
        <w:rPr>
          <w:noProof w:val="0"/>
          <w:szCs w:val="20"/>
          <w:lang w:val="en-US"/>
        </w:rPr>
      </w:pPr>
    </w:p>
    <w:p w:rsidR="00D839BE" w:rsidRPr="00610904" w:rsidRDefault="006D376C" w:rsidP="00610904">
      <w:pPr>
        <w:numPr>
          <w:ilvl w:val="0"/>
          <w:numId w:val="1"/>
        </w:numPr>
        <w:tabs>
          <w:tab w:val="left" w:pos="709"/>
          <w:tab w:val="left" w:pos="10065"/>
        </w:tabs>
        <w:ind w:right="25"/>
        <w:contextualSpacing/>
        <w:rPr>
          <w:rFonts w:cs="Times New Roman"/>
          <w:noProof w:val="0"/>
          <w:szCs w:val="20"/>
          <w:lang w:val="en-US"/>
        </w:rPr>
      </w:pPr>
      <w:r w:rsidRPr="00610904">
        <w:rPr>
          <w:noProof w:val="0"/>
          <w:szCs w:val="20"/>
          <w:lang w:val="en-US"/>
        </w:rPr>
        <w:t xml:space="preserve">In the specific case of </w:t>
      </w:r>
      <w:r w:rsidR="00D839BE" w:rsidRPr="00610904">
        <w:rPr>
          <w:noProof w:val="0"/>
          <w:szCs w:val="20"/>
          <w:lang w:val="en-US"/>
        </w:rPr>
        <w:t xml:space="preserve">Teresa Lluy, </w:t>
      </w:r>
      <w:r w:rsidRPr="00610904">
        <w:rPr>
          <w:noProof w:val="0"/>
          <w:szCs w:val="20"/>
          <w:lang w:val="en-US"/>
        </w:rPr>
        <w:t>she has</w:t>
      </w:r>
      <w:r w:rsidR="00AC05AD" w:rsidRPr="00610904">
        <w:rPr>
          <w:noProof w:val="0"/>
          <w:szCs w:val="20"/>
          <w:lang w:val="en-US"/>
        </w:rPr>
        <w:t xml:space="preserve"> testified that her life changed</w:t>
      </w:r>
      <w:r w:rsidRPr="00610904">
        <w:rPr>
          <w:noProof w:val="0"/>
          <w:szCs w:val="20"/>
          <w:lang w:val="en-US"/>
        </w:rPr>
        <w:t xml:space="preserve"> owing to Talía’s infection with HIV; when Talía’s illness became public, Mrs. Lluy lost her </w:t>
      </w:r>
      <w:r w:rsidR="00AC05AD" w:rsidRPr="00610904">
        <w:rPr>
          <w:noProof w:val="0"/>
          <w:szCs w:val="20"/>
          <w:lang w:val="en-US"/>
        </w:rPr>
        <w:t>job</w:t>
      </w:r>
      <w:r w:rsidRPr="00610904">
        <w:rPr>
          <w:noProof w:val="0"/>
          <w:szCs w:val="20"/>
          <w:lang w:val="en-US"/>
        </w:rPr>
        <w:t xml:space="preserve"> in the company for which she had worked for 10 years. When she was dismissed, she was told that it was “because she gave a bad impression of the company, since her daughter had </w:t>
      </w:r>
      <w:r w:rsidR="00A8072E" w:rsidRPr="00610904">
        <w:rPr>
          <w:rFonts w:cs="Arial"/>
          <w:noProof w:val="0"/>
          <w:szCs w:val="20"/>
          <w:lang w:val="en-US"/>
        </w:rPr>
        <w:t>HIV</w:t>
      </w:r>
      <w:r w:rsidRPr="00610904">
        <w:rPr>
          <w:rFonts w:cs="Arial"/>
          <w:noProof w:val="0"/>
          <w:szCs w:val="20"/>
          <w:lang w:val="en-US"/>
        </w:rPr>
        <w:t>.”</w:t>
      </w:r>
      <w:r w:rsidR="00D839BE" w:rsidRPr="00610904">
        <w:rPr>
          <w:rFonts w:cs="Arial"/>
          <w:noProof w:val="0"/>
          <w:szCs w:val="20"/>
          <w:lang w:val="en-US"/>
        </w:rPr>
        <w:t xml:space="preserve"> </w:t>
      </w:r>
      <w:r w:rsidRPr="00610904">
        <w:rPr>
          <w:rFonts w:cs="Arial"/>
          <w:noProof w:val="0"/>
          <w:szCs w:val="20"/>
          <w:lang w:val="en-US"/>
        </w:rPr>
        <w:t>Following her dismissal, Mrs. Lluy did domestic work; however, “when [her employers] recognized [her], they told [her] that they no longer needed [her]” and, on some occasions, they reproached her that she “could put them at risk of infection.</w:t>
      </w:r>
      <w:r w:rsidR="00D839BE" w:rsidRPr="00610904">
        <w:rPr>
          <w:rFonts w:cs="Arial"/>
          <w:noProof w:val="0"/>
          <w:szCs w:val="20"/>
          <w:lang w:val="en-US"/>
        </w:rPr>
        <w:t>”</w:t>
      </w:r>
      <w:r w:rsidR="00D839BE" w:rsidRPr="00610904">
        <w:rPr>
          <w:rStyle w:val="FootnoteReference"/>
          <w:noProof w:val="0"/>
          <w:lang w:val="en-US"/>
        </w:rPr>
        <w:footnoteReference w:id="250"/>
      </w:r>
    </w:p>
    <w:p w:rsidR="00D839BE" w:rsidRPr="00610904" w:rsidRDefault="00D839BE" w:rsidP="00610904">
      <w:pPr>
        <w:rPr>
          <w:rFonts w:cs="Times New Roman"/>
          <w:noProof w:val="0"/>
          <w:szCs w:val="20"/>
          <w:lang w:val="en-US"/>
        </w:rPr>
      </w:pPr>
    </w:p>
    <w:p w:rsidR="00D839BE" w:rsidRPr="00610904" w:rsidRDefault="00D839BE" w:rsidP="00610904">
      <w:pPr>
        <w:numPr>
          <w:ilvl w:val="0"/>
          <w:numId w:val="1"/>
        </w:numPr>
        <w:tabs>
          <w:tab w:val="left" w:pos="709"/>
          <w:tab w:val="left" w:pos="10065"/>
        </w:tabs>
        <w:ind w:right="25"/>
        <w:contextualSpacing/>
        <w:rPr>
          <w:rFonts w:cs="Times New Roman"/>
          <w:noProof w:val="0"/>
          <w:szCs w:val="20"/>
          <w:lang w:val="en-US"/>
        </w:rPr>
      </w:pPr>
      <w:r w:rsidRPr="00610904">
        <w:rPr>
          <w:rFonts w:cs="Arial"/>
          <w:noProof w:val="0"/>
          <w:szCs w:val="20"/>
          <w:lang w:val="en-US"/>
        </w:rPr>
        <w:t xml:space="preserve">Teresa Lluy </w:t>
      </w:r>
      <w:r w:rsidR="006D376C" w:rsidRPr="00610904">
        <w:rPr>
          <w:rFonts w:cs="Arial"/>
          <w:noProof w:val="0"/>
          <w:szCs w:val="20"/>
          <w:lang w:val="en-US"/>
        </w:rPr>
        <w:t xml:space="preserve">also testified that she “had to sell [her] household appliances, [… she] lost </w:t>
      </w:r>
      <w:r w:rsidR="00856968" w:rsidRPr="00610904">
        <w:rPr>
          <w:rFonts w:cs="Arial"/>
          <w:noProof w:val="0"/>
          <w:szCs w:val="20"/>
          <w:lang w:val="en-US"/>
        </w:rPr>
        <w:t>everything</w:t>
      </w:r>
      <w:r w:rsidR="006D376C" w:rsidRPr="00610904">
        <w:rPr>
          <w:rFonts w:cs="Arial"/>
          <w:noProof w:val="0"/>
          <w:szCs w:val="20"/>
          <w:lang w:val="en-US"/>
        </w:rPr>
        <w:t xml:space="preserve">, [she] was never able to recover anything.” The discrimination and isolation suffered “caused emotional damage </w:t>
      </w:r>
      <w:r w:rsidR="00AC05AD" w:rsidRPr="00610904">
        <w:rPr>
          <w:rFonts w:cs="Arial"/>
          <w:noProof w:val="0"/>
          <w:szCs w:val="20"/>
          <w:lang w:val="en-US"/>
        </w:rPr>
        <w:t>to</w:t>
      </w:r>
      <w:r w:rsidR="006D376C" w:rsidRPr="00610904">
        <w:rPr>
          <w:rFonts w:cs="Arial"/>
          <w:noProof w:val="0"/>
          <w:szCs w:val="20"/>
          <w:lang w:val="en-US"/>
        </w:rPr>
        <w:t xml:space="preserve"> [her] daughter, [herself] and [her] son.” According to her testimony, in 2008, Teresa Lluy had health problems and “began to have headaches, loss of vision, weight loss; she was very thirsty and urinated a great deal.” When she went to the clinic, the doctor who attended her told her that her sugar levels were very high and t</w:t>
      </w:r>
      <w:r w:rsidR="006D7F48" w:rsidRPr="00610904">
        <w:rPr>
          <w:rFonts w:cs="Arial"/>
          <w:noProof w:val="0"/>
          <w:szCs w:val="20"/>
          <w:lang w:val="en-US"/>
        </w:rPr>
        <w:t>hat she had “e</w:t>
      </w:r>
      <w:r w:rsidR="00AC05AD" w:rsidRPr="00610904">
        <w:rPr>
          <w:rFonts w:cs="Arial"/>
          <w:noProof w:val="0"/>
          <w:szCs w:val="20"/>
          <w:lang w:val="en-US"/>
        </w:rPr>
        <w:t>motional diabetes,” which occurred</w:t>
      </w:r>
      <w:r w:rsidR="006D7F48" w:rsidRPr="00610904">
        <w:rPr>
          <w:rFonts w:cs="Arial"/>
          <w:noProof w:val="0"/>
          <w:szCs w:val="20"/>
          <w:lang w:val="en-US"/>
        </w:rPr>
        <w:t xml:space="preserve"> when “a person [was] the victim of </w:t>
      </w:r>
      <w:r w:rsidR="00AC05AD" w:rsidRPr="00610904">
        <w:rPr>
          <w:rFonts w:cs="Arial"/>
          <w:noProof w:val="0"/>
          <w:szCs w:val="20"/>
          <w:lang w:val="en-US"/>
        </w:rPr>
        <w:t>great</w:t>
      </w:r>
      <w:r w:rsidR="006D7F48" w:rsidRPr="00610904">
        <w:rPr>
          <w:rFonts w:cs="Arial"/>
          <w:noProof w:val="0"/>
          <w:szCs w:val="20"/>
          <w:lang w:val="en-US"/>
        </w:rPr>
        <w:t xml:space="preserve"> nervous tension and emotional conflict.</w:t>
      </w:r>
      <w:r w:rsidRPr="00610904">
        <w:rPr>
          <w:rFonts w:cs="Arial"/>
          <w:noProof w:val="0"/>
          <w:szCs w:val="20"/>
          <w:lang w:val="en-US"/>
        </w:rPr>
        <w:t>”</w:t>
      </w:r>
      <w:r w:rsidRPr="00610904">
        <w:rPr>
          <w:rStyle w:val="FootnoteReference"/>
          <w:noProof w:val="0"/>
          <w:lang w:val="en-US"/>
        </w:rPr>
        <w:footnoteReference w:id="251"/>
      </w:r>
      <w:r w:rsidR="006D7F48" w:rsidRPr="00610904">
        <w:rPr>
          <w:rFonts w:cs="Arial"/>
          <w:noProof w:val="0"/>
          <w:szCs w:val="20"/>
          <w:lang w:val="en-US"/>
        </w:rPr>
        <w:t xml:space="preserve"> In addition to the distress owing to the “emotional </w:t>
      </w:r>
      <w:r w:rsidR="006D7F48" w:rsidRPr="00610904">
        <w:rPr>
          <w:rFonts w:cs="Arial"/>
          <w:noProof w:val="0"/>
          <w:szCs w:val="20"/>
          <w:lang w:val="en-US"/>
        </w:rPr>
        <w:lastRenderedPageBreak/>
        <w:t xml:space="preserve">diabetes,” </w:t>
      </w:r>
      <w:r w:rsidRPr="00610904">
        <w:rPr>
          <w:rFonts w:cs="Arial"/>
          <w:noProof w:val="0"/>
          <w:szCs w:val="20"/>
          <w:lang w:val="en-US"/>
        </w:rPr>
        <w:t xml:space="preserve">Teresa Lluy </w:t>
      </w:r>
      <w:r w:rsidR="006D7F48" w:rsidRPr="00610904">
        <w:rPr>
          <w:rFonts w:cs="Arial"/>
          <w:noProof w:val="0"/>
          <w:szCs w:val="20"/>
          <w:lang w:val="en-US"/>
        </w:rPr>
        <w:t xml:space="preserve">testified that she suffers from “neuralgic pain owing to the </w:t>
      </w:r>
      <w:r w:rsidRPr="00610904">
        <w:rPr>
          <w:rFonts w:cs="Arial"/>
          <w:noProof w:val="0"/>
          <w:szCs w:val="20"/>
          <w:lang w:val="en-US"/>
        </w:rPr>
        <w:t xml:space="preserve">herpes zoster </w:t>
      </w:r>
      <w:r w:rsidR="006D7F48" w:rsidRPr="00610904">
        <w:rPr>
          <w:rFonts w:cs="Arial"/>
          <w:noProof w:val="0"/>
          <w:szCs w:val="20"/>
          <w:lang w:val="en-US"/>
        </w:rPr>
        <w:t xml:space="preserve">[she] developed </w:t>
      </w:r>
      <w:r w:rsidR="00AC05AD" w:rsidRPr="00610904">
        <w:rPr>
          <w:rFonts w:cs="Arial"/>
          <w:noProof w:val="0"/>
          <w:szCs w:val="20"/>
          <w:lang w:val="en-US"/>
        </w:rPr>
        <w:t>because of the</w:t>
      </w:r>
      <w:r w:rsidR="006D7F48" w:rsidRPr="00610904">
        <w:rPr>
          <w:rFonts w:cs="Arial"/>
          <w:noProof w:val="0"/>
          <w:szCs w:val="20"/>
          <w:lang w:val="en-US"/>
        </w:rPr>
        <w:t xml:space="preserve"> stress, which causes [her] intense pain in the chest.</w:t>
      </w:r>
      <w:r w:rsidRPr="00610904">
        <w:rPr>
          <w:rFonts w:cs="Arial"/>
          <w:noProof w:val="0"/>
          <w:szCs w:val="20"/>
          <w:lang w:val="en-US"/>
        </w:rPr>
        <w:t>”</w:t>
      </w:r>
      <w:r w:rsidRPr="00610904">
        <w:rPr>
          <w:rStyle w:val="FootnoteReference"/>
          <w:noProof w:val="0"/>
          <w:lang w:val="en-US"/>
        </w:rPr>
        <w:footnoteReference w:id="252"/>
      </w:r>
    </w:p>
    <w:p w:rsidR="00D839BE" w:rsidRPr="00610904" w:rsidRDefault="00D839BE" w:rsidP="00610904">
      <w:pPr>
        <w:rPr>
          <w:rFonts w:cs="Times New Roman"/>
          <w:noProof w:val="0"/>
          <w:szCs w:val="20"/>
          <w:lang w:val="en-US"/>
        </w:rPr>
      </w:pPr>
    </w:p>
    <w:p w:rsidR="00D839BE" w:rsidRPr="00610904" w:rsidRDefault="006D7F48" w:rsidP="00610904">
      <w:pPr>
        <w:numPr>
          <w:ilvl w:val="0"/>
          <w:numId w:val="1"/>
        </w:numPr>
        <w:tabs>
          <w:tab w:val="left" w:pos="709"/>
          <w:tab w:val="left" w:pos="10065"/>
        </w:tabs>
        <w:ind w:right="25"/>
        <w:contextualSpacing/>
        <w:rPr>
          <w:rFonts w:cs="Times New Roman"/>
          <w:noProof w:val="0"/>
          <w:szCs w:val="20"/>
          <w:lang w:val="en-US"/>
        </w:rPr>
      </w:pPr>
      <w:r w:rsidRPr="00610904">
        <w:rPr>
          <w:rFonts w:cs="Arial"/>
          <w:noProof w:val="0"/>
          <w:szCs w:val="20"/>
          <w:lang w:val="en-US"/>
        </w:rPr>
        <w:t xml:space="preserve">Owing to her difficult financial situation, </w:t>
      </w:r>
      <w:r w:rsidR="00D839BE" w:rsidRPr="00610904">
        <w:rPr>
          <w:rFonts w:cs="Arial"/>
          <w:noProof w:val="0"/>
          <w:szCs w:val="20"/>
          <w:lang w:val="en-US"/>
        </w:rPr>
        <w:t>Teresa Lluy “</w:t>
      </w:r>
      <w:r w:rsidRPr="00610904">
        <w:rPr>
          <w:rFonts w:cs="Arial"/>
          <w:noProof w:val="0"/>
          <w:szCs w:val="20"/>
          <w:lang w:val="en-US"/>
        </w:rPr>
        <w:t xml:space="preserve">sought assistance from </w:t>
      </w:r>
      <w:r w:rsidR="00AC05AD" w:rsidRPr="00610904">
        <w:rPr>
          <w:rFonts w:cs="Arial"/>
          <w:noProof w:val="0"/>
          <w:szCs w:val="20"/>
          <w:lang w:val="en-US"/>
        </w:rPr>
        <w:t>official entities,</w:t>
      </w:r>
      <w:r w:rsidRPr="00610904">
        <w:rPr>
          <w:rFonts w:cs="Arial"/>
          <w:noProof w:val="0"/>
          <w:szCs w:val="20"/>
          <w:lang w:val="en-US"/>
        </w:rPr>
        <w:t xml:space="preserve"> the Social Development Ministry, the courts of justice, the </w:t>
      </w:r>
      <w:r w:rsidR="009F3D78" w:rsidRPr="00610904">
        <w:rPr>
          <w:rFonts w:cs="Arial"/>
          <w:noProof w:val="0"/>
          <w:szCs w:val="20"/>
          <w:lang w:val="en-US"/>
        </w:rPr>
        <w:t>President</w:t>
      </w:r>
      <w:r w:rsidR="00A8072E" w:rsidRPr="00610904">
        <w:rPr>
          <w:rFonts w:cs="Arial"/>
          <w:noProof w:val="0"/>
          <w:szCs w:val="20"/>
          <w:lang w:val="en-US"/>
        </w:rPr>
        <w:t xml:space="preserve"> of the Red Cross</w:t>
      </w:r>
      <w:r w:rsidRPr="00610904">
        <w:rPr>
          <w:rFonts w:cs="Arial"/>
          <w:noProof w:val="0"/>
          <w:szCs w:val="20"/>
          <w:lang w:val="en-US"/>
        </w:rPr>
        <w:t xml:space="preserve"> of</w:t>
      </w:r>
      <w:r w:rsidR="00D839BE" w:rsidRPr="00610904">
        <w:rPr>
          <w:rFonts w:cs="Arial"/>
          <w:noProof w:val="0"/>
          <w:szCs w:val="20"/>
          <w:lang w:val="en-US"/>
        </w:rPr>
        <w:t xml:space="preserve"> Quito, </w:t>
      </w:r>
      <w:r w:rsidRPr="00610904">
        <w:rPr>
          <w:rFonts w:cs="Arial"/>
          <w:noProof w:val="0"/>
          <w:szCs w:val="20"/>
          <w:lang w:val="en-US"/>
        </w:rPr>
        <w:t>but they did not respond to her.</w:t>
      </w:r>
      <w:r w:rsidR="00D839BE" w:rsidRPr="00610904">
        <w:rPr>
          <w:rFonts w:cs="Arial"/>
          <w:noProof w:val="0"/>
          <w:szCs w:val="20"/>
          <w:lang w:val="en-US"/>
        </w:rPr>
        <w:t>”</w:t>
      </w:r>
      <w:r w:rsidR="00D839BE" w:rsidRPr="00610904">
        <w:rPr>
          <w:rStyle w:val="FootnoteReference"/>
          <w:noProof w:val="0"/>
          <w:lang w:val="en-US"/>
        </w:rPr>
        <w:footnoteReference w:id="253"/>
      </w:r>
      <w:r w:rsidRPr="00610904">
        <w:rPr>
          <w:rFonts w:cs="Arial"/>
          <w:noProof w:val="0"/>
          <w:szCs w:val="20"/>
          <w:lang w:val="en-US"/>
        </w:rPr>
        <w:t xml:space="preserve"> As already mentioned, in order to cover the family’s expenses and the costs of Talía’s treatment, </w:t>
      </w:r>
      <w:r w:rsidR="00D839BE" w:rsidRPr="00610904">
        <w:rPr>
          <w:rFonts w:cs="Arial"/>
          <w:noProof w:val="0"/>
          <w:szCs w:val="20"/>
          <w:lang w:val="en-US"/>
        </w:rPr>
        <w:t xml:space="preserve">Teresa Lluy </w:t>
      </w:r>
      <w:r w:rsidRPr="00610904">
        <w:rPr>
          <w:rFonts w:cs="Arial"/>
          <w:noProof w:val="0"/>
          <w:szCs w:val="20"/>
          <w:lang w:val="en-US"/>
        </w:rPr>
        <w:t>sold any items of value she possessed, and worked in the informal sector.</w:t>
      </w:r>
      <w:r w:rsidR="00D839BE" w:rsidRPr="00610904">
        <w:rPr>
          <w:rStyle w:val="FootnoteReference"/>
          <w:noProof w:val="0"/>
          <w:lang w:val="en-US"/>
        </w:rPr>
        <w:footnoteReference w:id="254"/>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AC05AD"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According to the</w:t>
      </w:r>
      <w:r w:rsidR="006D7F48" w:rsidRPr="00610904">
        <w:rPr>
          <w:noProof w:val="0"/>
          <w:szCs w:val="20"/>
          <w:lang w:val="en-US"/>
        </w:rPr>
        <w:t xml:space="preserve"> psychological appraisal made by the clinical psychologist, </w:t>
      </w:r>
      <w:r w:rsidR="006D7F48" w:rsidRPr="00610904">
        <w:rPr>
          <w:rFonts w:cs="Arial"/>
          <w:iCs/>
          <w:noProof w:val="0"/>
          <w:color w:val="000000"/>
          <w:szCs w:val="20"/>
          <w:lang w:val="en-US"/>
        </w:rPr>
        <w:t>Sonia Nivelo Cabrera,</w:t>
      </w:r>
      <w:r w:rsidRPr="00610904">
        <w:rPr>
          <w:rFonts w:cs="Arial"/>
          <w:iCs/>
          <w:noProof w:val="0"/>
          <w:color w:val="000000"/>
          <w:szCs w:val="20"/>
          <w:lang w:val="en-US"/>
        </w:rPr>
        <w:t xml:space="preserve"> </w:t>
      </w:r>
      <w:r w:rsidRPr="00610904">
        <w:rPr>
          <w:noProof w:val="0"/>
          <w:szCs w:val="20"/>
          <w:lang w:val="en-US"/>
        </w:rPr>
        <w:t>in February 2015,</w:t>
      </w:r>
      <w:r w:rsidR="006D7F48" w:rsidRPr="00610904">
        <w:rPr>
          <w:rFonts w:cs="Arial"/>
          <w:iCs/>
          <w:noProof w:val="0"/>
          <w:color w:val="000000"/>
          <w:szCs w:val="20"/>
          <w:lang w:val="en-US"/>
        </w:rPr>
        <w:t xml:space="preserve"> “</w:t>
      </w:r>
      <w:r w:rsidR="00D839BE" w:rsidRPr="00610904">
        <w:rPr>
          <w:rFonts w:cs="Arial"/>
          <w:iCs/>
          <w:noProof w:val="0"/>
          <w:color w:val="000000"/>
          <w:szCs w:val="20"/>
          <w:lang w:val="en-US"/>
        </w:rPr>
        <w:t xml:space="preserve">[Teresa] Lluy </w:t>
      </w:r>
      <w:r w:rsidR="00856968" w:rsidRPr="00610904">
        <w:rPr>
          <w:rFonts w:cs="Arial"/>
          <w:iCs/>
          <w:noProof w:val="0"/>
          <w:color w:val="000000"/>
          <w:szCs w:val="20"/>
          <w:lang w:val="en-US"/>
        </w:rPr>
        <w:t>has</w:t>
      </w:r>
      <w:r w:rsidR="006D7F48" w:rsidRPr="00610904">
        <w:rPr>
          <w:rFonts w:cs="Arial"/>
          <w:iCs/>
          <w:noProof w:val="0"/>
          <w:color w:val="000000"/>
          <w:szCs w:val="20"/>
          <w:lang w:val="en-US"/>
        </w:rPr>
        <w:t xml:space="preserve"> been affected by the isolation, the social stigma, the loss of her employment, and feels what is known as “social death.” She has the signs and symptoms of </w:t>
      </w:r>
      <w:r w:rsidR="006D7F48" w:rsidRPr="00610904">
        <w:rPr>
          <w:bCs/>
          <w:noProof w:val="0"/>
          <w:lang w:val="en-US"/>
        </w:rPr>
        <w:t>mixed anxiety-depressive disorder. The impact has been “somatized and she has the following ailments: emotional diabetes, hypertension, [and] chronic physical pains.</w:t>
      </w:r>
      <w:r w:rsidR="00D839BE" w:rsidRPr="00610904">
        <w:rPr>
          <w:rStyle w:val="FootnoteReference"/>
          <w:noProof w:val="0"/>
          <w:color w:val="000000"/>
          <w:lang w:val="en-US"/>
        </w:rPr>
        <w:footnoteReference w:id="255"/>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6D7F48" w:rsidP="00610904">
      <w:pPr>
        <w:numPr>
          <w:ilvl w:val="0"/>
          <w:numId w:val="1"/>
        </w:numPr>
        <w:tabs>
          <w:tab w:val="left" w:pos="709"/>
          <w:tab w:val="left" w:pos="10065"/>
        </w:tabs>
        <w:ind w:right="25"/>
        <w:contextualSpacing/>
        <w:rPr>
          <w:rFonts w:cs="Times New Roman"/>
          <w:noProof w:val="0"/>
          <w:szCs w:val="20"/>
          <w:lang w:val="en-US"/>
        </w:rPr>
      </w:pPr>
      <w:r w:rsidRPr="00610904">
        <w:rPr>
          <w:rFonts w:cs="TimesNewRomanPSMT"/>
          <w:noProof w:val="0"/>
          <w:color w:val="000000"/>
          <w:szCs w:val="20"/>
          <w:lang w:val="en-US"/>
        </w:rPr>
        <w:t>In the case of</w:t>
      </w:r>
      <w:r w:rsidR="00D839BE" w:rsidRPr="00610904">
        <w:rPr>
          <w:noProof w:val="0"/>
          <w:szCs w:val="20"/>
          <w:lang w:val="en-US"/>
        </w:rPr>
        <w:t xml:space="preserve"> </w:t>
      </w:r>
      <w:r w:rsidR="00D839BE" w:rsidRPr="00610904">
        <w:rPr>
          <w:rFonts w:cs="TimesNewRomanPSMT"/>
          <w:noProof w:val="0"/>
          <w:color w:val="000000"/>
          <w:szCs w:val="20"/>
          <w:lang w:val="en-US"/>
        </w:rPr>
        <w:t xml:space="preserve">Iván </w:t>
      </w:r>
      <w:r w:rsidR="00D839BE" w:rsidRPr="00610904">
        <w:rPr>
          <w:rFonts w:cs="Arial"/>
          <w:noProof w:val="0"/>
          <w:snapToGrid w:val="0"/>
          <w:szCs w:val="20"/>
          <w:lang w:val="en-US"/>
        </w:rPr>
        <w:t xml:space="preserve">Lluy, </w:t>
      </w:r>
      <w:r w:rsidRPr="00610904">
        <w:rPr>
          <w:rFonts w:cs="Arial"/>
          <w:noProof w:val="0"/>
          <w:snapToGrid w:val="0"/>
          <w:szCs w:val="20"/>
          <w:lang w:val="en-US"/>
        </w:rPr>
        <w:t xml:space="preserve">he has testified that “[w]hen he was [15] years old his life was horribly affected on finding out that [his] sister had been infected with HIV due to human error.” </w:t>
      </w:r>
      <w:r w:rsidR="00AC05AD" w:rsidRPr="00610904">
        <w:rPr>
          <w:rFonts w:cs="Arial"/>
          <w:noProof w:val="0"/>
          <w:snapToGrid w:val="0"/>
          <w:szCs w:val="20"/>
          <w:lang w:val="en-US"/>
        </w:rPr>
        <w:t xml:space="preserve">Owing to his sister’s </w:t>
      </w:r>
      <w:r w:rsidRPr="00610904">
        <w:rPr>
          <w:rFonts w:cs="Arial"/>
          <w:noProof w:val="0"/>
          <w:snapToGrid w:val="0"/>
          <w:szCs w:val="20"/>
          <w:lang w:val="en-US"/>
        </w:rPr>
        <w:t>health problems and thinking that she could die at any time, he stopped attending university and began to work day and night to help his mother with the expenses.</w:t>
      </w:r>
      <w:r w:rsidR="00D839BE" w:rsidRPr="00610904">
        <w:rPr>
          <w:rStyle w:val="FootnoteReference"/>
          <w:noProof w:val="0"/>
          <w:snapToGrid w:val="0"/>
          <w:lang w:val="en-US"/>
        </w:rPr>
        <w:footnoteReference w:id="256"/>
      </w:r>
      <w:r w:rsidR="00D839BE" w:rsidRPr="00610904">
        <w:rPr>
          <w:rFonts w:cs="Arial"/>
          <w:noProof w:val="0"/>
          <w:snapToGrid w:val="0"/>
          <w:szCs w:val="20"/>
          <w:lang w:val="en-US"/>
        </w:rPr>
        <w:t xml:space="preserve"> </w:t>
      </w:r>
    </w:p>
    <w:p w:rsidR="00D839BE" w:rsidRPr="00610904" w:rsidRDefault="00D839BE" w:rsidP="00610904">
      <w:pPr>
        <w:rPr>
          <w:rFonts w:cs="Times New Roman"/>
          <w:noProof w:val="0"/>
          <w:szCs w:val="20"/>
          <w:lang w:val="en-US"/>
        </w:rPr>
      </w:pPr>
    </w:p>
    <w:p w:rsidR="00D839BE" w:rsidRPr="00610904" w:rsidRDefault="00D839BE" w:rsidP="00610904">
      <w:pPr>
        <w:numPr>
          <w:ilvl w:val="0"/>
          <w:numId w:val="1"/>
        </w:numPr>
        <w:tabs>
          <w:tab w:val="left" w:pos="709"/>
          <w:tab w:val="left" w:pos="10065"/>
        </w:tabs>
        <w:ind w:right="25"/>
        <w:contextualSpacing/>
        <w:rPr>
          <w:rFonts w:cs="Times New Roman"/>
          <w:noProof w:val="0"/>
          <w:szCs w:val="20"/>
          <w:lang w:val="en-US"/>
        </w:rPr>
      </w:pPr>
      <w:r w:rsidRPr="00610904">
        <w:rPr>
          <w:rFonts w:cs="Arial"/>
          <w:noProof w:val="0"/>
          <w:szCs w:val="20"/>
          <w:lang w:val="en-US"/>
        </w:rPr>
        <w:t xml:space="preserve">Iván Lluy </w:t>
      </w:r>
      <w:r w:rsidR="006D7F48" w:rsidRPr="00610904">
        <w:rPr>
          <w:rFonts w:cs="Arial"/>
          <w:noProof w:val="0"/>
          <w:szCs w:val="20"/>
          <w:lang w:val="en-US"/>
        </w:rPr>
        <w:t>was diagnosed with depression and received medication to treat this for 18 months. In this regard</w:t>
      </w:r>
      <w:r w:rsidRPr="00610904">
        <w:rPr>
          <w:rFonts w:cs="Arial"/>
          <w:noProof w:val="0"/>
          <w:szCs w:val="20"/>
          <w:lang w:val="en-US"/>
        </w:rPr>
        <w:t xml:space="preserve">, Iván Lluy </w:t>
      </w:r>
      <w:r w:rsidR="00AC05AD" w:rsidRPr="00610904">
        <w:rPr>
          <w:rFonts w:cs="Arial"/>
          <w:noProof w:val="0"/>
          <w:szCs w:val="20"/>
          <w:lang w:val="en-US"/>
        </w:rPr>
        <w:t>testified that he “could not liv</w:t>
      </w:r>
      <w:r w:rsidR="006D7F48" w:rsidRPr="00610904">
        <w:rPr>
          <w:rFonts w:cs="Arial"/>
          <w:noProof w:val="0"/>
          <w:szCs w:val="20"/>
          <w:lang w:val="en-US"/>
        </w:rPr>
        <w:t xml:space="preserve">e with all the problems that made [him] suffer” and, </w:t>
      </w:r>
      <w:r w:rsidR="00856968" w:rsidRPr="00610904">
        <w:rPr>
          <w:rFonts w:cs="Arial"/>
          <w:noProof w:val="0"/>
          <w:szCs w:val="20"/>
          <w:lang w:val="en-US"/>
        </w:rPr>
        <w:t>consequently</w:t>
      </w:r>
      <w:r w:rsidR="00AC05AD" w:rsidRPr="00610904">
        <w:rPr>
          <w:rFonts w:cs="Arial"/>
          <w:noProof w:val="0"/>
          <w:szCs w:val="20"/>
          <w:lang w:val="en-US"/>
        </w:rPr>
        <w:t>, he went</w:t>
      </w:r>
      <w:r w:rsidR="006D7F48" w:rsidRPr="00610904">
        <w:rPr>
          <w:rFonts w:cs="Arial"/>
          <w:noProof w:val="0"/>
          <w:szCs w:val="20"/>
          <w:lang w:val="en-US"/>
        </w:rPr>
        <w:t xml:space="preserve"> to see a psychiatrist he knew “one day that [he] was </w:t>
      </w:r>
      <w:r w:rsidR="00856968" w:rsidRPr="00610904">
        <w:rPr>
          <w:rFonts w:cs="Arial"/>
          <w:noProof w:val="0"/>
          <w:szCs w:val="20"/>
          <w:lang w:val="en-US"/>
        </w:rPr>
        <w:t>cleaning</w:t>
      </w:r>
      <w:r w:rsidR="006D7F48" w:rsidRPr="00610904">
        <w:rPr>
          <w:rFonts w:cs="Arial"/>
          <w:noProof w:val="0"/>
          <w:szCs w:val="20"/>
          <w:lang w:val="en-US"/>
        </w:rPr>
        <w:t xml:space="preserve"> an office.” This psychiatrist </w:t>
      </w:r>
      <w:r w:rsidR="00AC05AD" w:rsidRPr="00610904">
        <w:rPr>
          <w:rFonts w:cs="Arial"/>
          <w:noProof w:val="0"/>
          <w:szCs w:val="20"/>
          <w:lang w:val="en-US"/>
        </w:rPr>
        <w:t>treated</w:t>
      </w:r>
      <w:r w:rsidR="006D7F48" w:rsidRPr="00610904">
        <w:rPr>
          <w:rFonts w:cs="Arial"/>
          <w:noProof w:val="0"/>
          <w:szCs w:val="20"/>
          <w:lang w:val="en-US"/>
        </w:rPr>
        <w:t xml:space="preserve"> him “on several occasions</w:t>
      </w:r>
      <w:r w:rsidR="00AC05AD" w:rsidRPr="00610904">
        <w:rPr>
          <w:rFonts w:cs="Arial"/>
          <w:noProof w:val="0"/>
          <w:szCs w:val="20"/>
          <w:lang w:val="en-US"/>
        </w:rPr>
        <w:t>, […] more or less 30 times; […</w:t>
      </w:r>
      <w:r w:rsidR="006D7F48" w:rsidRPr="00610904">
        <w:rPr>
          <w:rFonts w:cs="Arial"/>
          <w:noProof w:val="0"/>
          <w:szCs w:val="20"/>
          <w:lang w:val="en-US"/>
        </w:rPr>
        <w:t xml:space="preserve">the psychiatrist] only charged [him] for the first five appointments and diagnosed [Ivan] with major depression and prescribed </w:t>
      </w:r>
      <w:r w:rsidR="00AC05AD" w:rsidRPr="00610904">
        <w:rPr>
          <w:rFonts w:cs="Arial"/>
          <w:noProof w:val="0"/>
          <w:szCs w:val="20"/>
          <w:lang w:val="en-US"/>
        </w:rPr>
        <w:t xml:space="preserve">two capsules every day of </w:t>
      </w:r>
      <w:r w:rsidR="006D7F48" w:rsidRPr="00610904">
        <w:rPr>
          <w:rFonts w:cs="Arial"/>
          <w:noProof w:val="0"/>
          <w:szCs w:val="20"/>
          <w:lang w:val="en-US"/>
        </w:rPr>
        <w:t xml:space="preserve">a medicine that was very expensive.” According to </w:t>
      </w:r>
      <w:r w:rsidR="005550B0" w:rsidRPr="00610904">
        <w:rPr>
          <w:rFonts w:cs="Arial"/>
          <w:noProof w:val="0"/>
          <w:szCs w:val="20"/>
          <w:lang w:val="en-US"/>
        </w:rPr>
        <w:t>Iván</w:t>
      </w:r>
      <w:r w:rsidRPr="00610904">
        <w:rPr>
          <w:rFonts w:cs="Arial"/>
          <w:noProof w:val="0"/>
          <w:szCs w:val="20"/>
          <w:lang w:val="en-US"/>
        </w:rPr>
        <w:t xml:space="preserve"> Lluy</w:t>
      </w:r>
      <w:r w:rsidR="00AC05AD" w:rsidRPr="00610904">
        <w:rPr>
          <w:rFonts w:cs="Arial"/>
          <w:noProof w:val="0"/>
          <w:szCs w:val="20"/>
          <w:lang w:val="en-US"/>
        </w:rPr>
        <w:t>’s testimony:</w:t>
      </w:r>
      <w:r w:rsidRPr="00610904">
        <w:rPr>
          <w:rFonts w:cs="Arial"/>
          <w:noProof w:val="0"/>
          <w:szCs w:val="20"/>
          <w:lang w:val="en-US"/>
        </w:rPr>
        <w:t xml:space="preserve"> “[</w:t>
      </w:r>
      <w:r w:rsidR="00AC05AD" w:rsidRPr="00610904">
        <w:rPr>
          <w:rFonts w:cs="Arial"/>
          <w:noProof w:val="0"/>
          <w:szCs w:val="20"/>
          <w:lang w:val="en-US"/>
        </w:rPr>
        <w:t>w</w:t>
      </w:r>
      <w:r w:rsidR="006D7F48" w:rsidRPr="00610904">
        <w:rPr>
          <w:rFonts w:cs="Arial"/>
          <w:noProof w:val="0"/>
          <w:szCs w:val="20"/>
          <w:lang w:val="en-US"/>
        </w:rPr>
        <w:t>]hen [he] did not have money to buy them and did not take them, [he] suffered from nauseas, dizziness, palpitations [and] desperation.</w:t>
      </w:r>
      <w:r w:rsidRPr="00610904">
        <w:rPr>
          <w:rFonts w:cs="Arial"/>
          <w:noProof w:val="0"/>
          <w:szCs w:val="20"/>
          <w:lang w:val="en-US"/>
        </w:rPr>
        <w:t>”</w:t>
      </w:r>
      <w:r w:rsidRPr="00610904">
        <w:rPr>
          <w:rStyle w:val="FootnoteReference"/>
          <w:noProof w:val="0"/>
          <w:lang w:val="en-US"/>
        </w:rPr>
        <w:footnoteReference w:id="257"/>
      </w:r>
      <w:r w:rsidR="006D7F48" w:rsidRPr="00610904">
        <w:rPr>
          <w:rFonts w:cs="Arial"/>
          <w:noProof w:val="0"/>
          <w:szCs w:val="20"/>
          <w:lang w:val="en-US"/>
        </w:rPr>
        <w:t xml:space="preserve"> He also indicated that, </w:t>
      </w:r>
      <w:r w:rsidR="00610904">
        <w:rPr>
          <w:rFonts w:cs="Arial"/>
          <w:noProof w:val="0"/>
          <w:szCs w:val="20"/>
          <w:lang w:val="en-US"/>
        </w:rPr>
        <w:t>shortly</w:t>
      </w:r>
      <w:r w:rsidR="006D7F48" w:rsidRPr="00610904">
        <w:rPr>
          <w:rFonts w:cs="Arial"/>
          <w:noProof w:val="0"/>
          <w:szCs w:val="20"/>
          <w:lang w:val="en-US"/>
        </w:rPr>
        <w:t xml:space="preserve"> after beginning to treat him, the psychiatrist died and he could not continue receiving </w:t>
      </w:r>
      <w:r w:rsidR="00AC05AD" w:rsidRPr="00610904">
        <w:rPr>
          <w:rFonts w:cs="Arial"/>
          <w:noProof w:val="0"/>
          <w:szCs w:val="20"/>
          <w:lang w:val="en-US"/>
        </w:rPr>
        <w:t>treatment</w:t>
      </w:r>
      <w:r w:rsidR="006D7F48" w:rsidRPr="00610904">
        <w:rPr>
          <w:rFonts w:cs="Arial"/>
          <w:noProof w:val="0"/>
          <w:szCs w:val="20"/>
          <w:lang w:val="en-US"/>
        </w:rPr>
        <w:t>. According to his testimony, “the doctor helped him a great deal, but [he is] still afraid of not have [what is needed] in order to provide [his] sister with nutritious food and appropriate treatment.</w:t>
      </w:r>
      <w:r w:rsidRPr="00610904">
        <w:rPr>
          <w:rFonts w:cs="Arial"/>
          <w:noProof w:val="0"/>
          <w:szCs w:val="20"/>
          <w:lang w:val="en-US"/>
        </w:rPr>
        <w:t>”</w:t>
      </w:r>
      <w:r w:rsidRPr="00610904">
        <w:rPr>
          <w:rStyle w:val="FootnoteReference"/>
          <w:noProof w:val="0"/>
          <w:lang w:val="en-US"/>
        </w:rPr>
        <w:footnoteReference w:id="258"/>
      </w:r>
    </w:p>
    <w:p w:rsidR="00D839BE" w:rsidRPr="00610904" w:rsidRDefault="00D839BE" w:rsidP="00610904">
      <w:pPr>
        <w:rPr>
          <w:rFonts w:cs="Times New Roman"/>
          <w:noProof w:val="0"/>
          <w:szCs w:val="20"/>
          <w:lang w:val="en-US"/>
        </w:rPr>
      </w:pPr>
    </w:p>
    <w:p w:rsidR="00D839BE" w:rsidRPr="00610904" w:rsidRDefault="00D839BE" w:rsidP="00610904">
      <w:pPr>
        <w:numPr>
          <w:ilvl w:val="0"/>
          <w:numId w:val="1"/>
        </w:numPr>
        <w:tabs>
          <w:tab w:val="left" w:pos="709"/>
          <w:tab w:val="left" w:pos="10065"/>
        </w:tabs>
        <w:ind w:right="25"/>
        <w:contextualSpacing/>
        <w:rPr>
          <w:rFonts w:cs="Times New Roman"/>
          <w:noProof w:val="0"/>
          <w:szCs w:val="20"/>
          <w:lang w:val="en-US"/>
        </w:rPr>
      </w:pPr>
      <w:r w:rsidRPr="00610904">
        <w:rPr>
          <w:rFonts w:cs="Arial"/>
          <w:noProof w:val="0"/>
          <w:szCs w:val="20"/>
          <w:lang w:val="en-US"/>
        </w:rPr>
        <w:t xml:space="preserve">Teresa Lluy </w:t>
      </w:r>
      <w:r w:rsidR="006D7F48" w:rsidRPr="00610904">
        <w:rPr>
          <w:rFonts w:cs="Arial"/>
          <w:noProof w:val="0"/>
          <w:szCs w:val="20"/>
          <w:lang w:val="en-US"/>
        </w:rPr>
        <w:t xml:space="preserve">stated that her “son has had to take on responsibilities </w:t>
      </w:r>
      <w:r w:rsidR="00AC05AD" w:rsidRPr="00610904">
        <w:rPr>
          <w:rFonts w:cs="Arial"/>
          <w:noProof w:val="0"/>
          <w:szCs w:val="20"/>
          <w:lang w:val="en-US"/>
        </w:rPr>
        <w:t xml:space="preserve">that </w:t>
      </w:r>
      <w:r w:rsidR="006D7F48" w:rsidRPr="00610904">
        <w:rPr>
          <w:rFonts w:cs="Arial"/>
          <w:noProof w:val="0"/>
          <w:szCs w:val="20"/>
          <w:lang w:val="en-US"/>
        </w:rPr>
        <w:t xml:space="preserve">did not correspond to him. […] He also lost </w:t>
      </w:r>
      <w:r w:rsidR="00AC05AD" w:rsidRPr="00610904">
        <w:rPr>
          <w:rFonts w:cs="Arial"/>
          <w:noProof w:val="0"/>
          <w:szCs w:val="20"/>
          <w:lang w:val="en-US"/>
        </w:rPr>
        <w:t xml:space="preserve">out on </w:t>
      </w:r>
      <w:r w:rsidR="006D7F48" w:rsidRPr="00610904">
        <w:rPr>
          <w:rFonts w:cs="Arial"/>
          <w:noProof w:val="0"/>
          <w:szCs w:val="20"/>
          <w:lang w:val="en-US"/>
        </w:rPr>
        <w:t xml:space="preserve">many things in </w:t>
      </w:r>
      <w:r w:rsidR="00AC05AD" w:rsidRPr="00610904">
        <w:rPr>
          <w:rFonts w:cs="Arial"/>
          <w:noProof w:val="0"/>
          <w:szCs w:val="20"/>
          <w:lang w:val="en-US"/>
        </w:rPr>
        <w:t>adolescence</w:t>
      </w:r>
      <w:r w:rsidR="006D7F48" w:rsidRPr="00610904">
        <w:rPr>
          <w:rFonts w:cs="Arial"/>
          <w:noProof w:val="0"/>
          <w:szCs w:val="20"/>
          <w:lang w:val="en-US"/>
        </w:rPr>
        <w:t>; he suffered a great deal of discriminati</w:t>
      </w:r>
      <w:r w:rsidR="00AC05AD" w:rsidRPr="00610904">
        <w:rPr>
          <w:rFonts w:cs="Arial"/>
          <w:noProof w:val="0"/>
          <w:szCs w:val="20"/>
          <w:lang w:val="en-US"/>
        </w:rPr>
        <w:t>on and social isolation, which wa</w:t>
      </w:r>
      <w:r w:rsidR="006D7F48" w:rsidRPr="00610904">
        <w:rPr>
          <w:rFonts w:cs="Arial"/>
          <w:noProof w:val="0"/>
          <w:szCs w:val="20"/>
          <w:lang w:val="en-US"/>
        </w:rPr>
        <w:t xml:space="preserve">s devastating, </w:t>
      </w:r>
      <w:r w:rsidR="00856968" w:rsidRPr="00610904">
        <w:rPr>
          <w:rFonts w:cs="Arial"/>
          <w:noProof w:val="0"/>
          <w:szCs w:val="20"/>
          <w:lang w:val="en-US"/>
        </w:rPr>
        <w:t>especially</w:t>
      </w:r>
      <w:r w:rsidR="006D7F48" w:rsidRPr="00610904">
        <w:rPr>
          <w:rFonts w:cs="Arial"/>
          <w:noProof w:val="0"/>
          <w:szCs w:val="20"/>
          <w:lang w:val="en-US"/>
        </w:rPr>
        <w:t xml:space="preserve"> at that very complex stage of his personal development.</w:t>
      </w:r>
      <w:r w:rsidRPr="00610904">
        <w:rPr>
          <w:rFonts w:cs="Arial"/>
          <w:noProof w:val="0"/>
          <w:szCs w:val="20"/>
          <w:lang w:val="en-US"/>
        </w:rPr>
        <w:t>”</w:t>
      </w:r>
      <w:r w:rsidRPr="00610904">
        <w:rPr>
          <w:rStyle w:val="FootnoteReference"/>
          <w:noProof w:val="0"/>
          <w:lang w:val="en-US"/>
        </w:rPr>
        <w:footnoteReference w:id="259"/>
      </w:r>
      <w:r w:rsidR="006D7F48" w:rsidRPr="00610904">
        <w:rPr>
          <w:rFonts w:cs="Arial"/>
          <w:noProof w:val="0"/>
          <w:szCs w:val="20"/>
          <w:lang w:val="en-US"/>
        </w:rPr>
        <w:t xml:space="preserve"> She added that, when she had to take </w:t>
      </w:r>
      <w:r w:rsidRPr="00610904">
        <w:rPr>
          <w:noProof w:val="0"/>
          <w:szCs w:val="20"/>
          <w:lang w:val="en-US"/>
        </w:rPr>
        <w:t>Talía</w:t>
      </w:r>
      <w:r w:rsidR="006D7F48" w:rsidRPr="00610904">
        <w:rPr>
          <w:rFonts w:cs="Arial"/>
          <w:noProof w:val="0"/>
          <w:szCs w:val="20"/>
          <w:lang w:val="en-US"/>
        </w:rPr>
        <w:t xml:space="preserve"> </w:t>
      </w:r>
      <w:r w:rsidR="006D7F48" w:rsidRPr="00610904">
        <w:rPr>
          <w:rFonts w:cs="Arial"/>
          <w:noProof w:val="0"/>
          <w:szCs w:val="20"/>
          <w:lang w:val="en-US"/>
        </w:rPr>
        <w:lastRenderedPageBreak/>
        <w:t>to</w:t>
      </w:r>
      <w:r w:rsidRPr="00610904">
        <w:rPr>
          <w:rFonts w:cs="Arial"/>
          <w:noProof w:val="0"/>
          <w:szCs w:val="20"/>
          <w:lang w:val="en-US"/>
        </w:rPr>
        <w:t xml:space="preserve"> Quito</w:t>
      </w:r>
      <w:r w:rsidR="009F3D78" w:rsidRPr="00610904">
        <w:rPr>
          <w:rFonts w:cs="Arial"/>
          <w:noProof w:val="0"/>
          <w:szCs w:val="20"/>
          <w:lang w:val="en-US"/>
        </w:rPr>
        <w:t xml:space="preserve"> and </w:t>
      </w:r>
      <w:r w:rsidR="006D7F48" w:rsidRPr="00610904">
        <w:rPr>
          <w:rFonts w:cs="Arial"/>
          <w:noProof w:val="0"/>
          <w:szCs w:val="20"/>
          <w:lang w:val="en-US"/>
        </w:rPr>
        <w:t xml:space="preserve">stay there </w:t>
      </w:r>
      <w:r w:rsidR="00AC05AD" w:rsidRPr="00610904">
        <w:rPr>
          <w:rFonts w:cs="Arial"/>
          <w:noProof w:val="0"/>
          <w:szCs w:val="20"/>
          <w:lang w:val="en-US"/>
        </w:rPr>
        <w:t>for some time while Talía</w:t>
      </w:r>
      <w:r w:rsidR="006D7F48" w:rsidRPr="00610904">
        <w:rPr>
          <w:rFonts w:cs="Arial"/>
          <w:noProof w:val="0"/>
          <w:szCs w:val="20"/>
          <w:lang w:val="en-US"/>
        </w:rPr>
        <w:t xml:space="preserve"> was being treated, her “son was all alone in Cuenca; he sometimes slep</w:t>
      </w:r>
      <w:r w:rsidR="00AC05AD" w:rsidRPr="00610904">
        <w:rPr>
          <w:rFonts w:cs="Arial"/>
          <w:noProof w:val="0"/>
          <w:szCs w:val="20"/>
          <w:lang w:val="en-US"/>
        </w:rPr>
        <w:t>t</w:t>
      </w:r>
      <w:r w:rsidR="006D7F48" w:rsidRPr="00610904">
        <w:rPr>
          <w:rFonts w:cs="Arial"/>
          <w:noProof w:val="0"/>
          <w:szCs w:val="20"/>
          <w:lang w:val="en-US"/>
        </w:rPr>
        <w:t xml:space="preserve"> in the p</w:t>
      </w:r>
      <w:r w:rsidR="00AC05AD" w:rsidRPr="00610904">
        <w:rPr>
          <w:rFonts w:cs="Arial"/>
          <w:noProof w:val="0"/>
          <w:szCs w:val="20"/>
          <w:lang w:val="en-US"/>
        </w:rPr>
        <w:t>arks or wherever he found a space</w:t>
      </w:r>
      <w:r w:rsidR="006D7F48" w:rsidRPr="00610904">
        <w:rPr>
          <w:rFonts w:cs="Arial"/>
          <w:noProof w:val="0"/>
          <w:szCs w:val="20"/>
          <w:lang w:val="en-US"/>
        </w:rPr>
        <w:t>, because [they] did not have money to rent a place.</w:t>
      </w:r>
      <w:r w:rsidRPr="00610904">
        <w:rPr>
          <w:rFonts w:cs="Arial"/>
          <w:noProof w:val="0"/>
          <w:szCs w:val="20"/>
          <w:lang w:val="en-US"/>
        </w:rPr>
        <w:t>”</w:t>
      </w:r>
      <w:r w:rsidRPr="00610904">
        <w:rPr>
          <w:rStyle w:val="FootnoteReference"/>
          <w:noProof w:val="0"/>
          <w:lang w:val="en-US"/>
        </w:rPr>
        <w:footnoteReference w:id="260"/>
      </w:r>
      <w:r w:rsidR="006D7F48" w:rsidRPr="00610904">
        <w:rPr>
          <w:rFonts w:cs="Arial"/>
          <w:noProof w:val="0"/>
          <w:szCs w:val="20"/>
          <w:lang w:val="en-US"/>
        </w:rPr>
        <w:t xml:space="preserve"> Owing to the need to work, </w:t>
      </w:r>
      <w:r w:rsidRPr="00610904">
        <w:rPr>
          <w:rFonts w:cs="Arial"/>
          <w:noProof w:val="0"/>
          <w:szCs w:val="20"/>
          <w:lang w:val="en-US"/>
        </w:rPr>
        <w:t>Iván Lluy “</w:t>
      </w:r>
      <w:r w:rsidR="00AC05AD" w:rsidRPr="00610904">
        <w:rPr>
          <w:rFonts w:cs="Arial"/>
          <w:noProof w:val="0"/>
          <w:szCs w:val="20"/>
          <w:lang w:val="en-US"/>
        </w:rPr>
        <w:t>no longer went</w:t>
      </w:r>
      <w:r w:rsidR="006D7F48" w:rsidRPr="00610904">
        <w:rPr>
          <w:rFonts w:cs="Arial"/>
          <w:noProof w:val="0"/>
          <w:szCs w:val="20"/>
          <w:lang w:val="en-US"/>
        </w:rPr>
        <w:t xml:space="preserve"> to school; he had no friends, and [they] often spend days without talking to each other.” Lastly</w:t>
      </w:r>
      <w:r w:rsidRPr="00610904">
        <w:rPr>
          <w:rFonts w:cs="Arial"/>
          <w:noProof w:val="0"/>
          <w:szCs w:val="20"/>
          <w:lang w:val="en-US"/>
        </w:rPr>
        <w:t xml:space="preserve">, Teresa Lluy </w:t>
      </w:r>
      <w:r w:rsidR="006D7F48" w:rsidRPr="00610904">
        <w:rPr>
          <w:rFonts w:cs="Arial"/>
          <w:noProof w:val="0"/>
          <w:szCs w:val="20"/>
          <w:lang w:val="en-US"/>
        </w:rPr>
        <w:t>testified that “the pain that a mother feels on seeing and feeling that her two children are suffering so unfairly, [was] enough to make anyone lose their sanity.</w:t>
      </w:r>
      <w:r w:rsidRPr="00610904">
        <w:rPr>
          <w:rFonts w:cs="Arial"/>
          <w:noProof w:val="0"/>
          <w:szCs w:val="20"/>
          <w:lang w:val="en-US"/>
        </w:rPr>
        <w:t>”</w:t>
      </w:r>
      <w:r w:rsidRPr="00610904">
        <w:rPr>
          <w:rStyle w:val="FootnoteReference"/>
          <w:noProof w:val="0"/>
          <w:lang w:val="en-US"/>
        </w:rPr>
        <w:footnoteReference w:id="261"/>
      </w:r>
    </w:p>
    <w:p w:rsidR="00D839BE" w:rsidRPr="00610904" w:rsidRDefault="00D839BE" w:rsidP="00610904">
      <w:pPr>
        <w:tabs>
          <w:tab w:val="left" w:pos="709"/>
          <w:tab w:val="left" w:pos="10065"/>
        </w:tabs>
        <w:ind w:right="25"/>
        <w:contextualSpacing/>
        <w:rPr>
          <w:noProof w:val="0"/>
          <w:szCs w:val="20"/>
          <w:lang w:val="en-US"/>
        </w:rPr>
      </w:pPr>
    </w:p>
    <w:p w:rsidR="00D839BE" w:rsidRPr="00610904" w:rsidRDefault="009F3D78"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The Court</w:t>
      </w:r>
      <w:r w:rsidR="006D7F48" w:rsidRPr="00610904">
        <w:rPr>
          <w:noProof w:val="0"/>
          <w:szCs w:val="20"/>
          <w:lang w:val="en-US"/>
        </w:rPr>
        <w:t xml:space="preserve"> notes that the psychological appraisal made by </w:t>
      </w:r>
      <w:r w:rsidR="00D839BE" w:rsidRPr="00610904">
        <w:rPr>
          <w:rFonts w:cs="Arial"/>
          <w:iCs/>
          <w:noProof w:val="0"/>
          <w:color w:val="000000"/>
          <w:szCs w:val="20"/>
          <w:lang w:val="en-US"/>
        </w:rPr>
        <w:t xml:space="preserve">Sonia Nivelo </w:t>
      </w:r>
      <w:r w:rsidR="006D7F48" w:rsidRPr="00610904">
        <w:rPr>
          <w:rFonts w:cs="Arial"/>
          <w:iCs/>
          <w:noProof w:val="0"/>
          <w:color w:val="000000"/>
          <w:szCs w:val="20"/>
          <w:lang w:val="en-US"/>
        </w:rPr>
        <w:t xml:space="preserve">indicates how much “the mental health” of </w:t>
      </w:r>
      <w:r w:rsidR="005550B0" w:rsidRPr="00610904">
        <w:rPr>
          <w:rFonts w:cs="Arial"/>
          <w:iCs/>
          <w:noProof w:val="0"/>
          <w:color w:val="000000"/>
          <w:szCs w:val="20"/>
          <w:lang w:val="en-US"/>
        </w:rPr>
        <w:t>Iván</w:t>
      </w:r>
      <w:r w:rsidR="00D839BE" w:rsidRPr="00610904">
        <w:rPr>
          <w:rFonts w:cs="Arial"/>
          <w:iCs/>
          <w:noProof w:val="0"/>
          <w:color w:val="000000"/>
          <w:szCs w:val="20"/>
          <w:lang w:val="en-US"/>
        </w:rPr>
        <w:t xml:space="preserve"> Lluy </w:t>
      </w:r>
      <w:r w:rsidR="006D7F48" w:rsidRPr="00610904">
        <w:rPr>
          <w:rFonts w:cs="Arial"/>
          <w:iCs/>
          <w:noProof w:val="0"/>
          <w:color w:val="000000"/>
          <w:szCs w:val="20"/>
          <w:lang w:val="en-US"/>
        </w:rPr>
        <w:t>has been affected “by thoughts and feelings such as: anger, frustration, despair, guilt […], which could be related to</w:t>
      </w:r>
      <w:r w:rsidR="00AC05AD" w:rsidRPr="00610904">
        <w:rPr>
          <w:rFonts w:cs="Arial"/>
          <w:iCs/>
          <w:noProof w:val="0"/>
          <w:color w:val="000000"/>
          <w:szCs w:val="20"/>
          <w:lang w:val="en-US"/>
        </w:rPr>
        <w:t xml:space="preserve"> the st</w:t>
      </w:r>
      <w:r w:rsidR="006D7F48" w:rsidRPr="00610904">
        <w:rPr>
          <w:rFonts w:cs="Arial"/>
          <w:iCs/>
          <w:noProof w:val="0"/>
          <w:color w:val="000000"/>
          <w:szCs w:val="20"/>
          <w:lang w:val="en-US"/>
        </w:rPr>
        <w:t>igma and discrimination that Iván [experienced …] in his social environment. […] And he has moderate depression, anxiety, and feelings of guilt.</w:t>
      </w:r>
      <w:r w:rsidR="00D839BE" w:rsidRPr="00610904">
        <w:rPr>
          <w:rFonts w:cs="Arial"/>
          <w:iCs/>
          <w:noProof w:val="0"/>
          <w:color w:val="000000"/>
          <w:szCs w:val="20"/>
          <w:lang w:val="en-US"/>
        </w:rPr>
        <w:t>”</w:t>
      </w:r>
      <w:r w:rsidR="00D839BE" w:rsidRPr="00610904">
        <w:rPr>
          <w:rStyle w:val="FootnoteReference"/>
          <w:noProof w:val="0"/>
          <w:color w:val="000000"/>
          <w:lang w:val="en-US"/>
        </w:rPr>
        <w:footnoteReference w:id="262"/>
      </w:r>
    </w:p>
    <w:p w:rsidR="00D839BE" w:rsidRPr="00610904" w:rsidRDefault="00D839BE" w:rsidP="00610904">
      <w:pPr>
        <w:tabs>
          <w:tab w:val="left" w:pos="709"/>
          <w:tab w:val="left" w:pos="10065"/>
        </w:tabs>
        <w:ind w:right="25"/>
        <w:contextualSpacing/>
        <w:rPr>
          <w:noProof w:val="0"/>
          <w:szCs w:val="20"/>
          <w:lang w:val="en-US"/>
        </w:rPr>
      </w:pPr>
    </w:p>
    <w:p w:rsidR="006D7F48" w:rsidRPr="00610904" w:rsidRDefault="009F3D78" w:rsidP="00610904">
      <w:pPr>
        <w:numPr>
          <w:ilvl w:val="0"/>
          <w:numId w:val="1"/>
        </w:numPr>
        <w:tabs>
          <w:tab w:val="left" w:pos="709"/>
          <w:tab w:val="left" w:pos="10065"/>
        </w:tabs>
        <w:ind w:right="25"/>
        <w:contextualSpacing/>
        <w:rPr>
          <w:noProof w:val="0"/>
          <w:szCs w:val="20"/>
          <w:lang w:val="en-US"/>
        </w:rPr>
      </w:pPr>
      <w:r w:rsidRPr="00610904">
        <w:rPr>
          <w:rFonts w:cs="TimesNewRomanPSMT"/>
          <w:noProof w:val="0"/>
          <w:color w:val="000000"/>
          <w:szCs w:val="20"/>
          <w:lang w:val="en-US"/>
        </w:rPr>
        <w:t>The Court</w:t>
      </w:r>
      <w:r w:rsidR="00D839BE" w:rsidRPr="00610904">
        <w:rPr>
          <w:rFonts w:cs="TimesNewRomanPSMT"/>
          <w:noProof w:val="0"/>
          <w:color w:val="000000"/>
          <w:szCs w:val="20"/>
          <w:lang w:val="en-US"/>
        </w:rPr>
        <w:t xml:space="preserve"> consider</w:t>
      </w:r>
      <w:r w:rsidR="006D7F48" w:rsidRPr="00610904">
        <w:rPr>
          <w:noProof w:val="0"/>
          <w:szCs w:val="20"/>
          <w:lang w:val="en-US"/>
        </w:rPr>
        <w:t xml:space="preserve">s that it can be concluded that the harm and suffering caused by the fact that Iván could not continue his studies and had to work during his adolescence, </w:t>
      </w:r>
      <w:r w:rsidR="006D7F48" w:rsidRPr="00610904">
        <w:rPr>
          <w:rFonts w:cs="TimesNewRomanPSMT"/>
          <w:noProof w:val="0"/>
          <w:color w:val="000000"/>
          <w:szCs w:val="20"/>
          <w:lang w:val="en-US"/>
        </w:rPr>
        <w:t>Teresa Llu</w:t>
      </w:r>
      <w:r w:rsidR="00AC05AD" w:rsidRPr="00610904">
        <w:rPr>
          <w:rFonts w:cs="TimesNewRomanPSMT"/>
          <w:noProof w:val="0"/>
          <w:color w:val="000000"/>
          <w:szCs w:val="20"/>
          <w:lang w:val="en-US"/>
        </w:rPr>
        <w:t>y</w:t>
      </w:r>
      <w:r w:rsidR="006D7F48" w:rsidRPr="00610904">
        <w:rPr>
          <w:rFonts w:cs="TimesNewRomanPSMT"/>
          <w:noProof w:val="0"/>
          <w:color w:val="000000"/>
          <w:szCs w:val="20"/>
          <w:lang w:val="en-US"/>
        </w:rPr>
        <w:t>’s</w:t>
      </w:r>
      <w:r w:rsidR="006D7F48" w:rsidRPr="00610904">
        <w:rPr>
          <w:noProof w:val="0"/>
          <w:szCs w:val="20"/>
          <w:lang w:val="en-US"/>
        </w:rPr>
        <w:t xml:space="preserve"> loss of employment and the financial ability to support her family, and the constant discrimination to which they were subjected, </w:t>
      </w:r>
      <w:r w:rsidR="00AC05AD" w:rsidRPr="00610904">
        <w:rPr>
          <w:noProof w:val="0"/>
          <w:szCs w:val="20"/>
          <w:lang w:val="en-US"/>
        </w:rPr>
        <w:t>resulted from</w:t>
      </w:r>
      <w:r w:rsidR="006D7F48" w:rsidRPr="00610904">
        <w:rPr>
          <w:noProof w:val="0"/>
          <w:szCs w:val="20"/>
          <w:lang w:val="en-US"/>
        </w:rPr>
        <w:t xml:space="preserve"> the negligence in the procedures that led to the infection of Talía with HIV. Added to this, the Court notes that the</w:t>
      </w:r>
      <w:r w:rsidR="00AC05AD" w:rsidRPr="00610904">
        <w:rPr>
          <w:noProof w:val="0"/>
          <w:szCs w:val="20"/>
          <w:lang w:val="en-US"/>
        </w:rPr>
        <w:t xml:space="preserve"> Lluy family did not receive</w:t>
      </w:r>
      <w:r w:rsidR="006D7F48" w:rsidRPr="00610904">
        <w:rPr>
          <w:noProof w:val="0"/>
          <w:szCs w:val="20"/>
          <w:lang w:val="en-US"/>
        </w:rPr>
        <w:t xml:space="preserve"> appropriate counseling and support in order to improve the family situation and overcome the precarious situation in which they found themselves. Furthermore, they did not receive support to overcome the discrimination they were subjected to in different areas of their life.</w:t>
      </w:r>
    </w:p>
    <w:p w:rsidR="00D839BE" w:rsidRPr="00610904" w:rsidRDefault="00D839BE" w:rsidP="00610904">
      <w:pPr>
        <w:rPr>
          <w:noProof w:val="0"/>
          <w:szCs w:val="20"/>
          <w:lang w:val="en-US"/>
        </w:rPr>
      </w:pPr>
    </w:p>
    <w:p w:rsidR="00D839BE" w:rsidRPr="00610904" w:rsidRDefault="009F3D78"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The Court</w:t>
      </w:r>
      <w:r w:rsidR="006D7F48" w:rsidRPr="00610904">
        <w:rPr>
          <w:noProof w:val="0"/>
          <w:szCs w:val="20"/>
          <w:lang w:val="en-US"/>
        </w:rPr>
        <w:t xml:space="preserve"> observes t</w:t>
      </w:r>
      <w:r w:rsidR="00AC05AD" w:rsidRPr="00610904">
        <w:rPr>
          <w:noProof w:val="0"/>
          <w:szCs w:val="20"/>
          <w:lang w:val="en-US"/>
        </w:rPr>
        <w:t>hat, although some of aspects regarding</w:t>
      </w:r>
      <w:r w:rsidR="006D7F48" w:rsidRPr="00610904">
        <w:rPr>
          <w:noProof w:val="0"/>
          <w:szCs w:val="20"/>
          <w:lang w:val="en-US"/>
        </w:rPr>
        <w:t xml:space="preserve"> which Talía and her family suffered discrimination were not due to a direct actio</w:t>
      </w:r>
      <w:r w:rsidR="00AC05AD" w:rsidRPr="00610904">
        <w:rPr>
          <w:noProof w:val="0"/>
          <w:szCs w:val="20"/>
          <w:lang w:val="en-US"/>
        </w:rPr>
        <w:t>n of the State authorities, the discrimination was the</w:t>
      </w:r>
      <w:r w:rsidR="006D7F48" w:rsidRPr="00610904">
        <w:rPr>
          <w:noProof w:val="0"/>
          <w:szCs w:val="20"/>
          <w:lang w:val="en-US"/>
        </w:rPr>
        <w:t xml:space="preserve"> result of the stigma derived from Talía’s condition as a carrier of HIV, and of the fai</w:t>
      </w:r>
      <w:r w:rsidR="00AC05AD" w:rsidRPr="00610904">
        <w:rPr>
          <w:noProof w:val="0"/>
          <w:szCs w:val="20"/>
          <w:lang w:val="en-US"/>
        </w:rPr>
        <w:t xml:space="preserve">lure of the State to implement </w:t>
      </w:r>
      <w:r w:rsidR="006D7F48" w:rsidRPr="00610904">
        <w:rPr>
          <w:noProof w:val="0"/>
          <w:szCs w:val="20"/>
          <w:lang w:val="en-US"/>
        </w:rPr>
        <w:t xml:space="preserve">measures to protect </w:t>
      </w:r>
      <w:r w:rsidR="00D839BE" w:rsidRPr="00610904">
        <w:rPr>
          <w:noProof w:val="0"/>
          <w:szCs w:val="20"/>
          <w:lang w:val="en-US"/>
        </w:rPr>
        <w:t>Talía</w:t>
      </w:r>
      <w:r w:rsidRPr="00610904">
        <w:rPr>
          <w:noProof w:val="0"/>
          <w:szCs w:val="20"/>
          <w:lang w:val="en-US"/>
        </w:rPr>
        <w:t xml:space="preserve"> and </w:t>
      </w:r>
      <w:r w:rsidR="006D7F48" w:rsidRPr="00610904">
        <w:rPr>
          <w:noProof w:val="0"/>
          <w:szCs w:val="20"/>
          <w:lang w:val="en-US"/>
        </w:rPr>
        <w:t>her family, who were in a situation of vulnerability.</w:t>
      </w:r>
    </w:p>
    <w:p w:rsidR="00D839BE" w:rsidRPr="00610904" w:rsidRDefault="00D839BE" w:rsidP="00610904">
      <w:pPr>
        <w:rPr>
          <w:noProof w:val="0"/>
          <w:lang w:val="en-US"/>
        </w:rPr>
      </w:pPr>
    </w:p>
    <w:p w:rsidR="00D839BE" w:rsidRPr="00610904" w:rsidRDefault="006D7F48"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 xml:space="preserve">The discrimination suffered by </w:t>
      </w:r>
      <w:r w:rsidR="00D839BE" w:rsidRPr="00610904">
        <w:rPr>
          <w:noProof w:val="0"/>
          <w:szCs w:val="20"/>
          <w:lang w:val="en-US"/>
        </w:rPr>
        <w:t xml:space="preserve">Talía </w:t>
      </w:r>
      <w:r w:rsidRPr="00610904">
        <w:rPr>
          <w:noProof w:val="0"/>
          <w:szCs w:val="20"/>
          <w:lang w:val="en-US"/>
        </w:rPr>
        <w:t>was the result of the stigma caused by her condition as a person living wit</w:t>
      </w:r>
      <w:r w:rsidR="00AC05AD" w:rsidRPr="00610904">
        <w:rPr>
          <w:noProof w:val="0"/>
          <w:szCs w:val="20"/>
          <w:lang w:val="en-US"/>
        </w:rPr>
        <w:t>h HIV and it had consequences for</w:t>
      </w:r>
      <w:r w:rsidRPr="00610904">
        <w:rPr>
          <w:noProof w:val="0"/>
          <w:szCs w:val="20"/>
          <w:lang w:val="en-US"/>
        </w:rPr>
        <w:t xml:space="preserve"> </w:t>
      </w:r>
      <w:r w:rsidR="00AC05AD" w:rsidRPr="00610904">
        <w:rPr>
          <w:noProof w:val="0"/>
          <w:szCs w:val="20"/>
          <w:lang w:val="en-US"/>
        </w:rPr>
        <w:t>Talía herself</w:t>
      </w:r>
      <w:r w:rsidRPr="00610904">
        <w:rPr>
          <w:noProof w:val="0"/>
          <w:szCs w:val="20"/>
          <w:lang w:val="en-US"/>
        </w:rPr>
        <w:t>, her mother and her brother. The Court notes that, in this case, t</w:t>
      </w:r>
      <w:r w:rsidR="00AC05AD" w:rsidRPr="00610904">
        <w:rPr>
          <w:noProof w:val="0"/>
          <w:szCs w:val="20"/>
          <w:lang w:val="en-US"/>
        </w:rPr>
        <w:t>here were numerous differentiations</w:t>
      </w:r>
      <w:r w:rsidRPr="00610904">
        <w:rPr>
          <w:noProof w:val="0"/>
          <w:szCs w:val="20"/>
          <w:lang w:val="en-US"/>
        </w:rPr>
        <w:t xml:space="preserve"> in the treatment of </w:t>
      </w:r>
      <w:r w:rsidR="00D839BE" w:rsidRPr="00610904">
        <w:rPr>
          <w:noProof w:val="0"/>
          <w:szCs w:val="20"/>
          <w:lang w:val="en-US"/>
        </w:rPr>
        <w:t>Talía</w:t>
      </w:r>
      <w:r w:rsidR="009F3D78" w:rsidRPr="00610904">
        <w:rPr>
          <w:rFonts w:cs="Arial"/>
          <w:noProof w:val="0"/>
          <w:color w:val="000000"/>
          <w:szCs w:val="20"/>
          <w:lang w:val="en-US"/>
        </w:rPr>
        <w:t xml:space="preserve"> and </w:t>
      </w:r>
      <w:r w:rsidRPr="00610904">
        <w:rPr>
          <w:rFonts w:cs="Arial"/>
          <w:noProof w:val="0"/>
          <w:color w:val="000000"/>
          <w:szCs w:val="20"/>
          <w:lang w:val="en-US"/>
        </w:rPr>
        <w:t xml:space="preserve">her family arising from Talía’s situation as a person with HIV; these differences in treatment constituted a discrimination that placed them in a vulnerable situation that was </w:t>
      </w:r>
      <w:r w:rsidR="00856968" w:rsidRPr="00610904">
        <w:rPr>
          <w:rFonts w:cs="Arial"/>
          <w:noProof w:val="0"/>
          <w:color w:val="000000"/>
          <w:szCs w:val="20"/>
          <w:lang w:val="en-US"/>
        </w:rPr>
        <w:t>exacerbated</w:t>
      </w:r>
      <w:r w:rsidRPr="00610904">
        <w:rPr>
          <w:rFonts w:cs="Arial"/>
          <w:noProof w:val="0"/>
          <w:color w:val="000000"/>
          <w:szCs w:val="20"/>
          <w:lang w:val="en-US"/>
        </w:rPr>
        <w:t xml:space="preserve"> by the passage of time. The discrimination suffered by the family was reflected in different areas, such as housing, work and education. </w:t>
      </w:r>
    </w:p>
    <w:p w:rsidR="00D839BE" w:rsidRPr="00610904" w:rsidRDefault="00D839BE" w:rsidP="00610904">
      <w:pPr>
        <w:ind w:right="25"/>
        <w:rPr>
          <w:noProof w:val="0"/>
          <w:szCs w:val="20"/>
          <w:lang w:val="en-US"/>
        </w:rPr>
      </w:pPr>
    </w:p>
    <w:p w:rsidR="00D839BE" w:rsidRPr="00610904" w:rsidRDefault="006D7F48" w:rsidP="00610904">
      <w:pPr>
        <w:numPr>
          <w:ilvl w:val="0"/>
          <w:numId w:val="1"/>
        </w:numPr>
        <w:tabs>
          <w:tab w:val="left" w:pos="709"/>
          <w:tab w:val="left" w:pos="10065"/>
        </w:tabs>
        <w:ind w:right="25"/>
        <w:contextualSpacing/>
        <w:rPr>
          <w:noProof w:val="0"/>
          <w:szCs w:val="20"/>
          <w:lang w:val="en-US"/>
        </w:rPr>
      </w:pPr>
      <w:r w:rsidRPr="00610904">
        <w:rPr>
          <w:noProof w:val="0"/>
          <w:szCs w:val="20"/>
          <w:lang w:val="en-US"/>
        </w:rPr>
        <w:t>In this ca</w:t>
      </w:r>
      <w:r w:rsidR="00EF508D" w:rsidRPr="00610904">
        <w:rPr>
          <w:noProof w:val="0"/>
          <w:szCs w:val="20"/>
          <w:lang w:val="en-US"/>
        </w:rPr>
        <w:t>s</w:t>
      </w:r>
      <w:r w:rsidRPr="00610904">
        <w:rPr>
          <w:noProof w:val="0"/>
          <w:szCs w:val="20"/>
          <w:lang w:val="en-US"/>
        </w:rPr>
        <w:t xml:space="preserve">e, despite the situation of special vulnerability of </w:t>
      </w:r>
      <w:r w:rsidR="00D839BE" w:rsidRPr="00610904">
        <w:rPr>
          <w:noProof w:val="0"/>
          <w:szCs w:val="20"/>
          <w:lang w:val="en-US"/>
        </w:rPr>
        <w:t xml:space="preserve">Talía, Teresa </w:t>
      </w:r>
      <w:r w:rsidR="005550B0" w:rsidRPr="00610904">
        <w:rPr>
          <w:noProof w:val="0"/>
          <w:szCs w:val="20"/>
          <w:lang w:val="en-US"/>
        </w:rPr>
        <w:t>and Iván</w:t>
      </w:r>
      <w:r w:rsidR="00D839BE" w:rsidRPr="00610904">
        <w:rPr>
          <w:noProof w:val="0"/>
          <w:szCs w:val="20"/>
          <w:lang w:val="en-US"/>
        </w:rPr>
        <w:t xml:space="preserve"> Lluy, </w:t>
      </w:r>
      <w:r w:rsidR="009F3D78" w:rsidRPr="00610904">
        <w:rPr>
          <w:noProof w:val="0"/>
          <w:szCs w:val="20"/>
          <w:lang w:val="en-US"/>
        </w:rPr>
        <w:t>the State</w:t>
      </w:r>
      <w:r w:rsidR="00D839BE" w:rsidRPr="00610904">
        <w:rPr>
          <w:noProof w:val="0"/>
          <w:szCs w:val="20"/>
          <w:lang w:val="en-US"/>
        </w:rPr>
        <w:t xml:space="preserve"> </w:t>
      </w:r>
      <w:r w:rsidRPr="00610904">
        <w:rPr>
          <w:noProof w:val="0"/>
          <w:szCs w:val="20"/>
          <w:lang w:val="en-US"/>
        </w:rPr>
        <w:t>did not take the necessary measures to ensure them access to their rights without discrimination, so that the</w:t>
      </w:r>
      <w:r w:rsidR="00AC05AD" w:rsidRPr="00610904">
        <w:rPr>
          <w:noProof w:val="0"/>
          <w:szCs w:val="20"/>
          <w:lang w:val="en-US"/>
        </w:rPr>
        <w:t xml:space="preserve"> State’s acts and omissions</w:t>
      </w:r>
      <w:r w:rsidRPr="00610904">
        <w:rPr>
          <w:noProof w:val="0"/>
          <w:szCs w:val="20"/>
          <w:lang w:val="en-US"/>
        </w:rPr>
        <w:t xml:space="preserve"> constituted treatment that discriminated against </w:t>
      </w:r>
      <w:r w:rsidR="00D839BE" w:rsidRPr="00610904">
        <w:rPr>
          <w:noProof w:val="0"/>
          <w:szCs w:val="20"/>
          <w:lang w:val="en-US"/>
        </w:rPr>
        <w:t xml:space="preserve">Talía, </w:t>
      </w:r>
      <w:r w:rsidRPr="00610904">
        <w:rPr>
          <w:noProof w:val="0"/>
          <w:szCs w:val="20"/>
          <w:lang w:val="en-US"/>
        </w:rPr>
        <w:t>her mother and her brother.</w:t>
      </w:r>
      <w:r w:rsidR="00D839BE" w:rsidRPr="00610904">
        <w:rPr>
          <w:noProof w:val="0"/>
          <w:szCs w:val="20"/>
          <w:lang w:val="en-US"/>
        </w:rPr>
        <w:t xml:space="preserve"> </w:t>
      </w:r>
    </w:p>
    <w:p w:rsidR="00D839BE" w:rsidRPr="00610904" w:rsidRDefault="00D839BE" w:rsidP="00610904">
      <w:pPr>
        <w:rPr>
          <w:rFonts w:cs="TimesNewRomanPSMT"/>
          <w:noProof w:val="0"/>
          <w:color w:val="000000"/>
          <w:szCs w:val="20"/>
          <w:lang w:val="en-US"/>
        </w:rPr>
      </w:pPr>
    </w:p>
    <w:p w:rsidR="003040F7" w:rsidRPr="00610904" w:rsidRDefault="006D7F48" w:rsidP="00610904">
      <w:pPr>
        <w:numPr>
          <w:ilvl w:val="0"/>
          <w:numId w:val="1"/>
        </w:numPr>
        <w:tabs>
          <w:tab w:val="left" w:pos="709"/>
          <w:tab w:val="left" w:pos="10065"/>
        </w:tabs>
        <w:ind w:right="25"/>
        <w:contextualSpacing/>
        <w:rPr>
          <w:noProof w:val="0"/>
          <w:szCs w:val="20"/>
          <w:lang w:val="en-US"/>
        </w:rPr>
      </w:pPr>
      <w:r w:rsidRPr="00610904">
        <w:rPr>
          <w:rFonts w:cs="TimesNewRomanPSMT"/>
          <w:noProof w:val="0"/>
          <w:color w:val="000000"/>
          <w:szCs w:val="20"/>
          <w:lang w:val="en-US"/>
        </w:rPr>
        <w:t xml:space="preserve">Based on the above, the Court concludes that the State is responsible for the violation of the right to </w:t>
      </w:r>
      <w:r w:rsidR="008956E2" w:rsidRPr="00610904">
        <w:rPr>
          <w:noProof w:val="0"/>
          <w:szCs w:val="20"/>
          <w:lang w:val="en-US"/>
        </w:rPr>
        <w:t>personal integrity</w:t>
      </w:r>
      <w:r w:rsidR="00D839BE" w:rsidRPr="00610904">
        <w:rPr>
          <w:noProof w:val="0"/>
          <w:szCs w:val="20"/>
          <w:lang w:val="en-US"/>
        </w:rPr>
        <w:t xml:space="preserve">, </w:t>
      </w:r>
      <w:r w:rsidRPr="00610904">
        <w:rPr>
          <w:noProof w:val="0"/>
          <w:szCs w:val="20"/>
          <w:lang w:val="en-US"/>
        </w:rPr>
        <w:t>recognized in</w:t>
      </w:r>
      <w:r w:rsidR="00D839BE" w:rsidRPr="00610904">
        <w:rPr>
          <w:noProof w:val="0"/>
          <w:szCs w:val="20"/>
          <w:lang w:val="en-US"/>
        </w:rPr>
        <w:t xml:space="preserve"> </w:t>
      </w:r>
      <w:r w:rsidR="009F3D78" w:rsidRPr="00610904">
        <w:rPr>
          <w:noProof w:val="0"/>
          <w:szCs w:val="20"/>
          <w:lang w:val="en-US"/>
        </w:rPr>
        <w:t>Article</w:t>
      </w:r>
      <w:r w:rsidR="00D839BE" w:rsidRPr="00610904">
        <w:rPr>
          <w:noProof w:val="0"/>
          <w:szCs w:val="20"/>
          <w:lang w:val="en-US"/>
        </w:rPr>
        <w:t xml:space="preserve"> </w:t>
      </w:r>
      <w:r w:rsidR="004A6E8B" w:rsidRPr="00610904">
        <w:rPr>
          <w:noProof w:val="0"/>
          <w:szCs w:val="20"/>
          <w:lang w:val="en-US"/>
        </w:rPr>
        <w:t>5(1)</w:t>
      </w:r>
      <w:r w:rsidR="009F3D78" w:rsidRPr="00610904">
        <w:rPr>
          <w:noProof w:val="0"/>
          <w:szCs w:val="20"/>
          <w:lang w:val="en-US"/>
        </w:rPr>
        <w:t xml:space="preserve"> of the American Convention</w:t>
      </w:r>
      <w:r w:rsidR="00D839BE" w:rsidRPr="00610904">
        <w:rPr>
          <w:noProof w:val="0"/>
          <w:szCs w:val="20"/>
          <w:lang w:val="en-US"/>
        </w:rPr>
        <w:t xml:space="preserve">, </w:t>
      </w:r>
      <w:r w:rsidR="004A6E8B" w:rsidRPr="00610904">
        <w:rPr>
          <w:noProof w:val="0"/>
          <w:szCs w:val="20"/>
          <w:lang w:val="en-US"/>
        </w:rPr>
        <w:t>in relation to</w:t>
      </w:r>
      <w:r w:rsidR="00D839BE" w:rsidRPr="00610904">
        <w:rPr>
          <w:noProof w:val="0"/>
          <w:szCs w:val="20"/>
          <w:lang w:val="en-US"/>
        </w:rPr>
        <w:t xml:space="preserve"> </w:t>
      </w:r>
      <w:r w:rsidR="006E502B" w:rsidRPr="00610904">
        <w:rPr>
          <w:noProof w:val="0"/>
          <w:szCs w:val="20"/>
          <w:lang w:val="en-US"/>
        </w:rPr>
        <w:t>Article 1(1)</w:t>
      </w:r>
      <w:r w:rsidR="00D839BE" w:rsidRPr="00610904">
        <w:rPr>
          <w:noProof w:val="0"/>
          <w:szCs w:val="20"/>
          <w:lang w:val="en-US"/>
        </w:rPr>
        <w:t xml:space="preserve"> </w:t>
      </w:r>
      <w:r w:rsidRPr="00610904">
        <w:rPr>
          <w:noProof w:val="0"/>
          <w:szCs w:val="20"/>
          <w:lang w:val="en-US"/>
        </w:rPr>
        <w:t>thereof</w:t>
      </w:r>
      <w:r w:rsidR="00D839BE" w:rsidRPr="00610904">
        <w:rPr>
          <w:noProof w:val="0"/>
          <w:szCs w:val="20"/>
          <w:lang w:val="en-US"/>
        </w:rPr>
        <w:t xml:space="preserve">, </w:t>
      </w:r>
      <w:r w:rsidR="004A6E8B" w:rsidRPr="00610904">
        <w:rPr>
          <w:noProof w:val="0"/>
          <w:szCs w:val="20"/>
          <w:lang w:val="en-US"/>
        </w:rPr>
        <w:t>of</w:t>
      </w:r>
      <w:r w:rsidR="00D839BE" w:rsidRPr="00610904">
        <w:rPr>
          <w:noProof w:val="0"/>
          <w:szCs w:val="20"/>
          <w:lang w:val="en-US"/>
        </w:rPr>
        <w:t xml:space="preserve"> Teresa Lluy </w:t>
      </w:r>
      <w:r w:rsidR="005550B0" w:rsidRPr="00610904">
        <w:rPr>
          <w:noProof w:val="0"/>
          <w:szCs w:val="20"/>
          <w:lang w:val="en-US"/>
        </w:rPr>
        <w:t>and Iván</w:t>
      </w:r>
      <w:r w:rsidR="00D839BE" w:rsidRPr="00610904">
        <w:rPr>
          <w:noProof w:val="0"/>
          <w:szCs w:val="20"/>
          <w:lang w:val="en-US"/>
        </w:rPr>
        <w:t xml:space="preserve"> Lluy</w:t>
      </w:r>
      <w:r w:rsidR="00607091" w:rsidRPr="00610904">
        <w:rPr>
          <w:noProof w:val="0"/>
          <w:szCs w:val="20"/>
          <w:lang w:val="en-US"/>
        </w:rPr>
        <w:t>.</w:t>
      </w:r>
    </w:p>
    <w:p w:rsidR="0013395A" w:rsidRPr="00610904" w:rsidRDefault="0013395A" w:rsidP="00610904">
      <w:pPr>
        <w:tabs>
          <w:tab w:val="left" w:pos="709"/>
          <w:tab w:val="left" w:pos="10065"/>
        </w:tabs>
        <w:ind w:right="25"/>
        <w:contextualSpacing/>
        <w:rPr>
          <w:noProof w:val="0"/>
          <w:szCs w:val="20"/>
          <w:lang w:val="en-US"/>
        </w:rPr>
      </w:pPr>
    </w:p>
    <w:p w:rsidR="00662C0E" w:rsidRPr="00610904" w:rsidRDefault="00662C0E" w:rsidP="00610904">
      <w:pPr>
        <w:pStyle w:val="Heading1"/>
        <w:spacing w:before="0" w:after="0"/>
        <w:rPr>
          <w:noProof w:val="0"/>
          <w:lang w:val="en-US"/>
        </w:rPr>
      </w:pPr>
      <w:bookmarkStart w:id="104" w:name="_Toc429519503"/>
      <w:bookmarkStart w:id="105" w:name="_Toc443399102"/>
      <w:bookmarkEnd w:id="94"/>
      <w:r w:rsidRPr="00610904">
        <w:rPr>
          <w:noProof w:val="0"/>
          <w:lang w:val="en-US"/>
        </w:rPr>
        <w:lastRenderedPageBreak/>
        <w:t>X</w:t>
      </w:r>
      <w:r w:rsidRPr="00610904">
        <w:rPr>
          <w:noProof w:val="0"/>
          <w:lang w:val="en-US"/>
        </w:rPr>
        <w:br/>
      </w:r>
      <w:r w:rsidR="0013395A" w:rsidRPr="00610904">
        <w:rPr>
          <w:noProof w:val="0"/>
          <w:lang w:val="en-US"/>
        </w:rPr>
        <w:t>RIGHT TO EDUCATION</w:t>
      </w:r>
      <w:bookmarkEnd w:id="104"/>
      <w:bookmarkEnd w:id="105"/>
    </w:p>
    <w:p w:rsidR="00662C0E" w:rsidRPr="00610904" w:rsidRDefault="00662C0E" w:rsidP="00610904">
      <w:pPr>
        <w:rPr>
          <w:noProof w:val="0"/>
          <w:lang w:val="en-US"/>
        </w:rPr>
      </w:pPr>
    </w:p>
    <w:p w:rsidR="00662C0E" w:rsidRPr="00610904" w:rsidRDefault="00223622" w:rsidP="00610904">
      <w:pPr>
        <w:ind w:left="720"/>
        <w:rPr>
          <w:i/>
          <w:noProof w:val="0"/>
          <w:lang w:val="en-US"/>
        </w:rPr>
      </w:pPr>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662C0E" w:rsidRPr="00610904" w:rsidRDefault="00662C0E" w:rsidP="00610904">
      <w:pPr>
        <w:rPr>
          <w:noProof w:val="0"/>
          <w:lang w:val="en-US" w:eastAsia="es-ES"/>
        </w:rPr>
      </w:pPr>
    </w:p>
    <w:p w:rsidR="00662C0E" w:rsidRPr="00610904" w:rsidRDefault="002F5BBA" w:rsidP="00610904">
      <w:pPr>
        <w:numPr>
          <w:ilvl w:val="0"/>
          <w:numId w:val="1"/>
        </w:numPr>
        <w:contextualSpacing/>
        <w:rPr>
          <w:noProof w:val="0"/>
          <w:lang w:val="en-US" w:eastAsia="es-ES"/>
        </w:rPr>
      </w:pPr>
      <w:r w:rsidRPr="00610904">
        <w:rPr>
          <w:noProof w:val="0"/>
          <w:lang w:val="en-US" w:eastAsia="es-ES"/>
        </w:rPr>
        <w:t>The Commission</w:t>
      </w:r>
      <w:r w:rsidR="00662C0E" w:rsidRPr="00610904">
        <w:rPr>
          <w:b/>
          <w:noProof w:val="0"/>
          <w:lang w:val="en-US" w:eastAsia="es-ES"/>
        </w:rPr>
        <w:t xml:space="preserve"> </w:t>
      </w:r>
      <w:r w:rsidR="0013395A" w:rsidRPr="00610904">
        <w:rPr>
          <w:noProof w:val="0"/>
          <w:lang w:val="en-US" w:eastAsia="es-ES"/>
        </w:rPr>
        <w:t>stated that</w:t>
      </w:r>
      <w:r w:rsidR="00662C0E" w:rsidRPr="00610904">
        <w:rPr>
          <w:noProof w:val="0"/>
          <w:lang w:val="en-US" w:eastAsia="es-ES"/>
        </w:rPr>
        <w:t xml:space="preserve"> </w:t>
      </w:r>
      <w:r w:rsidR="00662C0E" w:rsidRPr="00610904">
        <w:rPr>
          <w:rFonts w:cs="Arial"/>
          <w:noProof w:val="0"/>
          <w:szCs w:val="20"/>
          <w:lang w:val="en-US"/>
        </w:rPr>
        <w:t xml:space="preserve">Talía </w:t>
      </w:r>
      <w:r w:rsidR="00662C0E" w:rsidRPr="00610904">
        <w:rPr>
          <w:noProof w:val="0"/>
          <w:lang w:val="en-US" w:eastAsia="es-ES"/>
        </w:rPr>
        <w:t>“</w:t>
      </w:r>
      <w:r w:rsidR="0013395A" w:rsidRPr="00610904">
        <w:rPr>
          <w:noProof w:val="0"/>
          <w:lang w:val="en-US" w:eastAsia="es-ES"/>
        </w:rPr>
        <w:t xml:space="preserve">was expelled from a public education establishment and that the </w:t>
      </w:r>
      <w:r w:rsidR="00AC05AD" w:rsidRPr="00610904">
        <w:rPr>
          <w:noProof w:val="0"/>
          <w:lang w:val="en-US" w:eastAsia="es-ES"/>
        </w:rPr>
        <w:t>courts</w:t>
      </w:r>
      <w:r w:rsidR="0013395A" w:rsidRPr="00610904">
        <w:rPr>
          <w:noProof w:val="0"/>
          <w:lang w:val="en-US" w:eastAsia="es-ES"/>
        </w:rPr>
        <w:t xml:space="preserve"> endorsed this action.” This expulsion “took place when the school authorities […] became aware that </w:t>
      </w:r>
      <w:r w:rsidR="00A54A85" w:rsidRPr="00610904">
        <w:rPr>
          <w:noProof w:val="0"/>
          <w:lang w:val="en-US" w:eastAsia="es-ES"/>
        </w:rPr>
        <w:t>Talí</w:t>
      </w:r>
      <w:r w:rsidR="00662C0E" w:rsidRPr="00610904">
        <w:rPr>
          <w:noProof w:val="0"/>
          <w:lang w:val="en-US" w:eastAsia="es-ES"/>
        </w:rPr>
        <w:t xml:space="preserve">a […] </w:t>
      </w:r>
      <w:r w:rsidR="0013395A" w:rsidRPr="00610904">
        <w:rPr>
          <w:noProof w:val="0"/>
          <w:lang w:val="en-US" w:eastAsia="es-ES"/>
        </w:rPr>
        <w:t xml:space="preserve">was </w:t>
      </w:r>
      <w:r w:rsidR="00F802DA" w:rsidRPr="00610904">
        <w:rPr>
          <w:noProof w:val="0"/>
          <w:lang w:val="en-US" w:eastAsia="es-ES"/>
        </w:rPr>
        <w:t>infected</w:t>
      </w:r>
      <w:r w:rsidR="0013395A" w:rsidRPr="00610904">
        <w:rPr>
          <w:noProof w:val="0"/>
          <w:lang w:val="en-US" w:eastAsia="es-ES"/>
        </w:rPr>
        <w:t xml:space="preserve"> with </w:t>
      </w:r>
      <w:r w:rsidR="00A8072E" w:rsidRPr="00610904">
        <w:rPr>
          <w:noProof w:val="0"/>
          <w:lang w:val="en-US" w:eastAsia="es-ES"/>
        </w:rPr>
        <w:t>HIV</w:t>
      </w:r>
      <w:r w:rsidR="00662C0E" w:rsidRPr="00610904">
        <w:rPr>
          <w:noProof w:val="0"/>
          <w:lang w:val="en-US" w:eastAsia="es-ES"/>
        </w:rPr>
        <w:t>.</w:t>
      </w:r>
      <w:r w:rsidR="00662C0E" w:rsidRPr="00610904">
        <w:rPr>
          <w:b/>
          <w:noProof w:val="0"/>
          <w:lang w:val="en-US" w:eastAsia="es-ES"/>
        </w:rPr>
        <w:t xml:space="preserve"> </w:t>
      </w:r>
      <w:r w:rsidR="0013395A" w:rsidRPr="00610904">
        <w:rPr>
          <w:noProof w:val="0"/>
          <w:lang w:val="en-US" w:eastAsia="es-ES"/>
        </w:rPr>
        <w:t>According to</w:t>
      </w:r>
      <w:r w:rsidR="00662C0E" w:rsidRPr="00610904">
        <w:rPr>
          <w:noProof w:val="0"/>
          <w:lang w:val="en-US" w:eastAsia="es-ES"/>
        </w:rPr>
        <w:t xml:space="preserve"> </w:t>
      </w:r>
      <w:r w:rsidRPr="00610904">
        <w:rPr>
          <w:noProof w:val="0"/>
          <w:lang w:val="en-US" w:eastAsia="es-ES"/>
        </w:rPr>
        <w:t>the Commission</w:t>
      </w:r>
      <w:r w:rsidR="00662C0E" w:rsidRPr="00610904">
        <w:rPr>
          <w:noProof w:val="0"/>
          <w:lang w:val="en-US" w:eastAsia="es-ES"/>
        </w:rPr>
        <w:t xml:space="preserve">, </w:t>
      </w:r>
      <w:r w:rsidR="0013395A" w:rsidRPr="00610904">
        <w:rPr>
          <w:noProof w:val="0"/>
          <w:lang w:val="en-US" w:eastAsia="es-ES"/>
        </w:rPr>
        <w:t>even though</w:t>
      </w:r>
      <w:r w:rsidR="00662C0E" w:rsidRPr="00610904">
        <w:rPr>
          <w:noProof w:val="0"/>
          <w:lang w:val="en-US" w:eastAsia="es-ES"/>
        </w:rPr>
        <w:t xml:space="preserve"> Teresa Lluy </w:t>
      </w:r>
      <w:r w:rsidR="0013395A" w:rsidRPr="00610904">
        <w:rPr>
          <w:noProof w:val="0"/>
          <w:lang w:val="en-US" w:eastAsia="es-ES"/>
        </w:rPr>
        <w:t>filed an application for</w:t>
      </w:r>
      <w:r w:rsidR="00AC05AD" w:rsidRPr="00610904">
        <w:rPr>
          <w:noProof w:val="0"/>
          <w:lang w:val="en-US" w:eastAsia="es-ES"/>
        </w:rPr>
        <w:t xml:space="preserve"> constitutional protection</w:t>
      </w:r>
      <w:r w:rsidR="0013395A" w:rsidRPr="00610904">
        <w:rPr>
          <w:noProof w:val="0"/>
          <w:lang w:val="en-US" w:eastAsia="es-ES"/>
        </w:rPr>
        <w:t xml:space="preserve"> </w:t>
      </w:r>
      <w:r w:rsidR="00AC05AD" w:rsidRPr="00610904">
        <w:rPr>
          <w:noProof w:val="0"/>
          <w:lang w:val="en-US" w:eastAsia="es-ES"/>
        </w:rPr>
        <w:t>(</w:t>
      </w:r>
      <w:r w:rsidR="00AC05AD" w:rsidRPr="00610904">
        <w:rPr>
          <w:i/>
          <w:noProof w:val="0"/>
          <w:lang w:val="en-US" w:eastAsia="es-ES"/>
        </w:rPr>
        <w:t>a</w:t>
      </w:r>
      <w:r w:rsidR="009E7834" w:rsidRPr="00610904">
        <w:rPr>
          <w:i/>
          <w:noProof w:val="0"/>
          <w:lang w:val="en-US" w:eastAsia="es-ES"/>
        </w:rPr>
        <w:t>mparo</w:t>
      </w:r>
      <w:r w:rsidR="00AC05AD" w:rsidRPr="00610904">
        <w:rPr>
          <w:i/>
          <w:noProof w:val="0"/>
          <w:lang w:val="en-US" w:eastAsia="es-ES"/>
        </w:rPr>
        <w:t>)</w:t>
      </w:r>
      <w:r w:rsidR="00662C0E" w:rsidRPr="00610904">
        <w:rPr>
          <w:noProof w:val="0"/>
          <w:lang w:val="en-US" w:eastAsia="es-ES"/>
        </w:rPr>
        <w:t xml:space="preserve"> </w:t>
      </w:r>
      <w:r w:rsidR="0013395A" w:rsidRPr="00610904">
        <w:rPr>
          <w:noProof w:val="0"/>
          <w:lang w:val="en-US" w:eastAsia="es-ES"/>
        </w:rPr>
        <w:t>to</w:t>
      </w:r>
      <w:r w:rsidR="00662C0E" w:rsidRPr="00610904">
        <w:rPr>
          <w:noProof w:val="0"/>
          <w:lang w:val="en-US" w:eastAsia="es-ES"/>
        </w:rPr>
        <w:t xml:space="preserve"> prot</w:t>
      </w:r>
      <w:r w:rsidR="006D7F48" w:rsidRPr="00610904">
        <w:rPr>
          <w:noProof w:val="0"/>
          <w:lang w:val="en-US" w:eastAsia="es-ES"/>
        </w:rPr>
        <w:t>e</w:t>
      </w:r>
      <w:r w:rsidR="0013395A" w:rsidRPr="00610904">
        <w:rPr>
          <w:noProof w:val="0"/>
          <w:lang w:val="en-US" w:eastAsia="es-ES"/>
        </w:rPr>
        <w:t xml:space="preserve">ct Talía’s right to education, “[t]he District Court indicated that </w:t>
      </w:r>
      <w:r w:rsidR="00662C0E" w:rsidRPr="00610904">
        <w:rPr>
          <w:noProof w:val="0"/>
          <w:lang w:val="en-US" w:eastAsia="es-ES"/>
        </w:rPr>
        <w:t xml:space="preserve">Talía Gabriela </w:t>
      </w:r>
      <w:r w:rsidR="0013395A" w:rsidRPr="00610904">
        <w:rPr>
          <w:noProof w:val="0"/>
          <w:lang w:val="en-US" w:eastAsia="es-ES"/>
        </w:rPr>
        <w:t xml:space="preserve">could exercise her right to education individually and by distance education.” In the </w:t>
      </w:r>
      <w:r w:rsidRPr="00610904">
        <w:rPr>
          <w:noProof w:val="0"/>
          <w:lang w:val="en-US" w:eastAsia="es-ES"/>
        </w:rPr>
        <w:t>Commission</w:t>
      </w:r>
      <w:r w:rsidR="0013395A" w:rsidRPr="00610904">
        <w:rPr>
          <w:noProof w:val="0"/>
          <w:lang w:val="en-US" w:eastAsia="es-ES"/>
        </w:rPr>
        <w:t>’s opinion</w:t>
      </w:r>
      <w:r w:rsidR="00662C0E" w:rsidRPr="00610904">
        <w:rPr>
          <w:noProof w:val="0"/>
          <w:lang w:val="en-US" w:eastAsia="es-ES"/>
        </w:rPr>
        <w:t>, “</w:t>
      </w:r>
      <w:r w:rsidR="00AC05AD" w:rsidRPr="00610904">
        <w:rPr>
          <w:noProof w:val="0"/>
          <w:lang w:val="en-US" w:eastAsia="es-ES"/>
        </w:rPr>
        <w:t>[w]i</w:t>
      </w:r>
      <w:r w:rsidR="00F802DA" w:rsidRPr="00610904">
        <w:rPr>
          <w:noProof w:val="0"/>
          <w:lang w:val="en-US" w:eastAsia="es-ES"/>
        </w:rPr>
        <w:t xml:space="preserve">th this decision, the courts endorsed [her expulsion], </w:t>
      </w:r>
      <w:r w:rsidR="00AC05AD" w:rsidRPr="00610904">
        <w:rPr>
          <w:noProof w:val="0"/>
          <w:lang w:val="en-US" w:eastAsia="es-ES"/>
        </w:rPr>
        <w:t>combining both</w:t>
      </w:r>
      <w:r w:rsidR="00F802DA" w:rsidRPr="00610904">
        <w:rPr>
          <w:noProof w:val="0"/>
          <w:lang w:val="en-US" w:eastAsia="es-ES"/>
        </w:rPr>
        <w:t xml:space="preserve"> a violation of her </w:t>
      </w:r>
      <w:r w:rsidR="007D72DC" w:rsidRPr="00610904">
        <w:rPr>
          <w:noProof w:val="0"/>
          <w:lang w:val="en-US" w:eastAsia="es-ES"/>
        </w:rPr>
        <w:t>right to education</w:t>
      </w:r>
      <w:r w:rsidR="009F3D78" w:rsidRPr="00610904">
        <w:rPr>
          <w:noProof w:val="0"/>
          <w:lang w:val="en-US" w:eastAsia="es-ES"/>
        </w:rPr>
        <w:t xml:space="preserve"> and </w:t>
      </w:r>
      <w:r w:rsidR="00AC05AD" w:rsidRPr="00610904">
        <w:rPr>
          <w:noProof w:val="0"/>
          <w:lang w:val="en-US" w:eastAsia="es-ES"/>
        </w:rPr>
        <w:t>a</w:t>
      </w:r>
      <w:r w:rsidR="00F802DA" w:rsidRPr="00610904">
        <w:rPr>
          <w:noProof w:val="0"/>
          <w:lang w:val="en-US" w:eastAsia="es-ES"/>
        </w:rPr>
        <w:t xml:space="preserve"> discriminatory act based on her </w:t>
      </w:r>
      <w:r w:rsidR="00404EE1" w:rsidRPr="00610904">
        <w:rPr>
          <w:noProof w:val="0"/>
          <w:lang w:val="en-US" w:eastAsia="es-ES"/>
        </w:rPr>
        <w:t>health status</w:t>
      </w:r>
      <w:r w:rsidR="00F802DA" w:rsidRPr="00610904">
        <w:rPr>
          <w:noProof w:val="0"/>
          <w:lang w:val="en-US" w:eastAsia="es-ES"/>
        </w:rPr>
        <w:t xml:space="preserve">.” </w:t>
      </w:r>
      <w:r w:rsidR="0013395A" w:rsidRPr="00610904">
        <w:rPr>
          <w:bCs/>
          <w:noProof w:val="0"/>
          <w:snapToGrid w:val="0"/>
          <w:kern w:val="32"/>
          <w:lang w:val="en-US" w:eastAsia="es-ES"/>
        </w:rPr>
        <w:t>In its</w:t>
      </w:r>
      <w:r w:rsidR="00662C0E" w:rsidRPr="00610904">
        <w:rPr>
          <w:bCs/>
          <w:noProof w:val="0"/>
          <w:snapToGrid w:val="0"/>
          <w:kern w:val="32"/>
          <w:lang w:val="en-US" w:eastAsia="es-ES"/>
        </w:rPr>
        <w:t xml:space="preserve"> </w:t>
      </w:r>
      <w:r w:rsidR="006E502B" w:rsidRPr="00610904">
        <w:rPr>
          <w:bCs/>
          <w:noProof w:val="0"/>
          <w:snapToGrid w:val="0"/>
          <w:kern w:val="32"/>
          <w:lang w:val="en-US" w:eastAsia="es-ES"/>
        </w:rPr>
        <w:t>Merits Report</w:t>
      </w:r>
      <w:r w:rsidR="0013395A" w:rsidRPr="00610904">
        <w:rPr>
          <w:bCs/>
          <w:noProof w:val="0"/>
          <w:snapToGrid w:val="0"/>
          <w:kern w:val="32"/>
          <w:lang w:val="en-US" w:eastAsia="es-ES"/>
        </w:rPr>
        <w:t xml:space="preserve">, </w:t>
      </w:r>
      <w:r w:rsidR="0013395A" w:rsidRPr="00610904">
        <w:rPr>
          <w:noProof w:val="0"/>
          <w:lang w:val="en-US" w:eastAsia="es-ES"/>
        </w:rPr>
        <w:t xml:space="preserve">the Commission </w:t>
      </w:r>
      <w:r w:rsidR="0013395A" w:rsidRPr="00610904">
        <w:rPr>
          <w:bCs/>
          <w:noProof w:val="0"/>
          <w:snapToGrid w:val="0"/>
          <w:kern w:val="32"/>
          <w:lang w:val="en-US" w:eastAsia="es-ES"/>
        </w:rPr>
        <w:t>established that</w:t>
      </w:r>
      <w:r w:rsidR="00662C0E" w:rsidRPr="00610904">
        <w:rPr>
          <w:bCs/>
          <w:noProof w:val="0"/>
          <w:snapToGrid w:val="0"/>
          <w:kern w:val="32"/>
          <w:lang w:val="en-US" w:eastAsia="es-ES"/>
        </w:rPr>
        <w:t xml:space="preserve"> “</w:t>
      </w:r>
      <w:r w:rsidR="00F802DA" w:rsidRPr="00610904">
        <w:rPr>
          <w:bCs/>
          <w:noProof w:val="0"/>
          <w:snapToGrid w:val="0"/>
          <w:kern w:val="32"/>
          <w:lang w:val="en-US" w:eastAsia="es-ES"/>
        </w:rPr>
        <w:t xml:space="preserve">there is no information to indicate that any State </w:t>
      </w:r>
      <w:r w:rsidR="00856968" w:rsidRPr="00610904">
        <w:rPr>
          <w:bCs/>
          <w:noProof w:val="0"/>
          <w:snapToGrid w:val="0"/>
          <w:kern w:val="32"/>
          <w:lang w:val="en-US" w:eastAsia="es-ES"/>
        </w:rPr>
        <w:t>entity</w:t>
      </w:r>
      <w:r w:rsidR="00F802DA" w:rsidRPr="00610904">
        <w:rPr>
          <w:bCs/>
          <w:noProof w:val="0"/>
          <w:snapToGrid w:val="0"/>
          <w:kern w:val="32"/>
          <w:lang w:val="en-US" w:eastAsia="es-ES"/>
        </w:rPr>
        <w:t xml:space="preserve"> responsible for the interests of children intervened in the judicial proceeding</w:t>
      </w:r>
      <w:r w:rsidR="00AC05AD" w:rsidRPr="00610904">
        <w:rPr>
          <w:bCs/>
          <w:noProof w:val="0"/>
          <w:snapToGrid w:val="0"/>
          <w:kern w:val="32"/>
          <w:lang w:val="en-US" w:eastAsia="es-ES"/>
        </w:rPr>
        <w:t>s</w:t>
      </w:r>
      <w:r w:rsidR="00F802DA" w:rsidRPr="00610904">
        <w:rPr>
          <w:bCs/>
          <w:noProof w:val="0"/>
          <w:snapToGrid w:val="0"/>
          <w:kern w:val="32"/>
          <w:lang w:val="en-US" w:eastAsia="es-ES"/>
        </w:rPr>
        <w:t xml:space="preserve"> or collaborated in the search for medical services. This whole situation has had a serious impact […] on the exercise of her right to education and, in sum, to the basic conditions to lead a decent life.” On this point, the Commission also argued that the obligation to ensure Talía’s life p</w:t>
      </w:r>
      <w:r w:rsidR="00AC05AD" w:rsidRPr="00610904">
        <w:rPr>
          <w:bCs/>
          <w:noProof w:val="0"/>
          <w:snapToGrid w:val="0"/>
          <w:kern w:val="32"/>
          <w:lang w:val="en-US" w:eastAsia="es-ES"/>
        </w:rPr>
        <w:t>roject, which evidently included</w:t>
      </w:r>
      <w:r w:rsidR="00F802DA" w:rsidRPr="00610904">
        <w:rPr>
          <w:bCs/>
          <w:noProof w:val="0"/>
          <w:snapToGrid w:val="0"/>
          <w:kern w:val="32"/>
          <w:lang w:val="en-US" w:eastAsia="es-ES"/>
        </w:rPr>
        <w:t xml:space="preserve"> her education, was “enhanced in this case owing to the numerous factors of vulnerability of the [presumed] victim’s situation, as an HIV-infected child with very limited resources.</w:t>
      </w:r>
      <w:r w:rsidR="00662C0E" w:rsidRPr="00610904">
        <w:rPr>
          <w:bCs/>
          <w:noProof w:val="0"/>
          <w:snapToGrid w:val="0"/>
          <w:kern w:val="32"/>
          <w:lang w:val="en-US" w:eastAsia="es-ES"/>
        </w:rPr>
        <w:t xml:space="preserve">” </w:t>
      </w:r>
    </w:p>
    <w:p w:rsidR="00662C0E" w:rsidRPr="00610904" w:rsidRDefault="00662C0E" w:rsidP="00610904">
      <w:pPr>
        <w:rPr>
          <w:noProof w:val="0"/>
          <w:lang w:val="en-US" w:eastAsia="es-ES"/>
        </w:rPr>
      </w:pPr>
    </w:p>
    <w:p w:rsidR="00662C0E" w:rsidRPr="00610904" w:rsidRDefault="009F3D78" w:rsidP="00610904">
      <w:pPr>
        <w:numPr>
          <w:ilvl w:val="0"/>
          <w:numId w:val="1"/>
        </w:numPr>
        <w:autoSpaceDE w:val="0"/>
        <w:autoSpaceDN w:val="0"/>
        <w:adjustRightInd w:val="0"/>
        <w:contextualSpacing/>
        <w:rPr>
          <w:noProof w:val="0"/>
          <w:lang w:val="en-US" w:eastAsia="es-ES"/>
        </w:rPr>
      </w:pPr>
      <w:r w:rsidRPr="00610904">
        <w:rPr>
          <w:bCs/>
          <w:noProof w:val="0"/>
          <w:snapToGrid w:val="0"/>
          <w:kern w:val="32"/>
          <w:lang w:val="en-US" w:eastAsia="es-ES"/>
        </w:rPr>
        <w:t>The representatives</w:t>
      </w:r>
      <w:r w:rsidR="00662C0E" w:rsidRPr="00610904">
        <w:rPr>
          <w:bCs/>
          <w:noProof w:val="0"/>
          <w:snapToGrid w:val="0"/>
          <w:kern w:val="32"/>
          <w:lang w:val="en-US" w:eastAsia="es-ES"/>
        </w:rPr>
        <w:t xml:space="preserve"> </w:t>
      </w:r>
      <w:r w:rsidR="00F802DA" w:rsidRPr="00610904">
        <w:rPr>
          <w:bCs/>
          <w:noProof w:val="0"/>
          <w:snapToGrid w:val="0"/>
          <w:kern w:val="32"/>
          <w:lang w:val="en-US" w:eastAsia="es-ES"/>
        </w:rPr>
        <w:t xml:space="preserve">indicated that, in </w:t>
      </w:r>
      <w:r w:rsidR="00662C0E" w:rsidRPr="00610904">
        <w:rPr>
          <w:rFonts w:cs="Arial"/>
          <w:noProof w:val="0"/>
          <w:szCs w:val="20"/>
          <w:lang w:val="en-US"/>
        </w:rPr>
        <w:t>Talía</w:t>
      </w:r>
      <w:r w:rsidR="00AC05AD" w:rsidRPr="00610904">
        <w:rPr>
          <w:rFonts w:cs="Arial"/>
          <w:noProof w:val="0"/>
          <w:szCs w:val="20"/>
          <w:lang w:val="en-US"/>
        </w:rPr>
        <w:t>’s case</w:t>
      </w:r>
      <w:r w:rsidR="00F802DA" w:rsidRPr="00610904">
        <w:rPr>
          <w:rFonts w:cs="Arial"/>
          <w:noProof w:val="0"/>
          <w:szCs w:val="20"/>
          <w:lang w:val="en-US"/>
        </w:rPr>
        <w:t>, the standards of the right to education had not been complied with, because a judicial decision existed that “</w:t>
      </w:r>
      <w:r w:rsidR="00856968" w:rsidRPr="00610904">
        <w:rPr>
          <w:rFonts w:cs="Arial"/>
          <w:noProof w:val="0"/>
          <w:szCs w:val="20"/>
          <w:lang w:val="en-US"/>
        </w:rPr>
        <w:t>annulled</w:t>
      </w:r>
      <w:r w:rsidR="00F802DA" w:rsidRPr="00610904">
        <w:rPr>
          <w:rFonts w:cs="Arial"/>
          <w:noProof w:val="0"/>
          <w:szCs w:val="20"/>
          <w:lang w:val="en-US"/>
        </w:rPr>
        <w:t xml:space="preserve"> the right [of Talía</w:t>
      </w:r>
      <w:r w:rsidR="00AC05AD" w:rsidRPr="00610904">
        <w:rPr>
          <w:rFonts w:cs="Arial"/>
          <w:noProof w:val="0"/>
          <w:szCs w:val="20"/>
          <w:lang w:val="en-US"/>
        </w:rPr>
        <w:t>] to access [any] public school</w:t>
      </w:r>
      <w:r w:rsidR="00F802DA" w:rsidRPr="00610904">
        <w:rPr>
          <w:rFonts w:cs="Arial"/>
          <w:noProof w:val="0"/>
          <w:szCs w:val="20"/>
          <w:lang w:val="en-US"/>
        </w:rPr>
        <w:t>”</w:t>
      </w:r>
      <w:r w:rsidR="00AC05AD" w:rsidRPr="00610904">
        <w:rPr>
          <w:rFonts w:cs="Arial"/>
          <w:noProof w:val="0"/>
          <w:szCs w:val="20"/>
          <w:lang w:val="en-US"/>
        </w:rPr>
        <w:t>;</w:t>
      </w:r>
      <w:r w:rsidR="00F802DA" w:rsidRPr="00610904">
        <w:rPr>
          <w:rFonts w:cs="Arial"/>
          <w:noProof w:val="0"/>
          <w:szCs w:val="20"/>
          <w:lang w:val="en-US"/>
        </w:rPr>
        <w:t xml:space="preserve"> </w:t>
      </w:r>
      <w:r w:rsidR="00AC05AD" w:rsidRPr="00610904">
        <w:rPr>
          <w:rFonts w:cs="Arial"/>
          <w:noProof w:val="0"/>
          <w:szCs w:val="20"/>
          <w:lang w:val="en-US"/>
        </w:rPr>
        <w:t>this</w:t>
      </w:r>
      <w:r w:rsidR="00F802DA" w:rsidRPr="00610904">
        <w:rPr>
          <w:rFonts w:cs="Arial"/>
          <w:noProof w:val="0"/>
          <w:szCs w:val="20"/>
          <w:lang w:val="en-US"/>
        </w:rPr>
        <w:t xml:space="preserve"> meant that Talía’s family “had</w:t>
      </w:r>
      <w:r w:rsidR="00AC05AD" w:rsidRPr="00610904">
        <w:rPr>
          <w:rFonts w:cs="Arial"/>
          <w:noProof w:val="0"/>
          <w:szCs w:val="20"/>
          <w:lang w:val="en-US"/>
        </w:rPr>
        <w:t xml:space="preserve"> no other option, but to seek</w:t>
      </w:r>
      <w:r w:rsidR="00F802DA" w:rsidRPr="00610904">
        <w:rPr>
          <w:rFonts w:cs="Arial"/>
          <w:noProof w:val="0"/>
          <w:szCs w:val="20"/>
          <w:lang w:val="en-US"/>
        </w:rPr>
        <w:t xml:space="preserve"> sc</w:t>
      </w:r>
      <w:r w:rsidR="00AC05AD" w:rsidRPr="00610904">
        <w:rPr>
          <w:rFonts w:cs="Arial"/>
          <w:noProof w:val="0"/>
          <w:szCs w:val="20"/>
          <w:lang w:val="en-US"/>
        </w:rPr>
        <w:t>h</w:t>
      </w:r>
      <w:r w:rsidR="00F802DA" w:rsidRPr="00610904">
        <w:rPr>
          <w:rFonts w:cs="Arial"/>
          <w:noProof w:val="0"/>
          <w:szCs w:val="20"/>
          <w:lang w:val="en-US"/>
        </w:rPr>
        <w:t>ools</w:t>
      </w:r>
      <w:r w:rsidR="00AC05AD" w:rsidRPr="00610904">
        <w:rPr>
          <w:rFonts w:cs="Arial"/>
          <w:noProof w:val="0"/>
          <w:szCs w:val="20"/>
          <w:lang w:val="en-US"/>
        </w:rPr>
        <w:t xml:space="preserve"> that were far away</w:t>
      </w:r>
      <w:r w:rsidR="00F802DA" w:rsidRPr="00610904">
        <w:rPr>
          <w:rFonts w:cs="Arial"/>
          <w:noProof w:val="0"/>
          <w:szCs w:val="20"/>
          <w:lang w:val="en-US"/>
        </w:rPr>
        <w:t xml:space="preserve"> in order to avoid the unequal and denigrating treatment.” Consequently, “[t]he education system did not adapt to Talía’s needs,” because it should “be flexible </w:t>
      </w:r>
      <w:r w:rsidR="00AC05AD" w:rsidRPr="00610904">
        <w:rPr>
          <w:rFonts w:cs="Arial"/>
          <w:noProof w:val="0"/>
          <w:szCs w:val="20"/>
          <w:lang w:val="en-US"/>
        </w:rPr>
        <w:t xml:space="preserve">and respond to the needs of </w:t>
      </w:r>
      <w:r w:rsidR="00F802DA" w:rsidRPr="00610904">
        <w:rPr>
          <w:rFonts w:cs="Arial"/>
          <w:noProof w:val="0"/>
          <w:szCs w:val="20"/>
          <w:lang w:val="en-US"/>
        </w:rPr>
        <w:t xml:space="preserve">students in different social and cultural contexts.” </w:t>
      </w:r>
      <w:r w:rsidR="007916C1" w:rsidRPr="00610904">
        <w:rPr>
          <w:noProof w:val="0"/>
          <w:lang w:val="en-US"/>
        </w:rPr>
        <w:t>According to the</w:t>
      </w:r>
      <w:r w:rsidRPr="00610904">
        <w:rPr>
          <w:noProof w:val="0"/>
          <w:lang w:val="en-US"/>
        </w:rPr>
        <w:t xml:space="preserve"> representatives</w:t>
      </w:r>
      <w:r w:rsidR="00F802DA" w:rsidRPr="00610904">
        <w:rPr>
          <w:noProof w:val="0"/>
          <w:lang w:val="en-US"/>
        </w:rPr>
        <w:t>,</w:t>
      </w:r>
      <w:r w:rsidR="00662C0E" w:rsidRPr="00610904">
        <w:rPr>
          <w:noProof w:val="0"/>
          <w:lang w:val="en-US"/>
        </w:rPr>
        <w:t xml:space="preserve"> “</w:t>
      </w:r>
      <w:r w:rsidR="00AC05AD" w:rsidRPr="00610904">
        <w:rPr>
          <w:noProof w:val="0"/>
          <w:lang w:val="en-US"/>
        </w:rPr>
        <w:t>the State’s obligation in relation to the right to education is violated when it creates</w:t>
      </w:r>
      <w:r w:rsidR="00F802DA" w:rsidRPr="00610904">
        <w:rPr>
          <w:noProof w:val="0"/>
          <w:lang w:val="en-US"/>
        </w:rPr>
        <w:t xml:space="preserve"> conditions in which [the education system] becomes inaccessible or difficult to acces</w:t>
      </w:r>
      <w:r w:rsidR="00AC05AD" w:rsidRPr="00610904">
        <w:rPr>
          <w:noProof w:val="0"/>
          <w:lang w:val="en-US"/>
        </w:rPr>
        <w:t>s, inadaptable and unacceptable</w:t>
      </w:r>
      <w:r w:rsidR="00F802DA" w:rsidRPr="00610904">
        <w:rPr>
          <w:noProof w:val="0"/>
          <w:lang w:val="en-US"/>
        </w:rPr>
        <w:t xml:space="preserve">.” They added that Talía’s education was never exempt from discrimination. Furthermore, they indicated that “Talía was only five years old when she was expelled from school </w:t>
      </w:r>
      <w:r w:rsidR="00856968" w:rsidRPr="00610904">
        <w:rPr>
          <w:noProof w:val="0"/>
          <w:lang w:val="en-US"/>
        </w:rPr>
        <w:t>because</w:t>
      </w:r>
      <w:r w:rsidR="00F802DA" w:rsidRPr="00610904">
        <w:rPr>
          <w:noProof w:val="0"/>
          <w:lang w:val="en-US"/>
        </w:rPr>
        <w:t xml:space="preserve"> she was a carrier of HIV</w:t>
      </w:r>
      <w:r w:rsidR="00AC05AD" w:rsidRPr="00610904">
        <w:rPr>
          <w:noProof w:val="0"/>
          <w:lang w:val="en-US"/>
        </w:rPr>
        <w:t>.</w:t>
      </w:r>
      <w:r w:rsidR="00F802DA" w:rsidRPr="00610904">
        <w:rPr>
          <w:noProof w:val="0"/>
          <w:lang w:val="en-US"/>
        </w:rPr>
        <w:t xml:space="preserve">” </w:t>
      </w:r>
      <w:r w:rsidR="00AC05AD" w:rsidRPr="00610904">
        <w:rPr>
          <w:noProof w:val="0"/>
          <w:lang w:val="en-US"/>
        </w:rPr>
        <w:t>Consequently, “Teresa</w:t>
      </w:r>
      <w:r w:rsidR="00F802DA" w:rsidRPr="00610904">
        <w:rPr>
          <w:noProof w:val="0"/>
          <w:lang w:val="en-US"/>
        </w:rPr>
        <w:t xml:space="preserve"> [filed] an application for </w:t>
      </w:r>
      <w:r w:rsidR="00852A2E" w:rsidRPr="00610904">
        <w:rPr>
          <w:noProof w:val="0"/>
          <w:lang w:val="en-US" w:eastAsia="es-ES"/>
        </w:rPr>
        <w:t>constitutional protection</w:t>
      </w:r>
      <w:r w:rsidR="00662C0E" w:rsidRPr="00610904">
        <w:rPr>
          <w:noProof w:val="0"/>
          <w:lang w:val="en-US" w:eastAsia="es-ES"/>
        </w:rPr>
        <w:t xml:space="preserve"> </w:t>
      </w:r>
      <w:r w:rsidR="00F802DA" w:rsidRPr="00610904">
        <w:rPr>
          <w:noProof w:val="0"/>
          <w:lang w:val="en-US" w:eastAsia="es-ES"/>
        </w:rPr>
        <w:t>when</w:t>
      </w:r>
      <w:r w:rsidR="00662C0E" w:rsidRPr="00610904">
        <w:rPr>
          <w:noProof w:val="0"/>
          <w:lang w:val="en-US" w:eastAsia="es-ES"/>
        </w:rPr>
        <w:t xml:space="preserve"> Talía</w:t>
      </w:r>
      <w:r w:rsidR="00F802DA" w:rsidRPr="00610904">
        <w:rPr>
          <w:noProof w:val="0"/>
          <w:lang w:val="en-US" w:eastAsia="es-ES"/>
        </w:rPr>
        <w:t xml:space="preserve"> was expelled from the public school in September </w:t>
      </w:r>
      <w:r w:rsidR="00662C0E" w:rsidRPr="00610904">
        <w:rPr>
          <w:noProof w:val="0"/>
          <w:lang w:val="en-US" w:eastAsia="es-ES"/>
        </w:rPr>
        <w:t>1999</w:t>
      </w:r>
      <w:r w:rsidR="00AC05AD" w:rsidRPr="00610904">
        <w:rPr>
          <w:noProof w:val="0"/>
          <w:lang w:val="en-US" w:eastAsia="es-ES"/>
        </w:rPr>
        <w:t>.</w:t>
      </w:r>
      <w:r w:rsidR="00662C0E" w:rsidRPr="00610904">
        <w:rPr>
          <w:noProof w:val="0"/>
          <w:lang w:val="en-US" w:eastAsia="es-ES"/>
        </w:rPr>
        <w:t>”</w:t>
      </w:r>
      <w:r w:rsidR="00AC05AD" w:rsidRPr="00610904">
        <w:rPr>
          <w:noProof w:val="0"/>
          <w:lang w:val="en-US" w:eastAsia="es-ES"/>
        </w:rPr>
        <w:t xml:space="preserve"> H</w:t>
      </w:r>
      <w:r w:rsidR="00F802DA" w:rsidRPr="00610904">
        <w:rPr>
          <w:noProof w:val="0"/>
          <w:lang w:val="en-US" w:eastAsia="es-ES"/>
        </w:rPr>
        <w:t>owever, the judge decided to “reject [the</w:t>
      </w:r>
      <w:r w:rsidR="00AC05AD" w:rsidRPr="00610904">
        <w:rPr>
          <w:noProof w:val="0"/>
          <w:lang w:val="en-US" w:eastAsia="es-ES"/>
        </w:rPr>
        <w:t xml:space="preserve"> application] and to order that</w:t>
      </w:r>
      <w:r w:rsidR="00662C0E" w:rsidRPr="00610904">
        <w:rPr>
          <w:b/>
          <w:noProof w:val="0"/>
          <w:lang w:val="en-US" w:eastAsia="es-ES"/>
        </w:rPr>
        <w:t xml:space="preserve"> </w:t>
      </w:r>
      <w:r w:rsidR="00674358" w:rsidRPr="00610904">
        <w:rPr>
          <w:noProof w:val="0"/>
          <w:lang w:val="en-US" w:eastAsia="es-ES"/>
        </w:rPr>
        <w:t>Talí</w:t>
      </w:r>
      <w:r w:rsidR="00F802DA" w:rsidRPr="00610904">
        <w:rPr>
          <w:noProof w:val="0"/>
          <w:lang w:val="en-US" w:eastAsia="es-ES"/>
        </w:rPr>
        <w:t>a should receive distance education,” which mean</w:t>
      </w:r>
      <w:r w:rsidR="00AC05AD" w:rsidRPr="00610904">
        <w:rPr>
          <w:noProof w:val="0"/>
          <w:lang w:val="en-US" w:eastAsia="es-ES"/>
        </w:rPr>
        <w:t>t</w:t>
      </w:r>
      <w:r w:rsidR="00F802DA" w:rsidRPr="00610904">
        <w:rPr>
          <w:noProof w:val="0"/>
          <w:lang w:val="en-US" w:eastAsia="es-ES"/>
        </w:rPr>
        <w:t xml:space="preserve"> that Talía was besieged by Ministry of Education</w:t>
      </w:r>
      <w:r w:rsidR="00AC05AD" w:rsidRPr="00610904">
        <w:rPr>
          <w:noProof w:val="0"/>
          <w:lang w:val="en-US" w:eastAsia="es-ES"/>
        </w:rPr>
        <w:t xml:space="preserve"> officials</w:t>
      </w:r>
      <w:r w:rsidR="00F802DA" w:rsidRPr="00610904">
        <w:rPr>
          <w:noProof w:val="0"/>
          <w:lang w:val="en-US" w:eastAsia="es-ES"/>
        </w:rPr>
        <w:t xml:space="preserve"> who</w:t>
      </w:r>
      <w:r w:rsidR="00AC05AD" w:rsidRPr="00610904">
        <w:rPr>
          <w:noProof w:val="0"/>
          <w:lang w:val="en-US" w:eastAsia="es-ES"/>
        </w:rPr>
        <w:t>,</w:t>
      </w:r>
      <w:r w:rsidR="00F802DA" w:rsidRPr="00610904">
        <w:rPr>
          <w:noProof w:val="0"/>
          <w:lang w:val="en-US" w:eastAsia="es-ES"/>
        </w:rPr>
        <w:t xml:space="preserve"> “instead of helping her, harassed her to ensure that she would not infect other children.” In addition, </w:t>
      </w:r>
      <w:r w:rsidRPr="00610904">
        <w:rPr>
          <w:noProof w:val="0"/>
          <w:lang w:val="en-US" w:eastAsia="es-ES"/>
        </w:rPr>
        <w:t>the representatives</w:t>
      </w:r>
      <w:r w:rsidR="00662C0E" w:rsidRPr="00610904">
        <w:rPr>
          <w:noProof w:val="0"/>
          <w:lang w:val="en-US" w:eastAsia="es-ES"/>
        </w:rPr>
        <w:t xml:space="preserve"> a</w:t>
      </w:r>
      <w:r w:rsidR="00F802DA" w:rsidRPr="00610904">
        <w:rPr>
          <w:noProof w:val="0"/>
          <w:lang w:val="en-US" w:eastAsia="es-ES"/>
        </w:rPr>
        <w:t xml:space="preserve">rgued that “Talía’s higher education has not been without difficulties and consequences owing to the HIV-infected blood transfusion.” Thus, they indicated that </w:t>
      </w:r>
      <w:r w:rsidR="00662C0E" w:rsidRPr="00610904">
        <w:rPr>
          <w:rFonts w:cs="Arial"/>
          <w:noProof w:val="0"/>
          <w:szCs w:val="20"/>
          <w:lang w:val="en-US"/>
        </w:rPr>
        <w:t>Talía</w:t>
      </w:r>
      <w:r w:rsidR="00F802DA" w:rsidRPr="00610904">
        <w:rPr>
          <w:rFonts w:cs="Arial"/>
          <w:noProof w:val="0"/>
          <w:szCs w:val="20"/>
          <w:lang w:val="en-US"/>
        </w:rPr>
        <w:t xml:space="preserve"> could</w:t>
      </w:r>
      <w:r w:rsidR="00662C0E" w:rsidRPr="00610904">
        <w:rPr>
          <w:noProof w:val="0"/>
          <w:lang w:val="en-US" w:eastAsia="es-ES"/>
        </w:rPr>
        <w:t xml:space="preserve"> “</w:t>
      </w:r>
      <w:r w:rsidR="00F802DA" w:rsidRPr="00610904">
        <w:rPr>
          <w:noProof w:val="0"/>
          <w:lang w:val="en-US" w:eastAsia="es-ES"/>
        </w:rPr>
        <w:t xml:space="preserve">not </w:t>
      </w:r>
      <w:r w:rsidR="00856968" w:rsidRPr="00610904">
        <w:rPr>
          <w:noProof w:val="0"/>
          <w:lang w:val="en-US" w:eastAsia="es-ES"/>
        </w:rPr>
        <w:t>enroll</w:t>
      </w:r>
      <w:r w:rsidR="00F802DA" w:rsidRPr="00610904">
        <w:rPr>
          <w:noProof w:val="0"/>
          <w:lang w:val="en-US" w:eastAsia="es-ES"/>
        </w:rPr>
        <w:t xml:space="preserve"> in the university program</w:t>
      </w:r>
      <w:r w:rsidR="00AC05AD" w:rsidRPr="00610904">
        <w:rPr>
          <w:noProof w:val="0"/>
          <w:lang w:val="en-US" w:eastAsia="es-ES"/>
        </w:rPr>
        <w:t xml:space="preserve"> she wanted; she </w:t>
      </w:r>
      <w:proofErr w:type="gramStart"/>
      <w:r w:rsidR="00AC05AD" w:rsidRPr="00610904">
        <w:rPr>
          <w:noProof w:val="0"/>
          <w:lang w:val="en-US" w:eastAsia="es-ES"/>
        </w:rPr>
        <w:t>c[</w:t>
      </w:r>
      <w:proofErr w:type="gramEnd"/>
      <w:r w:rsidR="00AC05AD" w:rsidRPr="00610904">
        <w:rPr>
          <w:noProof w:val="0"/>
          <w:lang w:val="en-US" w:eastAsia="es-ES"/>
        </w:rPr>
        <w:t>ould] not liv</w:t>
      </w:r>
      <w:r w:rsidR="00F802DA" w:rsidRPr="00610904">
        <w:rPr>
          <w:noProof w:val="0"/>
          <w:lang w:val="en-US" w:eastAsia="es-ES"/>
        </w:rPr>
        <w:t xml:space="preserve">e a life with the highest </w:t>
      </w:r>
      <w:r w:rsidR="00AC05AD" w:rsidRPr="00610904">
        <w:rPr>
          <w:noProof w:val="0"/>
          <w:lang w:val="en-US" w:eastAsia="es-ES"/>
        </w:rPr>
        <w:t xml:space="preserve">attainable </w:t>
      </w:r>
      <w:r w:rsidR="00F802DA" w:rsidRPr="00610904">
        <w:rPr>
          <w:noProof w:val="0"/>
          <w:lang w:val="en-US" w:eastAsia="es-ES"/>
        </w:rPr>
        <w:t>well-being, because she [was] unable to choose the type of treatment most appropriate to her health.”</w:t>
      </w:r>
    </w:p>
    <w:p w:rsidR="00662C0E" w:rsidRPr="00610904" w:rsidRDefault="00662C0E" w:rsidP="00610904">
      <w:pPr>
        <w:rPr>
          <w:noProof w:val="0"/>
          <w:lang w:val="en-US" w:eastAsia="es-ES"/>
        </w:rPr>
      </w:pPr>
    </w:p>
    <w:p w:rsidR="003040F7" w:rsidRPr="00610904" w:rsidRDefault="009F3D78" w:rsidP="00610904">
      <w:pPr>
        <w:pStyle w:val="MediumGrid1-Accent21"/>
        <w:numPr>
          <w:ilvl w:val="0"/>
          <w:numId w:val="1"/>
        </w:numPr>
        <w:autoSpaceDE w:val="0"/>
        <w:autoSpaceDN w:val="0"/>
        <w:adjustRightInd w:val="0"/>
        <w:rPr>
          <w:noProof w:val="0"/>
          <w:lang w:val="en-US" w:eastAsia="es-ES"/>
        </w:rPr>
      </w:pPr>
      <w:r w:rsidRPr="00610904">
        <w:rPr>
          <w:noProof w:val="0"/>
          <w:lang w:val="en-US" w:eastAsia="es-ES"/>
        </w:rPr>
        <w:t>The State</w:t>
      </w:r>
      <w:r w:rsidR="00662C0E" w:rsidRPr="00610904">
        <w:rPr>
          <w:noProof w:val="0"/>
          <w:lang w:val="en-US" w:eastAsia="es-ES"/>
        </w:rPr>
        <w:t xml:space="preserve"> </w:t>
      </w:r>
      <w:r w:rsidR="00EF508D" w:rsidRPr="00610904">
        <w:rPr>
          <w:noProof w:val="0"/>
          <w:lang w:val="en-US" w:eastAsia="es-ES"/>
        </w:rPr>
        <w:t>indicated “that the educational policies implemented by State institutions were in keeping with international requirements for the protection and guarantee of rights,” and affirmed that, “in Ecuador, education, even high</w:t>
      </w:r>
      <w:r w:rsidR="00AC05AD" w:rsidRPr="00610904">
        <w:rPr>
          <w:noProof w:val="0"/>
          <w:lang w:val="en-US" w:eastAsia="es-ES"/>
        </w:rPr>
        <w:t>er</w:t>
      </w:r>
      <w:r w:rsidR="00EF508D" w:rsidRPr="00610904">
        <w:rPr>
          <w:noProof w:val="0"/>
          <w:lang w:val="en-US" w:eastAsia="es-ES"/>
        </w:rPr>
        <w:t xml:space="preserve"> education, is free and universal</w:t>
      </w:r>
      <w:r w:rsidR="00AC05AD" w:rsidRPr="00610904">
        <w:rPr>
          <w:noProof w:val="0"/>
          <w:lang w:val="en-US" w:eastAsia="es-ES"/>
        </w:rPr>
        <w:t>,</w:t>
      </w:r>
      <w:r w:rsidR="00EF508D" w:rsidRPr="00610904">
        <w:rPr>
          <w:noProof w:val="0"/>
          <w:lang w:val="en-US" w:eastAsia="es-ES"/>
        </w:rPr>
        <w:t xml:space="preserve"> </w:t>
      </w:r>
      <w:r w:rsidR="00AC05AD" w:rsidRPr="00610904">
        <w:rPr>
          <w:noProof w:val="0"/>
          <w:lang w:val="en-US" w:eastAsia="es-ES"/>
        </w:rPr>
        <w:t>and provides, free of charge,</w:t>
      </w:r>
      <w:r w:rsidR="00EF508D" w:rsidRPr="00610904">
        <w:rPr>
          <w:noProof w:val="0"/>
          <w:lang w:val="en-US" w:eastAsia="es-ES"/>
        </w:rPr>
        <w:t xml:space="preserve"> social </w:t>
      </w:r>
      <w:r w:rsidR="00AC05AD" w:rsidRPr="00610904">
        <w:rPr>
          <w:noProof w:val="0"/>
          <w:lang w:val="en-US" w:eastAsia="es-ES"/>
        </w:rPr>
        <w:t>services</w:t>
      </w:r>
      <w:r w:rsidR="00EF508D" w:rsidRPr="00610904">
        <w:rPr>
          <w:noProof w:val="0"/>
          <w:lang w:val="en-US" w:eastAsia="es-ES"/>
        </w:rPr>
        <w:t xml:space="preserve"> and psychological support.” The State emphasized that “the Constitution prohibits discrimination in the case of HIV carriers,” and the prohibition has also existed “for the last 12 years in </w:t>
      </w:r>
      <w:r w:rsidR="00EF508D" w:rsidRPr="00610904">
        <w:rPr>
          <w:noProof w:val="0"/>
          <w:lang w:val="en-US"/>
        </w:rPr>
        <w:t>the Children’s and Adolescents’ Code</w:t>
      </w:r>
      <w:r w:rsidRPr="00610904">
        <w:rPr>
          <w:noProof w:val="0"/>
          <w:lang w:val="en-US"/>
        </w:rPr>
        <w:t xml:space="preserve"> a</w:t>
      </w:r>
      <w:r w:rsidR="00EF508D" w:rsidRPr="00610904">
        <w:rPr>
          <w:noProof w:val="0"/>
          <w:lang w:val="en-US"/>
        </w:rPr>
        <w:t xml:space="preserve">s well as in the </w:t>
      </w:r>
      <w:r w:rsidR="00567EC5" w:rsidRPr="00610904">
        <w:rPr>
          <w:noProof w:val="0"/>
          <w:lang w:val="en-US"/>
        </w:rPr>
        <w:t>Law for the Prevention and Comprehensive Treatment of HIV/AIDS</w:t>
      </w:r>
      <w:r w:rsidR="00EF508D" w:rsidRPr="00610904">
        <w:rPr>
          <w:noProof w:val="0"/>
          <w:lang w:val="en-US"/>
        </w:rPr>
        <w:t>.”</w:t>
      </w:r>
      <w:r w:rsidR="00662C0E" w:rsidRPr="00610904">
        <w:rPr>
          <w:noProof w:val="0"/>
          <w:lang w:val="en-US"/>
        </w:rPr>
        <w:t xml:space="preserve"> </w:t>
      </w:r>
      <w:r w:rsidRPr="00610904">
        <w:rPr>
          <w:noProof w:val="0"/>
          <w:lang w:val="en-US" w:eastAsia="es-ES"/>
        </w:rPr>
        <w:t>The State</w:t>
      </w:r>
      <w:r w:rsidR="00662C0E" w:rsidRPr="00610904">
        <w:rPr>
          <w:noProof w:val="0"/>
          <w:lang w:val="en-US" w:eastAsia="es-ES"/>
        </w:rPr>
        <w:t xml:space="preserve"> </w:t>
      </w:r>
      <w:r w:rsidR="00EF508D" w:rsidRPr="00610904">
        <w:rPr>
          <w:noProof w:val="0"/>
          <w:lang w:val="en-US" w:eastAsia="es-ES"/>
        </w:rPr>
        <w:t xml:space="preserve">asserted that it had always ensured Talia’s “personal fulfillment [and] this </w:t>
      </w:r>
      <w:proofErr w:type="gramStart"/>
      <w:r w:rsidR="00EF508D" w:rsidRPr="00610904">
        <w:rPr>
          <w:noProof w:val="0"/>
          <w:lang w:val="en-US" w:eastAsia="es-ES"/>
        </w:rPr>
        <w:t>c[</w:t>
      </w:r>
      <w:proofErr w:type="gramEnd"/>
      <w:r w:rsidR="00EF508D" w:rsidRPr="00610904">
        <w:rPr>
          <w:noProof w:val="0"/>
          <w:lang w:val="en-US" w:eastAsia="es-ES"/>
        </w:rPr>
        <w:t xml:space="preserve">ould] be corroborated by the fact that, even in the face of the numerous difficulties inherent in her </w:t>
      </w:r>
      <w:r w:rsidR="00404EE1" w:rsidRPr="00610904">
        <w:rPr>
          <w:noProof w:val="0"/>
          <w:lang w:val="en-US" w:eastAsia="es-ES"/>
        </w:rPr>
        <w:t>health status</w:t>
      </w:r>
      <w:r w:rsidR="00EF508D" w:rsidRPr="00610904">
        <w:rPr>
          <w:noProof w:val="0"/>
          <w:lang w:val="en-US" w:eastAsia="es-ES"/>
        </w:rPr>
        <w:t xml:space="preserve">, she </w:t>
      </w:r>
      <w:r w:rsidR="00EF508D" w:rsidRPr="00610904">
        <w:rPr>
          <w:noProof w:val="0"/>
          <w:lang w:val="en-US" w:eastAsia="es-ES"/>
        </w:rPr>
        <w:lastRenderedPageBreak/>
        <w:t xml:space="preserve">was able to study and complete both basic and secondary education in public and private establishments regulated by the State and, by her own efforts, was an outstanding student.” In this regard, it placed on record that, “in their brief, the representatives themselves recognize that Talía is enrolled in the university studying for a degree in design.” In addition, with regard to the application for constitutional protection, the State argued that “the application was </w:t>
      </w:r>
      <w:r w:rsidR="00AC05AD" w:rsidRPr="00610904">
        <w:rPr>
          <w:noProof w:val="0"/>
          <w:lang w:val="en-US" w:eastAsia="es-ES"/>
        </w:rPr>
        <w:t>filed</w:t>
      </w:r>
      <w:r w:rsidR="00EF508D" w:rsidRPr="00610904">
        <w:rPr>
          <w:noProof w:val="0"/>
          <w:lang w:val="en-US" w:eastAsia="es-ES"/>
        </w:rPr>
        <w:t xml:space="preserve"> under the sponsorship of the Ombudsman”; it therefore considered that, even though “the sphere of action of the </w:t>
      </w:r>
      <w:r w:rsidR="00AC05AD" w:rsidRPr="00610904">
        <w:rPr>
          <w:i/>
          <w:noProof w:val="0"/>
          <w:lang w:val="en-US" w:eastAsia="es-ES"/>
        </w:rPr>
        <w:t>a</w:t>
      </w:r>
      <w:r w:rsidR="009E7834" w:rsidRPr="00610904">
        <w:rPr>
          <w:i/>
          <w:noProof w:val="0"/>
          <w:lang w:val="en-US" w:eastAsia="es-ES"/>
        </w:rPr>
        <w:t>mparo</w:t>
      </w:r>
      <w:r w:rsidR="00EF508D" w:rsidRPr="00610904">
        <w:rPr>
          <w:noProof w:val="0"/>
          <w:lang w:val="en-US" w:eastAsia="es-ES"/>
        </w:rPr>
        <w:t xml:space="preserve"> as it was conceived in 1998 was restricted</w:t>
      </w:r>
      <w:r w:rsidR="00AC05AD" w:rsidRPr="00610904">
        <w:rPr>
          <w:noProof w:val="0"/>
          <w:lang w:val="en-US" w:eastAsia="es-ES"/>
        </w:rPr>
        <w:t>,</w:t>
      </w:r>
      <w:r w:rsidR="00EF508D" w:rsidRPr="00610904">
        <w:rPr>
          <w:noProof w:val="0"/>
          <w:lang w:val="en-US" w:eastAsia="es-ES"/>
        </w:rPr>
        <w:t xml:space="preserve"> compared to the constitutional scope </w:t>
      </w:r>
      <w:r w:rsidR="00AC05AD" w:rsidRPr="00610904">
        <w:rPr>
          <w:noProof w:val="0"/>
          <w:lang w:val="en-US" w:eastAsia="es-ES"/>
        </w:rPr>
        <w:t>established</w:t>
      </w:r>
      <w:r w:rsidR="00EF508D" w:rsidRPr="00610904">
        <w:rPr>
          <w:noProof w:val="0"/>
          <w:lang w:val="en-US" w:eastAsia="es-ES"/>
        </w:rPr>
        <w:t xml:space="preserve"> in 2008,” it was clear that “</w:t>
      </w:r>
      <w:r w:rsidR="00662C0E" w:rsidRPr="00610904">
        <w:rPr>
          <w:noProof w:val="0"/>
          <w:lang w:val="en-US" w:eastAsia="es-ES"/>
        </w:rPr>
        <w:t xml:space="preserve">Teresa Lluy </w:t>
      </w:r>
      <w:r w:rsidR="00EF508D" w:rsidRPr="00610904">
        <w:rPr>
          <w:noProof w:val="0"/>
          <w:lang w:val="en-US" w:eastAsia="es-ES"/>
        </w:rPr>
        <w:t>had the institutional support of the State when</w:t>
      </w:r>
      <w:r w:rsidR="00AC05AD" w:rsidRPr="00610904">
        <w:rPr>
          <w:noProof w:val="0"/>
          <w:lang w:val="en-US" w:eastAsia="es-ES"/>
        </w:rPr>
        <w:t xml:space="preserve"> </w:t>
      </w:r>
      <w:r w:rsidR="00EF508D" w:rsidRPr="00610904">
        <w:rPr>
          <w:noProof w:val="0"/>
          <w:lang w:val="en-US" w:eastAsia="es-ES"/>
        </w:rPr>
        <w:t xml:space="preserve">filing the application to protect the rights of her </w:t>
      </w:r>
      <w:r w:rsidR="00856968" w:rsidRPr="00610904">
        <w:rPr>
          <w:noProof w:val="0"/>
          <w:lang w:val="en-US" w:eastAsia="es-ES"/>
        </w:rPr>
        <w:t>daughter</w:t>
      </w:r>
      <w:r w:rsidR="00EF508D" w:rsidRPr="00610904">
        <w:rPr>
          <w:noProof w:val="0"/>
          <w:lang w:val="en-US" w:eastAsia="es-ES"/>
        </w:rPr>
        <w:t>.” On this point, it indicated that some of the testimonies did “no</w:t>
      </w:r>
      <w:r w:rsidR="00AC05AD" w:rsidRPr="00610904">
        <w:rPr>
          <w:noProof w:val="0"/>
          <w:lang w:val="en-US" w:eastAsia="es-ES"/>
        </w:rPr>
        <w:t>t provide any information that w</w:t>
      </w:r>
      <w:r w:rsidR="00EF508D" w:rsidRPr="00610904">
        <w:rPr>
          <w:noProof w:val="0"/>
          <w:lang w:val="en-US" w:eastAsia="es-ES"/>
        </w:rPr>
        <w:t xml:space="preserve">ould allow the State to </w:t>
      </w:r>
      <w:r w:rsidR="00AC05AD" w:rsidRPr="00610904">
        <w:rPr>
          <w:noProof w:val="0"/>
          <w:lang w:val="en-US" w:eastAsia="es-ES"/>
        </w:rPr>
        <w:t>conduct an</w:t>
      </w:r>
      <w:r w:rsidR="00EF508D" w:rsidRPr="00610904">
        <w:rPr>
          <w:noProof w:val="0"/>
          <w:lang w:val="en-US" w:eastAsia="es-ES"/>
        </w:rPr>
        <w:t xml:space="preserve"> investigation to determine the alleged discriminatory act.” In addition, the State argued that, in this case, the discrimination was not caused by the intervention of decisions and practices of State agents, but rather at the social level in relation to a community that is still not prepared to understand persons with HIV/AIDS and assimilate them culturally. Lastly, the State argued that the </w:t>
      </w:r>
      <w:proofErr w:type="gramStart"/>
      <w:r w:rsidR="00EF508D" w:rsidRPr="00610904">
        <w:rPr>
          <w:noProof w:val="0"/>
          <w:lang w:val="en-US" w:eastAsia="es-ES"/>
        </w:rPr>
        <w:t xml:space="preserve">efforts of the </w:t>
      </w:r>
      <w:r w:rsidR="00830022" w:rsidRPr="00610904">
        <w:rPr>
          <w:noProof w:val="0"/>
          <w:szCs w:val="20"/>
          <w:lang w:val="en-US"/>
        </w:rPr>
        <w:t>Ministry of Public Health</w:t>
      </w:r>
      <w:r w:rsidRPr="00610904">
        <w:rPr>
          <w:noProof w:val="0"/>
          <w:szCs w:val="20"/>
          <w:lang w:val="en-US"/>
        </w:rPr>
        <w:t xml:space="preserve"> and </w:t>
      </w:r>
      <w:r w:rsidR="00EF508D" w:rsidRPr="00610904">
        <w:rPr>
          <w:noProof w:val="0"/>
          <w:szCs w:val="20"/>
          <w:lang w:val="en-US"/>
        </w:rPr>
        <w:t>of the Ministry of Education in the area of information and promotion of a culture against discrimination is</w:t>
      </w:r>
      <w:proofErr w:type="gramEnd"/>
      <w:r w:rsidR="00EF508D" w:rsidRPr="00610904">
        <w:rPr>
          <w:noProof w:val="0"/>
          <w:szCs w:val="20"/>
          <w:lang w:val="en-US"/>
        </w:rPr>
        <w:t xml:space="preserve"> having a measurable impact in the country</w:t>
      </w:r>
      <w:r w:rsidR="00662C0E" w:rsidRPr="00610904">
        <w:rPr>
          <w:noProof w:val="0"/>
          <w:szCs w:val="20"/>
          <w:lang w:val="en-US"/>
        </w:rPr>
        <w:t>.</w:t>
      </w:r>
    </w:p>
    <w:p w:rsidR="003040F7" w:rsidRPr="00610904" w:rsidRDefault="003040F7" w:rsidP="00610904">
      <w:pPr>
        <w:pStyle w:val="MediumGrid1-Accent21"/>
        <w:autoSpaceDE w:val="0"/>
        <w:autoSpaceDN w:val="0"/>
        <w:adjustRightInd w:val="0"/>
        <w:ind w:left="0"/>
        <w:rPr>
          <w:noProof w:val="0"/>
          <w:lang w:val="en-US" w:eastAsia="es-ES"/>
        </w:rPr>
      </w:pPr>
    </w:p>
    <w:p w:rsidR="003040F7" w:rsidRPr="00610904" w:rsidRDefault="00A8072E" w:rsidP="00610904">
      <w:pPr>
        <w:ind w:left="450"/>
        <w:rPr>
          <w:i/>
          <w:noProof w:val="0"/>
          <w:lang w:val="en-US"/>
        </w:rPr>
      </w:pPr>
      <w:bookmarkStart w:id="106" w:name="_Toc404770073"/>
      <w:bookmarkStart w:id="107" w:name="_Toc422932665"/>
      <w:r w:rsidRPr="00610904">
        <w:rPr>
          <w:i/>
          <w:noProof w:val="0"/>
          <w:lang w:val="en-US"/>
        </w:rPr>
        <w:t>Considerations</w:t>
      </w:r>
      <w:r w:rsidR="009F3D78" w:rsidRPr="00610904">
        <w:rPr>
          <w:i/>
          <w:noProof w:val="0"/>
          <w:lang w:val="en-US"/>
        </w:rPr>
        <w:t xml:space="preserve"> of the Court</w:t>
      </w:r>
      <w:bookmarkEnd w:id="106"/>
      <w:bookmarkEnd w:id="107"/>
    </w:p>
    <w:p w:rsidR="003040F7" w:rsidRPr="00610904" w:rsidRDefault="003040F7" w:rsidP="00610904">
      <w:pPr>
        <w:pStyle w:val="MediumGrid1-Accent21"/>
        <w:rPr>
          <w:noProof w:val="0"/>
          <w:lang w:val="en-US"/>
        </w:rPr>
      </w:pPr>
    </w:p>
    <w:p w:rsidR="003040F7" w:rsidRPr="00610904" w:rsidRDefault="00EF508D" w:rsidP="00610904">
      <w:pPr>
        <w:pStyle w:val="MediumGrid1-Accent21"/>
        <w:numPr>
          <w:ilvl w:val="0"/>
          <w:numId w:val="1"/>
        </w:numPr>
        <w:contextualSpacing w:val="0"/>
        <w:rPr>
          <w:noProof w:val="0"/>
          <w:lang w:val="en-US"/>
        </w:rPr>
      </w:pPr>
      <w:r w:rsidRPr="00610904">
        <w:rPr>
          <w:rFonts w:cs="Tahoma"/>
          <w:noProof w:val="0"/>
          <w:lang w:val="en-US"/>
        </w:rPr>
        <w:t xml:space="preserve">In this case, there is a dispute about the possible violation </w:t>
      </w:r>
      <w:r w:rsidR="00D80BC2" w:rsidRPr="00610904">
        <w:rPr>
          <w:rFonts w:cs="Tahoma"/>
          <w:noProof w:val="0"/>
          <w:lang w:val="en-US"/>
        </w:rPr>
        <w:t xml:space="preserve">of the </w:t>
      </w:r>
      <w:r w:rsidR="0013395A" w:rsidRPr="00610904">
        <w:rPr>
          <w:rFonts w:cs="Tahoma"/>
          <w:noProof w:val="0"/>
          <w:lang w:val="en-US"/>
        </w:rPr>
        <w:t>right to education</w:t>
      </w:r>
      <w:r w:rsidRPr="00610904">
        <w:rPr>
          <w:rFonts w:cs="Tahoma"/>
          <w:noProof w:val="0"/>
          <w:lang w:val="en-US"/>
        </w:rPr>
        <w:t xml:space="preserve">, taking into account that Talía was dismissed from a school owing to the assumption that she could endanger the integrity of her companions. In order to decide the dispute between the parties on </w:t>
      </w:r>
      <w:proofErr w:type="gramStart"/>
      <w:r w:rsidRPr="00610904">
        <w:rPr>
          <w:rFonts w:cs="Tahoma"/>
          <w:noProof w:val="0"/>
          <w:lang w:val="en-US"/>
        </w:rPr>
        <w:t>these point</w:t>
      </w:r>
      <w:proofErr w:type="gramEnd"/>
      <w:r w:rsidRPr="00610904">
        <w:rPr>
          <w:rFonts w:cs="Tahoma"/>
          <w:noProof w:val="0"/>
          <w:lang w:val="en-US"/>
        </w:rPr>
        <w:t>, the Court will examine: (a) the</w:t>
      </w:r>
      <w:r w:rsidR="003040F7" w:rsidRPr="00610904">
        <w:rPr>
          <w:rFonts w:cs="Tahoma"/>
          <w:noProof w:val="0"/>
          <w:lang w:val="en-US"/>
        </w:rPr>
        <w:t xml:space="preserve"> </w:t>
      </w:r>
      <w:r w:rsidRPr="00610904">
        <w:rPr>
          <w:rFonts w:cs="Tahoma"/>
          <w:noProof w:val="0"/>
          <w:lang w:val="en-US"/>
        </w:rPr>
        <w:t>r</w:t>
      </w:r>
      <w:r w:rsidR="0013395A" w:rsidRPr="00610904">
        <w:rPr>
          <w:rFonts w:cs="Tahoma"/>
          <w:noProof w:val="0"/>
          <w:lang w:val="en-US"/>
        </w:rPr>
        <w:t>elevant implication</w:t>
      </w:r>
      <w:r w:rsidR="009A0304" w:rsidRPr="00610904">
        <w:rPr>
          <w:rFonts w:cs="Tahoma"/>
          <w:noProof w:val="0"/>
          <w:lang w:val="en-US"/>
        </w:rPr>
        <w:t>s of the right to education in</w:t>
      </w:r>
      <w:r w:rsidR="0013395A" w:rsidRPr="00610904">
        <w:rPr>
          <w:rFonts w:cs="Tahoma"/>
          <w:noProof w:val="0"/>
          <w:lang w:val="en-US"/>
        </w:rPr>
        <w:t xml:space="preserve"> this case</w:t>
      </w:r>
      <w:r w:rsidR="003040F7" w:rsidRPr="00610904">
        <w:rPr>
          <w:rFonts w:cs="Tahoma"/>
          <w:noProof w:val="0"/>
          <w:lang w:val="en-US"/>
        </w:rPr>
        <w:t>,</w:t>
      </w:r>
      <w:r w:rsidR="009F3D78" w:rsidRPr="00610904">
        <w:rPr>
          <w:rFonts w:cs="Tahoma"/>
          <w:noProof w:val="0"/>
          <w:lang w:val="en-US"/>
        </w:rPr>
        <w:t xml:space="preserve"> and </w:t>
      </w:r>
      <w:r w:rsidRPr="00610904">
        <w:rPr>
          <w:rFonts w:cs="Tahoma"/>
          <w:noProof w:val="0"/>
          <w:lang w:val="en-US"/>
        </w:rPr>
        <w:t xml:space="preserve">(b) the violation of the right to remain in the </w:t>
      </w:r>
      <w:r w:rsidR="001A2523" w:rsidRPr="00610904">
        <w:rPr>
          <w:rFonts w:cs="Tahoma"/>
          <w:noProof w:val="0"/>
          <w:lang w:val="en-US"/>
        </w:rPr>
        <w:t>education system</w:t>
      </w:r>
      <w:r w:rsidRPr="00610904">
        <w:rPr>
          <w:rFonts w:cs="Tahoma"/>
          <w:noProof w:val="0"/>
          <w:lang w:val="en-US"/>
        </w:rPr>
        <w:t xml:space="preserve">, the right not to be discriminated against, and adaptability in relation to the </w:t>
      </w:r>
      <w:r w:rsidR="007D72DC" w:rsidRPr="00610904">
        <w:rPr>
          <w:rFonts w:cs="Tahoma"/>
          <w:noProof w:val="0"/>
          <w:lang w:val="en-US"/>
        </w:rPr>
        <w:t>right to education</w:t>
      </w:r>
      <w:r w:rsidR="003040F7" w:rsidRPr="00610904">
        <w:rPr>
          <w:rFonts w:cs="Tahoma"/>
          <w:noProof w:val="0"/>
          <w:lang w:val="en-US"/>
        </w:rPr>
        <w:t>.</w:t>
      </w:r>
    </w:p>
    <w:p w:rsidR="003040F7" w:rsidRPr="00610904" w:rsidRDefault="003040F7" w:rsidP="00610904">
      <w:pPr>
        <w:rPr>
          <w:rFonts w:cs="Tahoma"/>
          <w:noProof w:val="0"/>
          <w:szCs w:val="20"/>
          <w:lang w:val="en-US"/>
        </w:rPr>
      </w:pPr>
    </w:p>
    <w:p w:rsidR="007D413B" w:rsidRPr="00610904" w:rsidRDefault="007D413B" w:rsidP="00610904">
      <w:pPr>
        <w:pStyle w:val="Heading2"/>
        <w:numPr>
          <w:ilvl w:val="0"/>
          <w:numId w:val="0"/>
        </w:numPr>
        <w:spacing w:before="0" w:after="0"/>
        <w:ind w:left="720" w:hanging="360"/>
        <w:rPr>
          <w:noProof w:val="0"/>
          <w:lang w:val="en-US"/>
        </w:rPr>
      </w:pPr>
      <w:bookmarkStart w:id="108" w:name="_Toc429519504"/>
      <w:bookmarkStart w:id="109" w:name="_Toc443399103"/>
      <w:r w:rsidRPr="00610904">
        <w:rPr>
          <w:noProof w:val="0"/>
          <w:lang w:val="en-US"/>
        </w:rPr>
        <w:t xml:space="preserve">A. </w:t>
      </w:r>
      <w:r w:rsidR="009A0304" w:rsidRPr="00610904">
        <w:rPr>
          <w:noProof w:val="0"/>
          <w:lang w:val="en-US"/>
        </w:rPr>
        <w:t>The relevant implications of</w:t>
      </w:r>
      <w:r w:rsidR="0013395A" w:rsidRPr="00610904">
        <w:rPr>
          <w:noProof w:val="0"/>
          <w:lang w:val="en-US"/>
        </w:rPr>
        <w:t xml:space="preserve"> the right to </w:t>
      </w:r>
      <w:r w:rsidR="009A0304" w:rsidRPr="00610904">
        <w:rPr>
          <w:noProof w:val="0"/>
          <w:lang w:val="en-US"/>
        </w:rPr>
        <w:t>education in this case:</w:t>
      </w:r>
      <w:r w:rsidRPr="00610904">
        <w:rPr>
          <w:noProof w:val="0"/>
          <w:lang w:val="en-US"/>
        </w:rPr>
        <w:t xml:space="preserve"> </w:t>
      </w:r>
      <w:r w:rsidR="0013395A" w:rsidRPr="00610904">
        <w:rPr>
          <w:noProof w:val="0"/>
          <w:lang w:val="en-US"/>
        </w:rPr>
        <w:t xml:space="preserve">the right to education of persons with </w:t>
      </w:r>
      <w:r w:rsidR="00EF508D" w:rsidRPr="00610904">
        <w:rPr>
          <w:noProof w:val="0"/>
          <w:lang w:val="en-US"/>
        </w:rPr>
        <w:t>medical conditions such as HIV/AIDS that could result in disabilities</w:t>
      </w:r>
      <w:bookmarkEnd w:id="108"/>
      <w:bookmarkEnd w:id="109"/>
      <w:r w:rsidRPr="00610904">
        <w:rPr>
          <w:noProof w:val="0"/>
          <w:lang w:val="en-US"/>
        </w:rPr>
        <w:t xml:space="preserve">    </w:t>
      </w:r>
    </w:p>
    <w:p w:rsidR="007D413B" w:rsidRPr="00610904" w:rsidRDefault="007D413B" w:rsidP="00610904">
      <w:pPr>
        <w:rPr>
          <w:noProof w:val="0"/>
          <w:lang w:val="en-US"/>
        </w:rPr>
      </w:pPr>
    </w:p>
    <w:p w:rsidR="007D413B" w:rsidRPr="00610904" w:rsidRDefault="0013395A" w:rsidP="00610904">
      <w:pPr>
        <w:numPr>
          <w:ilvl w:val="0"/>
          <w:numId w:val="1"/>
        </w:numPr>
        <w:rPr>
          <w:noProof w:val="0"/>
          <w:lang w:val="en-US"/>
        </w:rPr>
      </w:pPr>
      <w:r w:rsidRPr="00610904">
        <w:rPr>
          <w:noProof w:val="0"/>
          <w:lang w:val="en-US"/>
        </w:rPr>
        <w:t xml:space="preserve">The right to education is contained in </w:t>
      </w:r>
      <w:r w:rsidR="009F3D78" w:rsidRPr="00610904">
        <w:rPr>
          <w:noProof w:val="0"/>
          <w:lang w:val="en-US"/>
        </w:rPr>
        <w:t>Article</w:t>
      </w:r>
      <w:r w:rsidR="007D413B" w:rsidRPr="00610904">
        <w:rPr>
          <w:noProof w:val="0"/>
          <w:lang w:val="en-US"/>
        </w:rPr>
        <w:t xml:space="preserve"> 13 </w:t>
      </w:r>
      <w:r w:rsidRPr="00610904">
        <w:rPr>
          <w:noProof w:val="0"/>
          <w:lang w:val="en-US"/>
        </w:rPr>
        <w:t>of the</w:t>
      </w:r>
      <w:r w:rsidR="007D413B" w:rsidRPr="00610904">
        <w:rPr>
          <w:noProof w:val="0"/>
          <w:lang w:val="en-US"/>
        </w:rPr>
        <w:t xml:space="preserve"> </w:t>
      </w:r>
      <w:r w:rsidR="00852A2E" w:rsidRPr="00610904">
        <w:rPr>
          <w:noProof w:val="0"/>
          <w:lang w:val="en-US"/>
        </w:rPr>
        <w:t>Protocol of</w:t>
      </w:r>
      <w:r w:rsidR="007D413B" w:rsidRPr="00610904">
        <w:rPr>
          <w:noProof w:val="0"/>
          <w:lang w:val="en-US"/>
        </w:rPr>
        <w:t xml:space="preserve"> San Salvador</w:t>
      </w:r>
      <w:r w:rsidRPr="00610904">
        <w:rPr>
          <w:noProof w:val="0"/>
          <w:lang w:val="en-US"/>
        </w:rPr>
        <w:t>.</w:t>
      </w:r>
      <w:r w:rsidR="007D413B" w:rsidRPr="00610904">
        <w:rPr>
          <w:rStyle w:val="FootnoteReference"/>
          <w:noProof w:val="0"/>
          <w:lang w:val="en-US"/>
        </w:rPr>
        <w:footnoteReference w:id="263"/>
      </w:r>
      <w:r w:rsidR="007D413B" w:rsidRPr="00610904">
        <w:rPr>
          <w:noProof w:val="0"/>
          <w:lang w:val="en-US"/>
        </w:rPr>
        <w:t xml:space="preserve"> </w:t>
      </w:r>
      <w:r w:rsidR="009F3D78" w:rsidRPr="00610904">
        <w:rPr>
          <w:noProof w:val="0"/>
          <w:lang w:val="en-US"/>
        </w:rPr>
        <w:t>The Court</w:t>
      </w:r>
      <w:r w:rsidR="007D413B" w:rsidRPr="00610904">
        <w:rPr>
          <w:noProof w:val="0"/>
          <w:lang w:val="en-US"/>
        </w:rPr>
        <w:t xml:space="preserve"> </w:t>
      </w:r>
      <w:r w:rsidR="00EF508D" w:rsidRPr="00610904">
        <w:rPr>
          <w:noProof w:val="0"/>
          <w:lang w:val="en-US"/>
        </w:rPr>
        <w:t xml:space="preserve">has competence to decide on contentious cases concerning this right based on </w:t>
      </w:r>
      <w:r w:rsidR="006E502B" w:rsidRPr="00610904">
        <w:rPr>
          <w:noProof w:val="0"/>
          <w:lang w:val="en-US"/>
        </w:rPr>
        <w:t>Article</w:t>
      </w:r>
      <w:r w:rsidR="007D413B" w:rsidRPr="00610904">
        <w:rPr>
          <w:noProof w:val="0"/>
          <w:lang w:val="en-US"/>
        </w:rPr>
        <w:t xml:space="preserve"> 19(6) </w:t>
      </w:r>
      <w:r w:rsidRPr="00610904">
        <w:rPr>
          <w:noProof w:val="0"/>
          <w:lang w:val="en-US"/>
        </w:rPr>
        <w:t>of the Protocol</w:t>
      </w:r>
      <w:r w:rsidR="00EF508D" w:rsidRPr="00610904">
        <w:rPr>
          <w:noProof w:val="0"/>
          <w:lang w:val="en-US"/>
        </w:rPr>
        <w:t>.</w:t>
      </w:r>
      <w:r w:rsidR="007D413B" w:rsidRPr="00610904">
        <w:rPr>
          <w:rStyle w:val="FootnoteReference"/>
          <w:noProof w:val="0"/>
          <w:lang w:val="en-US"/>
        </w:rPr>
        <w:footnoteReference w:id="264"/>
      </w:r>
      <w:r w:rsidR="00EF508D" w:rsidRPr="00610904">
        <w:rPr>
          <w:noProof w:val="0"/>
          <w:lang w:val="en-US"/>
        </w:rPr>
        <w:t xml:space="preserve"> Also, this right is established in var</w:t>
      </w:r>
      <w:r w:rsidR="009A0304" w:rsidRPr="00610904">
        <w:rPr>
          <w:noProof w:val="0"/>
          <w:lang w:val="en-US"/>
        </w:rPr>
        <w:t>i</w:t>
      </w:r>
      <w:r w:rsidR="00EF508D" w:rsidRPr="00610904">
        <w:rPr>
          <w:noProof w:val="0"/>
          <w:lang w:val="en-US"/>
        </w:rPr>
        <w:t>ous international instrument</w:t>
      </w:r>
      <w:r w:rsidR="009A0304" w:rsidRPr="00610904">
        <w:rPr>
          <w:noProof w:val="0"/>
          <w:lang w:val="en-US"/>
        </w:rPr>
        <w:t>s</w:t>
      </w:r>
      <w:r w:rsidR="00EF508D" w:rsidRPr="00610904">
        <w:rPr>
          <w:noProof w:val="0"/>
          <w:lang w:val="en-US"/>
        </w:rPr>
        <w:t>.</w:t>
      </w:r>
      <w:r w:rsidR="007D413B" w:rsidRPr="00610904">
        <w:rPr>
          <w:rStyle w:val="FootnoteReference"/>
          <w:noProof w:val="0"/>
          <w:lang w:val="en-US"/>
        </w:rPr>
        <w:footnoteReference w:id="265"/>
      </w:r>
      <w:r w:rsidR="00EF508D" w:rsidRPr="00610904">
        <w:rPr>
          <w:noProof w:val="0"/>
          <w:lang w:val="en-US"/>
        </w:rPr>
        <w:t xml:space="preserve"> </w:t>
      </w:r>
      <w:r w:rsidR="009A0304" w:rsidRPr="00610904">
        <w:rPr>
          <w:noProof w:val="0"/>
          <w:lang w:val="en-US"/>
        </w:rPr>
        <w:lastRenderedPageBreak/>
        <w:t>Moreover</w:t>
      </w:r>
      <w:r w:rsidR="00EF508D" w:rsidRPr="00610904">
        <w:rPr>
          <w:noProof w:val="0"/>
          <w:lang w:val="en-US"/>
        </w:rPr>
        <w:t>,</w:t>
      </w:r>
      <w:r w:rsidR="007D413B" w:rsidRPr="00610904">
        <w:rPr>
          <w:noProof w:val="0"/>
          <w:lang w:val="en-US"/>
        </w:rPr>
        <w:t xml:space="preserve"> </w:t>
      </w:r>
      <w:r w:rsidRPr="00610904">
        <w:rPr>
          <w:noProof w:val="0"/>
          <w:lang w:val="en-US"/>
        </w:rPr>
        <w:t>the Committee on Economic, Social and Cultural Rights</w:t>
      </w:r>
      <w:r w:rsidR="007D413B" w:rsidRPr="00610904">
        <w:rPr>
          <w:noProof w:val="0"/>
          <w:lang w:val="en-US"/>
        </w:rPr>
        <w:t xml:space="preserve"> ha</w:t>
      </w:r>
      <w:r w:rsidR="00EF508D" w:rsidRPr="00610904">
        <w:rPr>
          <w:noProof w:val="0"/>
          <w:lang w:val="en-US"/>
        </w:rPr>
        <w:t xml:space="preserve">s emphasized that </w:t>
      </w:r>
      <w:r w:rsidRPr="00610904">
        <w:rPr>
          <w:noProof w:val="0"/>
          <w:lang w:val="en-US"/>
        </w:rPr>
        <w:t>the right to education</w:t>
      </w:r>
      <w:r w:rsidR="00EF508D" w:rsidRPr="00610904">
        <w:rPr>
          <w:noProof w:val="0"/>
          <w:lang w:val="en-US"/>
        </w:rPr>
        <w:t xml:space="preserve"> is the epitome of the indivisibility and interdependence </w:t>
      </w:r>
      <w:r w:rsidR="00391F07" w:rsidRPr="00610904">
        <w:rPr>
          <w:noProof w:val="0"/>
          <w:lang w:val="en-US"/>
        </w:rPr>
        <w:t>of</w:t>
      </w:r>
      <w:r w:rsidR="0076589E">
        <w:rPr>
          <w:noProof w:val="0"/>
          <w:lang w:val="en-US"/>
        </w:rPr>
        <w:t xml:space="preserve"> all human rights, and that “E</w:t>
      </w:r>
      <w:r w:rsidR="00EF508D" w:rsidRPr="00610904">
        <w:rPr>
          <w:noProof w:val="0"/>
          <w:lang w:val="en-US"/>
        </w:rPr>
        <w:t xml:space="preserve">ducation </w:t>
      </w:r>
      <w:r w:rsidR="009A0304" w:rsidRPr="00610904">
        <w:rPr>
          <w:noProof w:val="0"/>
          <w:lang w:val="en-US"/>
        </w:rPr>
        <w:t xml:space="preserve">is </w:t>
      </w:r>
      <w:r w:rsidR="00391F07" w:rsidRPr="00610904">
        <w:rPr>
          <w:noProof w:val="0"/>
          <w:lang w:val="en-US"/>
        </w:rPr>
        <w:t>both a human right in itself and</w:t>
      </w:r>
      <w:r w:rsidR="00EF508D" w:rsidRPr="00610904">
        <w:rPr>
          <w:noProof w:val="0"/>
          <w:lang w:val="en-US"/>
        </w:rPr>
        <w:t xml:space="preserve"> an </w:t>
      </w:r>
      <w:r w:rsidR="00391F07" w:rsidRPr="00610904">
        <w:rPr>
          <w:noProof w:val="0"/>
          <w:lang w:val="en-US"/>
        </w:rPr>
        <w:t xml:space="preserve">indispensable </w:t>
      </w:r>
      <w:r w:rsidR="00EF508D" w:rsidRPr="00610904">
        <w:rPr>
          <w:noProof w:val="0"/>
          <w:lang w:val="en-US"/>
        </w:rPr>
        <w:t>means of r</w:t>
      </w:r>
      <w:r w:rsidR="00391F07" w:rsidRPr="00610904">
        <w:rPr>
          <w:noProof w:val="0"/>
          <w:lang w:val="en-US"/>
        </w:rPr>
        <w:t>e</w:t>
      </w:r>
      <w:r w:rsidR="00EF508D" w:rsidRPr="00610904">
        <w:rPr>
          <w:noProof w:val="0"/>
          <w:lang w:val="en-US"/>
        </w:rPr>
        <w:t>alizing other hu</w:t>
      </w:r>
      <w:r w:rsidR="00391F07" w:rsidRPr="00610904">
        <w:rPr>
          <w:noProof w:val="0"/>
          <w:lang w:val="en-US"/>
        </w:rPr>
        <w:t>m</w:t>
      </w:r>
      <w:r w:rsidR="00EF508D" w:rsidRPr="00610904">
        <w:rPr>
          <w:noProof w:val="0"/>
          <w:lang w:val="en-US"/>
        </w:rPr>
        <w:t>an rights.</w:t>
      </w:r>
      <w:r w:rsidR="007D413B" w:rsidRPr="00610904">
        <w:rPr>
          <w:noProof w:val="0"/>
          <w:lang w:val="en-US"/>
        </w:rPr>
        <w:t>”</w:t>
      </w:r>
      <w:r w:rsidR="007D413B" w:rsidRPr="00610904">
        <w:rPr>
          <w:rStyle w:val="FootnoteReference"/>
          <w:noProof w:val="0"/>
          <w:lang w:val="en-US"/>
        </w:rPr>
        <w:footnoteReference w:id="266"/>
      </w:r>
    </w:p>
    <w:p w:rsidR="007D413B" w:rsidRPr="00610904" w:rsidRDefault="007D413B" w:rsidP="00610904">
      <w:pPr>
        <w:rPr>
          <w:noProof w:val="0"/>
          <w:lang w:val="en-US"/>
        </w:rPr>
      </w:pPr>
    </w:p>
    <w:p w:rsidR="007D413B" w:rsidRPr="00610904" w:rsidRDefault="00EF508D" w:rsidP="003D3ABA">
      <w:pPr>
        <w:numPr>
          <w:ilvl w:val="0"/>
          <w:numId w:val="1"/>
        </w:numPr>
        <w:ind w:right="25"/>
        <w:contextualSpacing/>
        <w:rPr>
          <w:noProof w:val="0"/>
          <w:lang w:val="en-US"/>
        </w:rPr>
      </w:pPr>
      <w:r w:rsidRPr="00610904">
        <w:rPr>
          <w:noProof w:val="0"/>
          <w:lang w:val="en-US"/>
        </w:rPr>
        <w:t xml:space="preserve">Furthermore, </w:t>
      </w:r>
      <w:r w:rsidR="0013395A" w:rsidRPr="00610904">
        <w:rPr>
          <w:noProof w:val="0"/>
          <w:lang w:val="en-US"/>
        </w:rPr>
        <w:t>the Committee on Economic, Social and Cultural Rights</w:t>
      </w:r>
      <w:r w:rsidR="007D413B" w:rsidRPr="00610904">
        <w:rPr>
          <w:noProof w:val="0"/>
          <w:lang w:val="en-US"/>
        </w:rPr>
        <w:t xml:space="preserve"> ha</w:t>
      </w:r>
      <w:r w:rsidRPr="00610904">
        <w:rPr>
          <w:noProof w:val="0"/>
          <w:lang w:val="en-US"/>
        </w:rPr>
        <w:t>s asserted that, in order to guarantee</w:t>
      </w:r>
      <w:r w:rsidR="007D413B" w:rsidRPr="00610904">
        <w:rPr>
          <w:noProof w:val="0"/>
          <w:lang w:val="en-US"/>
        </w:rPr>
        <w:t xml:space="preserve"> </w:t>
      </w:r>
      <w:r w:rsidR="0013395A" w:rsidRPr="00610904">
        <w:rPr>
          <w:noProof w:val="0"/>
          <w:lang w:val="en-US"/>
        </w:rPr>
        <w:t>the right to education</w:t>
      </w:r>
      <w:r w:rsidR="00391F07" w:rsidRPr="00610904">
        <w:rPr>
          <w:noProof w:val="0"/>
          <w:lang w:val="en-US"/>
        </w:rPr>
        <w:t xml:space="preserve">, “education in all its forms and at all levels shall exhibit the following </w:t>
      </w:r>
      <w:r w:rsidRPr="00610904">
        <w:rPr>
          <w:noProof w:val="0"/>
          <w:lang w:val="en-US"/>
        </w:rPr>
        <w:t xml:space="preserve">essential and interrelated </w:t>
      </w:r>
      <w:r w:rsidR="009A0304" w:rsidRPr="00610904">
        <w:rPr>
          <w:noProof w:val="0"/>
          <w:lang w:val="en-US"/>
        </w:rPr>
        <w:t>features</w:t>
      </w:r>
      <w:r w:rsidR="007D413B" w:rsidRPr="00610904">
        <w:rPr>
          <w:noProof w:val="0"/>
          <w:lang w:val="en-US"/>
        </w:rPr>
        <w:t xml:space="preserve">: </w:t>
      </w:r>
      <w:r w:rsidR="00391F07" w:rsidRPr="00610904">
        <w:rPr>
          <w:noProof w:val="0"/>
          <w:lang w:val="en-US"/>
        </w:rPr>
        <w:t>(</w:t>
      </w:r>
      <w:r w:rsidR="007D413B" w:rsidRPr="00610904">
        <w:rPr>
          <w:noProof w:val="0"/>
          <w:lang w:val="en-US"/>
        </w:rPr>
        <w:t xml:space="preserve">i) </w:t>
      </w:r>
      <w:r w:rsidRPr="00610904">
        <w:rPr>
          <w:noProof w:val="0"/>
          <w:lang w:val="en-US"/>
        </w:rPr>
        <w:t>availability</w:t>
      </w:r>
      <w:r w:rsidR="00391F07" w:rsidRPr="00610904">
        <w:rPr>
          <w:noProof w:val="0"/>
          <w:lang w:val="en-US"/>
        </w:rPr>
        <w:t>;</w:t>
      </w:r>
      <w:r w:rsidR="007D413B" w:rsidRPr="00610904">
        <w:rPr>
          <w:noProof w:val="0"/>
          <w:lang w:val="en-US"/>
        </w:rPr>
        <w:t xml:space="preserve"> </w:t>
      </w:r>
      <w:r w:rsidR="00391F07" w:rsidRPr="00610904">
        <w:rPr>
          <w:noProof w:val="0"/>
          <w:lang w:val="en-US"/>
        </w:rPr>
        <w:t>(</w:t>
      </w:r>
      <w:r w:rsidR="007D413B" w:rsidRPr="00610904">
        <w:rPr>
          <w:noProof w:val="0"/>
          <w:lang w:val="en-US"/>
        </w:rPr>
        <w:t xml:space="preserve">ii) </w:t>
      </w:r>
      <w:r w:rsidR="00856968" w:rsidRPr="00610904">
        <w:rPr>
          <w:noProof w:val="0"/>
          <w:lang w:val="en-US"/>
        </w:rPr>
        <w:t>accessibility</w:t>
      </w:r>
      <w:r w:rsidR="00391F07" w:rsidRPr="00610904">
        <w:rPr>
          <w:noProof w:val="0"/>
          <w:lang w:val="en-US"/>
        </w:rPr>
        <w:t>;</w:t>
      </w:r>
      <w:r w:rsidR="007D413B" w:rsidRPr="00610904">
        <w:rPr>
          <w:noProof w:val="0"/>
          <w:lang w:val="en-US"/>
        </w:rPr>
        <w:t xml:space="preserve"> </w:t>
      </w:r>
      <w:r w:rsidR="00391F07" w:rsidRPr="00610904">
        <w:rPr>
          <w:noProof w:val="0"/>
          <w:lang w:val="en-US"/>
        </w:rPr>
        <w:t>(</w:t>
      </w:r>
      <w:r w:rsidR="007D413B" w:rsidRPr="00610904">
        <w:rPr>
          <w:noProof w:val="0"/>
          <w:lang w:val="en-US"/>
        </w:rPr>
        <w:t>iii) ac</w:t>
      </w:r>
      <w:r w:rsidRPr="00610904">
        <w:rPr>
          <w:noProof w:val="0"/>
          <w:lang w:val="en-US"/>
        </w:rPr>
        <w:t>ceptabilit</w:t>
      </w:r>
      <w:r w:rsidR="009A0304" w:rsidRPr="00610904">
        <w:rPr>
          <w:noProof w:val="0"/>
          <w:lang w:val="en-US"/>
        </w:rPr>
        <w:t>y</w:t>
      </w:r>
      <w:r w:rsidR="00391F07" w:rsidRPr="00610904">
        <w:rPr>
          <w:noProof w:val="0"/>
          <w:lang w:val="en-US"/>
        </w:rPr>
        <w:t>,</w:t>
      </w:r>
      <w:r w:rsidR="009F3D78" w:rsidRPr="00610904">
        <w:rPr>
          <w:noProof w:val="0"/>
          <w:lang w:val="en-US"/>
        </w:rPr>
        <w:t xml:space="preserve"> and </w:t>
      </w:r>
      <w:r w:rsidR="00391F07" w:rsidRPr="00610904">
        <w:rPr>
          <w:noProof w:val="0"/>
          <w:lang w:val="en-US"/>
        </w:rPr>
        <w:t>(</w:t>
      </w:r>
      <w:r w:rsidR="007D413B" w:rsidRPr="00610904">
        <w:rPr>
          <w:noProof w:val="0"/>
          <w:lang w:val="en-US"/>
        </w:rPr>
        <w:t>iv) adaptab</w:t>
      </w:r>
      <w:r w:rsidRPr="00610904">
        <w:rPr>
          <w:noProof w:val="0"/>
          <w:lang w:val="en-US"/>
        </w:rPr>
        <w:t>ility:</w:t>
      </w:r>
      <w:r w:rsidR="007D413B" w:rsidRPr="00610904">
        <w:rPr>
          <w:rStyle w:val="FootnoteReference"/>
          <w:noProof w:val="0"/>
          <w:lang w:val="en-US"/>
        </w:rPr>
        <w:footnoteReference w:id="267"/>
      </w:r>
    </w:p>
    <w:p w:rsidR="00DB6D19" w:rsidRPr="00610904" w:rsidRDefault="00DB6D19" w:rsidP="003D3ABA">
      <w:pPr>
        <w:pStyle w:val="ListParagraph"/>
        <w:ind w:right="385"/>
        <w:rPr>
          <w:noProof w:val="0"/>
          <w:lang w:val="en-US"/>
        </w:rPr>
      </w:pPr>
    </w:p>
    <w:p w:rsidR="00DB6D19" w:rsidRPr="00610904" w:rsidRDefault="00DB6D19" w:rsidP="003D3ABA">
      <w:pPr>
        <w:ind w:left="720" w:right="475"/>
        <w:rPr>
          <w:noProof w:val="0"/>
          <w:sz w:val="16"/>
          <w:szCs w:val="16"/>
          <w:lang w:val="en-US"/>
        </w:rPr>
      </w:pPr>
      <w:r w:rsidRPr="00610904">
        <w:rPr>
          <w:noProof w:val="0"/>
          <w:sz w:val="16"/>
          <w:szCs w:val="16"/>
          <w:lang w:val="en-US"/>
        </w:rPr>
        <w:t>(a)</w:t>
      </w:r>
      <w:r w:rsidRPr="00610904">
        <w:rPr>
          <w:noProof w:val="0"/>
          <w:sz w:val="16"/>
          <w:szCs w:val="16"/>
          <w:lang w:val="en-US"/>
        </w:rPr>
        <w:tab/>
      </w:r>
      <w:r w:rsidRPr="00610904">
        <w:rPr>
          <w:noProof w:val="0"/>
          <w:sz w:val="16"/>
          <w:szCs w:val="16"/>
          <w:u w:val="single"/>
          <w:lang w:val="en-US"/>
        </w:rPr>
        <w:t>Availability</w:t>
      </w:r>
      <w:r w:rsidRPr="00610904">
        <w:rPr>
          <w:noProof w:val="0"/>
          <w:sz w:val="16"/>
          <w:szCs w:val="16"/>
          <w:lang w:val="en-US"/>
        </w:rPr>
        <w:t xml:space="preserve"> - functioning educational institutions and programmes have to be available in sufficient quantity within the jurisdiction of the State party.  What they require to function depends upon numerous factors, including the developmental context within which they operate; for example, all institutions and programmes are likely to require buildings or other protection from the elements, sanitation facilities for both sexes, safe drinking water, trained teachers receiving domestically competitive salaries, teaching materials, and so on; while some will also require facilities such as a library, computer facilities and information technology;</w:t>
      </w:r>
    </w:p>
    <w:p w:rsidR="00DB6D19" w:rsidRPr="00610904" w:rsidRDefault="00DB6D19" w:rsidP="003D3ABA">
      <w:pPr>
        <w:ind w:left="720" w:right="475"/>
        <w:rPr>
          <w:i/>
          <w:noProof w:val="0"/>
          <w:sz w:val="16"/>
          <w:szCs w:val="16"/>
          <w:lang w:val="en-US"/>
        </w:rPr>
      </w:pPr>
    </w:p>
    <w:p w:rsidR="00DB6D19" w:rsidRPr="00610904" w:rsidRDefault="00DB6D19" w:rsidP="003D3ABA">
      <w:pPr>
        <w:ind w:left="720" w:right="475"/>
        <w:rPr>
          <w:noProof w:val="0"/>
          <w:sz w:val="16"/>
          <w:szCs w:val="16"/>
          <w:lang w:val="en-US"/>
        </w:rPr>
      </w:pPr>
      <w:r w:rsidRPr="00610904">
        <w:rPr>
          <w:noProof w:val="0"/>
          <w:sz w:val="16"/>
          <w:szCs w:val="16"/>
          <w:lang w:val="en-US"/>
        </w:rPr>
        <w:t>(b)</w:t>
      </w:r>
      <w:r w:rsidRPr="00610904">
        <w:rPr>
          <w:noProof w:val="0"/>
          <w:sz w:val="16"/>
          <w:szCs w:val="16"/>
          <w:lang w:val="en-US"/>
        </w:rPr>
        <w:tab/>
      </w:r>
      <w:r w:rsidRPr="00610904">
        <w:rPr>
          <w:noProof w:val="0"/>
          <w:sz w:val="16"/>
          <w:szCs w:val="16"/>
          <w:u w:val="single"/>
          <w:lang w:val="en-US"/>
        </w:rPr>
        <w:t>Accessibility</w:t>
      </w:r>
      <w:r w:rsidRPr="00610904">
        <w:rPr>
          <w:noProof w:val="0"/>
          <w:sz w:val="16"/>
          <w:szCs w:val="16"/>
          <w:lang w:val="en-US"/>
        </w:rPr>
        <w:t xml:space="preserve"> - educational institutions and programmes have to be accessible to everyone, without discrimination, within the jurisdiction of the State party.  Accessibility has three overlapping dimensions:</w:t>
      </w:r>
    </w:p>
    <w:p w:rsidR="00DB6D19" w:rsidRPr="00610904" w:rsidRDefault="00DB6D19" w:rsidP="003D3ABA">
      <w:pPr>
        <w:ind w:left="720" w:right="475"/>
        <w:rPr>
          <w:noProof w:val="0"/>
          <w:sz w:val="16"/>
          <w:szCs w:val="16"/>
          <w:lang w:val="en-US"/>
        </w:rPr>
      </w:pPr>
    </w:p>
    <w:p w:rsidR="00DB6D19" w:rsidRPr="00610904" w:rsidRDefault="00DB6D19" w:rsidP="003D3ABA">
      <w:pPr>
        <w:pStyle w:val="Rom2"/>
        <w:ind w:left="1890" w:right="475" w:hanging="180"/>
        <w:rPr>
          <w:rFonts w:ascii="Verdana" w:hAnsi="Verdana"/>
          <w:sz w:val="16"/>
          <w:szCs w:val="16"/>
          <w:lang w:val="en-US"/>
        </w:rPr>
      </w:pPr>
      <w:r w:rsidRPr="00610904">
        <w:rPr>
          <w:rFonts w:ascii="Verdana" w:hAnsi="Verdana"/>
          <w:sz w:val="16"/>
          <w:szCs w:val="16"/>
          <w:lang w:val="en-US"/>
        </w:rPr>
        <w:t>Non-discrimination - education must be accessible to all, especially the most vulnerable groups, in law and fact, without discrimination on any of the prohibited grounds (see paras. 31-37 on non-discrimination);</w:t>
      </w:r>
    </w:p>
    <w:p w:rsidR="00DB6D19" w:rsidRPr="00610904" w:rsidRDefault="00DB6D19" w:rsidP="003D3ABA">
      <w:pPr>
        <w:pStyle w:val="Rom2"/>
        <w:numPr>
          <w:ilvl w:val="0"/>
          <w:numId w:val="0"/>
        </w:numPr>
        <w:ind w:left="1890" w:right="475" w:hanging="180"/>
        <w:rPr>
          <w:rFonts w:ascii="Verdana" w:hAnsi="Verdana"/>
          <w:sz w:val="16"/>
          <w:szCs w:val="16"/>
          <w:lang w:val="en-US"/>
        </w:rPr>
      </w:pPr>
    </w:p>
    <w:p w:rsidR="00DB6D19" w:rsidRPr="00610904" w:rsidRDefault="00DB6D19" w:rsidP="003D3ABA">
      <w:pPr>
        <w:pStyle w:val="Rom2"/>
        <w:ind w:left="1890" w:right="475" w:hanging="180"/>
        <w:jc w:val="both"/>
        <w:rPr>
          <w:rFonts w:ascii="Verdana" w:hAnsi="Verdana"/>
          <w:sz w:val="16"/>
          <w:szCs w:val="16"/>
          <w:lang w:val="en-US"/>
        </w:rPr>
      </w:pPr>
      <w:r w:rsidRPr="00610904">
        <w:rPr>
          <w:rFonts w:ascii="Verdana" w:hAnsi="Verdana"/>
          <w:sz w:val="16"/>
          <w:szCs w:val="16"/>
          <w:lang w:val="en-US"/>
        </w:rPr>
        <w:t xml:space="preserve">Physical accessibility </w:t>
      </w:r>
      <w:r w:rsidRPr="00610904">
        <w:rPr>
          <w:rFonts w:ascii="Verdana" w:hAnsi="Verdana"/>
          <w:sz w:val="16"/>
          <w:szCs w:val="16"/>
          <w:lang w:val="en-US"/>
        </w:rPr>
        <w:noBreakHyphen/>
        <w:t xml:space="preserve"> education has to</w:t>
      </w:r>
      <w:r w:rsidR="003D3ABA">
        <w:rPr>
          <w:rFonts w:ascii="Verdana" w:hAnsi="Verdana"/>
          <w:sz w:val="16"/>
          <w:szCs w:val="16"/>
          <w:lang w:val="en-US"/>
        </w:rPr>
        <w:t xml:space="preserve"> be within safe physical reach, </w:t>
      </w:r>
      <w:r w:rsidRPr="00610904">
        <w:rPr>
          <w:rFonts w:ascii="Verdana" w:hAnsi="Verdana"/>
          <w:sz w:val="16"/>
          <w:szCs w:val="16"/>
          <w:lang w:val="en-US"/>
        </w:rPr>
        <w:t>either by attendance at some reasonably convenient geographic location (e.g. a neighbourhood school) or via modern technology (e.g. access to a “distance learning” programme);</w:t>
      </w:r>
    </w:p>
    <w:p w:rsidR="00DB6D19" w:rsidRPr="00610904" w:rsidRDefault="00DB6D19" w:rsidP="003D3ABA">
      <w:pPr>
        <w:pStyle w:val="Rom2"/>
        <w:numPr>
          <w:ilvl w:val="0"/>
          <w:numId w:val="0"/>
        </w:numPr>
        <w:ind w:left="1890" w:right="475" w:hanging="180"/>
        <w:rPr>
          <w:rFonts w:ascii="Verdana" w:hAnsi="Verdana"/>
          <w:sz w:val="16"/>
          <w:szCs w:val="16"/>
          <w:lang w:val="en-US"/>
        </w:rPr>
      </w:pPr>
    </w:p>
    <w:p w:rsidR="00DB6D19" w:rsidRPr="00610904" w:rsidRDefault="00DB6D19" w:rsidP="003D3ABA">
      <w:pPr>
        <w:pStyle w:val="Rom2"/>
        <w:ind w:left="1890" w:right="475" w:hanging="180"/>
        <w:jc w:val="both"/>
        <w:rPr>
          <w:rFonts w:ascii="Verdana" w:hAnsi="Verdana"/>
          <w:sz w:val="16"/>
          <w:szCs w:val="16"/>
          <w:lang w:val="en-US"/>
        </w:rPr>
      </w:pPr>
      <w:r w:rsidRPr="00610904">
        <w:rPr>
          <w:rFonts w:ascii="Verdana" w:hAnsi="Verdana"/>
          <w:sz w:val="16"/>
          <w:szCs w:val="16"/>
          <w:lang w:val="en-US"/>
        </w:rPr>
        <w:t>Economic accessibility - educati</w:t>
      </w:r>
      <w:r w:rsidR="003D3ABA">
        <w:rPr>
          <w:rFonts w:ascii="Verdana" w:hAnsi="Verdana"/>
          <w:sz w:val="16"/>
          <w:szCs w:val="16"/>
          <w:lang w:val="en-US"/>
        </w:rPr>
        <w:t>on has to be affordable to all.</w:t>
      </w:r>
      <w:r w:rsidRPr="00610904">
        <w:rPr>
          <w:rFonts w:ascii="Verdana" w:hAnsi="Verdana"/>
          <w:sz w:val="16"/>
          <w:szCs w:val="16"/>
          <w:lang w:val="en-US"/>
        </w:rPr>
        <w:t xml:space="preserve"> This dimension of accessibility is subject to the differential wording of article 13 (2) in relation to primary, secondary and higher education:  whereas primary education shall be available “free to all”, States parties are required to progressively introduce free secondary and higher education;</w:t>
      </w:r>
    </w:p>
    <w:p w:rsidR="00391F07" w:rsidRPr="00610904" w:rsidRDefault="00391F07" w:rsidP="003D3ABA">
      <w:pPr>
        <w:pStyle w:val="Rom2"/>
        <w:numPr>
          <w:ilvl w:val="0"/>
          <w:numId w:val="0"/>
        </w:numPr>
        <w:ind w:right="475"/>
        <w:rPr>
          <w:rFonts w:ascii="Verdana" w:hAnsi="Verdana"/>
          <w:sz w:val="16"/>
          <w:szCs w:val="16"/>
          <w:lang w:val="en-US"/>
        </w:rPr>
      </w:pPr>
    </w:p>
    <w:p w:rsidR="00DB6D19" w:rsidRPr="00610904" w:rsidRDefault="00DB6D19" w:rsidP="003D3ABA">
      <w:pPr>
        <w:ind w:left="720" w:right="475"/>
        <w:rPr>
          <w:noProof w:val="0"/>
          <w:sz w:val="16"/>
          <w:szCs w:val="16"/>
          <w:lang w:val="en-US"/>
        </w:rPr>
      </w:pPr>
      <w:r w:rsidRPr="00610904">
        <w:rPr>
          <w:noProof w:val="0"/>
          <w:sz w:val="16"/>
          <w:szCs w:val="16"/>
          <w:lang w:val="en-US"/>
        </w:rPr>
        <w:t>(c)</w:t>
      </w:r>
      <w:r w:rsidRPr="00610904">
        <w:rPr>
          <w:noProof w:val="0"/>
          <w:sz w:val="16"/>
          <w:szCs w:val="16"/>
          <w:lang w:val="en-US"/>
        </w:rPr>
        <w:tab/>
      </w:r>
      <w:r w:rsidRPr="00610904">
        <w:rPr>
          <w:noProof w:val="0"/>
          <w:sz w:val="16"/>
          <w:szCs w:val="16"/>
          <w:u w:val="single"/>
          <w:lang w:val="en-US"/>
        </w:rPr>
        <w:t>Acceptability</w:t>
      </w:r>
      <w:r w:rsidRPr="00610904">
        <w:rPr>
          <w:noProof w:val="0"/>
          <w:sz w:val="16"/>
          <w:szCs w:val="16"/>
          <w:lang w:val="en-US"/>
        </w:rPr>
        <w:t xml:space="preserve"> - the form and substance of education, including curricula and teaching metho</w:t>
      </w:r>
      <w:r w:rsidR="00856968" w:rsidRPr="00610904">
        <w:rPr>
          <w:noProof w:val="0"/>
          <w:sz w:val="16"/>
          <w:szCs w:val="16"/>
          <w:lang w:val="en-US"/>
        </w:rPr>
        <w:t>ds, have to be acceptable (e.g.</w:t>
      </w:r>
      <w:r w:rsidRPr="00610904">
        <w:rPr>
          <w:noProof w:val="0"/>
          <w:sz w:val="16"/>
          <w:szCs w:val="16"/>
          <w:lang w:val="en-US"/>
        </w:rPr>
        <w:t xml:space="preserve"> relevant, culturally appropriate and of good quality) to students and, in appropriate cases, parents; this is subject to the educational objectives required by article 13 (1) and such minimum educational standards as may be approved by the State (see art. 13 (3) and (4));</w:t>
      </w:r>
    </w:p>
    <w:p w:rsidR="00DB6D19" w:rsidRPr="00610904" w:rsidRDefault="00DB6D19" w:rsidP="003D3ABA">
      <w:pPr>
        <w:ind w:left="720" w:right="385"/>
        <w:rPr>
          <w:noProof w:val="0"/>
          <w:sz w:val="16"/>
          <w:szCs w:val="16"/>
          <w:lang w:val="en-US"/>
        </w:rPr>
      </w:pPr>
    </w:p>
    <w:p w:rsidR="00DB6D19" w:rsidRPr="00610904" w:rsidRDefault="00DB6D19" w:rsidP="003D3ABA">
      <w:pPr>
        <w:ind w:left="720" w:right="385"/>
        <w:rPr>
          <w:noProof w:val="0"/>
          <w:sz w:val="16"/>
          <w:szCs w:val="16"/>
          <w:lang w:val="en-US"/>
        </w:rPr>
      </w:pPr>
      <w:r w:rsidRPr="00610904">
        <w:rPr>
          <w:noProof w:val="0"/>
          <w:sz w:val="16"/>
          <w:szCs w:val="16"/>
          <w:lang w:val="en-US"/>
        </w:rPr>
        <w:t>(d)</w:t>
      </w:r>
      <w:r w:rsidRPr="00610904">
        <w:rPr>
          <w:noProof w:val="0"/>
          <w:sz w:val="16"/>
          <w:szCs w:val="16"/>
          <w:lang w:val="en-US"/>
        </w:rPr>
        <w:tab/>
      </w:r>
      <w:r w:rsidRPr="00610904">
        <w:rPr>
          <w:noProof w:val="0"/>
          <w:sz w:val="16"/>
          <w:szCs w:val="16"/>
          <w:u w:val="single"/>
          <w:lang w:val="en-US"/>
        </w:rPr>
        <w:t>Adaptability</w:t>
      </w:r>
      <w:r w:rsidRPr="00610904">
        <w:rPr>
          <w:noProof w:val="0"/>
          <w:sz w:val="16"/>
          <w:szCs w:val="16"/>
          <w:lang w:val="en-US"/>
        </w:rPr>
        <w:t xml:space="preserve"> - education has to be flexible so it can adapt to the needs of changing societies and communities and respond to the needs of students within their diverse social and cultural settings.</w:t>
      </w:r>
    </w:p>
    <w:p w:rsidR="00DB6D19" w:rsidRPr="00610904" w:rsidRDefault="00DB6D19" w:rsidP="003D3ABA">
      <w:pPr>
        <w:ind w:left="720" w:right="385"/>
        <w:rPr>
          <w:noProof w:val="0"/>
          <w:sz w:val="16"/>
          <w:szCs w:val="16"/>
          <w:lang w:val="en-US"/>
        </w:rPr>
      </w:pPr>
    </w:p>
    <w:p w:rsidR="00DB6D19" w:rsidRPr="00610904" w:rsidRDefault="00DB6D19" w:rsidP="003D3ABA">
      <w:pPr>
        <w:ind w:left="720" w:right="385"/>
        <w:rPr>
          <w:noProof w:val="0"/>
          <w:sz w:val="16"/>
          <w:szCs w:val="16"/>
          <w:lang w:val="en-US"/>
        </w:rPr>
      </w:pPr>
      <w:r w:rsidRPr="00610904">
        <w:rPr>
          <w:noProof w:val="0"/>
          <w:sz w:val="16"/>
          <w:szCs w:val="16"/>
          <w:lang w:val="en-US"/>
        </w:rPr>
        <w:t>7.</w:t>
      </w:r>
      <w:r w:rsidRPr="00610904">
        <w:rPr>
          <w:noProof w:val="0"/>
          <w:sz w:val="16"/>
          <w:szCs w:val="16"/>
          <w:lang w:val="en-US"/>
        </w:rPr>
        <w:tab/>
        <w:t>When considering the appropriate application of these “interrelated and essential features” the best interests of the student shall be a primary consideration.</w:t>
      </w:r>
    </w:p>
    <w:p w:rsidR="007D413B" w:rsidRPr="00610904" w:rsidRDefault="007D413B" w:rsidP="00610904">
      <w:pPr>
        <w:rPr>
          <w:noProof w:val="0"/>
          <w:lang w:val="en-US"/>
        </w:rPr>
      </w:pPr>
    </w:p>
    <w:p w:rsidR="007D413B" w:rsidRPr="00610904" w:rsidRDefault="00523679" w:rsidP="00610904">
      <w:pPr>
        <w:numPr>
          <w:ilvl w:val="0"/>
          <w:numId w:val="1"/>
        </w:numPr>
        <w:contextualSpacing/>
        <w:rPr>
          <w:noProof w:val="0"/>
          <w:lang w:val="en-US"/>
        </w:rPr>
      </w:pPr>
      <w:r w:rsidRPr="00610904">
        <w:rPr>
          <w:noProof w:val="0"/>
          <w:lang w:val="en-US"/>
        </w:rPr>
        <w:t xml:space="preserve">Nevertheless, </w:t>
      </w:r>
      <w:r w:rsidR="009F3D78" w:rsidRPr="00610904">
        <w:rPr>
          <w:noProof w:val="0"/>
          <w:lang w:val="en-US"/>
        </w:rPr>
        <w:t>the Court</w:t>
      </w:r>
      <w:r w:rsidRPr="00610904">
        <w:rPr>
          <w:noProof w:val="0"/>
          <w:lang w:val="en-US"/>
        </w:rPr>
        <w:t xml:space="preserve"> notes that, historically, persons with HIV have been discriminated against owing to different social and cultural beliefs that have stigmatized the illness. Thus, the fact that a person is living with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 o</w:t>
      </w:r>
      <w:r w:rsidRPr="00610904">
        <w:rPr>
          <w:noProof w:val="0"/>
          <w:lang w:val="en-US"/>
        </w:rPr>
        <w:t xml:space="preserve">r even the mere assumption that he or she has HIV/AIDS, may create social and attitudinal barriers to that person having equal access to all his or her rights. The relationship between this type of barrier and a </w:t>
      </w:r>
      <w:r w:rsidRPr="00610904">
        <w:rPr>
          <w:noProof w:val="0"/>
          <w:lang w:val="en-US"/>
        </w:rPr>
        <w:lastRenderedPageBreak/>
        <w:t xml:space="preserve">person’s </w:t>
      </w:r>
      <w:r w:rsidR="00404EE1" w:rsidRPr="00610904">
        <w:rPr>
          <w:noProof w:val="0"/>
          <w:lang w:val="en-US"/>
        </w:rPr>
        <w:t>health status</w:t>
      </w:r>
      <w:r w:rsidRPr="00610904">
        <w:rPr>
          <w:noProof w:val="0"/>
          <w:lang w:val="en-US"/>
        </w:rPr>
        <w:t xml:space="preserve"> justifies the use of the social model of disability as a relevant approach to assess the scope of some of the rights involved in this case.</w:t>
      </w:r>
    </w:p>
    <w:p w:rsidR="007D413B" w:rsidRPr="00610904" w:rsidRDefault="007D413B" w:rsidP="00610904">
      <w:pPr>
        <w:rPr>
          <w:noProof w:val="0"/>
          <w:lang w:val="en-US"/>
        </w:rPr>
      </w:pPr>
    </w:p>
    <w:p w:rsidR="007D413B" w:rsidRPr="00610904" w:rsidRDefault="00523679" w:rsidP="00610904">
      <w:pPr>
        <w:numPr>
          <w:ilvl w:val="0"/>
          <w:numId w:val="1"/>
        </w:numPr>
        <w:contextualSpacing/>
        <w:rPr>
          <w:noProof w:val="0"/>
          <w:lang w:val="en-US"/>
        </w:rPr>
      </w:pPr>
      <w:r w:rsidRPr="00610904">
        <w:rPr>
          <w:rFonts w:cs="Arial"/>
          <w:noProof w:val="0"/>
          <w:color w:val="000000"/>
          <w:lang w:val="en-US"/>
        </w:rPr>
        <w:t xml:space="preserve">As part of the evolution of the concept of disability, the social model of disability understands </w:t>
      </w:r>
      <w:r w:rsidR="00856968" w:rsidRPr="00610904">
        <w:rPr>
          <w:rFonts w:cs="Arial"/>
          <w:noProof w:val="0"/>
          <w:color w:val="000000"/>
          <w:lang w:val="en-US"/>
        </w:rPr>
        <w:t>disability</w:t>
      </w:r>
      <w:r w:rsidRPr="00610904">
        <w:rPr>
          <w:rFonts w:cs="Arial"/>
          <w:noProof w:val="0"/>
          <w:color w:val="000000"/>
          <w:lang w:val="en-US"/>
        </w:rPr>
        <w:t xml:space="preserve"> as the result of the interaction between the functional characteristics of a person and the barriers in his or her surroundings.</w:t>
      </w:r>
      <w:r w:rsidRPr="00610904">
        <w:rPr>
          <w:rStyle w:val="FootnoteReference"/>
          <w:rFonts w:cs="Arial"/>
          <w:noProof w:val="0"/>
          <w:color w:val="000000"/>
          <w:lang w:val="en-US"/>
        </w:rPr>
        <w:footnoteReference w:id="268"/>
      </w:r>
      <w:r w:rsidRPr="00610904">
        <w:rPr>
          <w:rFonts w:cs="Arial"/>
          <w:noProof w:val="0"/>
          <w:color w:val="000000"/>
          <w:lang w:val="en-US"/>
        </w:rPr>
        <w:t xml:space="preserve"> This Court has established that disability is not defined </w:t>
      </w:r>
      <w:r w:rsidR="009A0304" w:rsidRPr="00610904">
        <w:rPr>
          <w:rFonts w:cs="Arial"/>
          <w:noProof w:val="0"/>
          <w:color w:val="000000"/>
          <w:lang w:val="en-US"/>
        </w:rPr>
        <w:t>exclusively by the presence of</w:t>
      </w:r>
      <w:r w:rsidRPr="00610904">
        <w:rPr>
          <w:rFonts w:cs="Arial"/>
          <w:noProof w:val="0"/>
          <w:color w:val="000000"/>
          <w:lang w:val="en-US"/>
        </w:rPr>
        <w:t xml:space="preserve"> physical, </w:t>
      </w:r>
      <w:r w:rsidR="009A0304" w:rsidRPr="00610904">
        <w:rPr>
          <w:rFonts w:cs="Arial"/>
          <w:noProof w:val="0"/>
          <w:color w:val="000000"/>
          <w:lang w:val="en-US"/>
        </w:rPr>
        <w:t xml:space="preserve">mental, </w:t>
      </w:r>
      <w:r w:rsidR="00856968" w:rsidRPr="00610904">
        <w:rPr>
          <w:rFonts w:cs="Arial"/>
          <w:noProof w:val="0"/>
          <w:color w:val="000000"/>
          <w:lang w:val="en-US"/>
        </w:rPr>
        <w:t>intellectual</w:t>
      </w:r>
      <w:r w:rsidR="009A0304" w:rsidRPr="00610904">
        <w:rPr>
          <w:rFonts w:cs="Arial"/>
          <w:noProof w:val="0"/>
          <w:color w:val="000000"/>
          <w:lang w:val="en-US"/>
        </w:rPr>
        <w:t xml:space="preserve"> or sensory impairments</w:t>
      </w:r>
      <w:r w:rsidRPr="00610904">
        <w:rPr>
          <w:rFonts w:cs="Arial"/>
          <w:noProof w:val="0"/>
          <w:color w:val="000000"/>
          <w:lang w:val="en-US"/>
        </w:rPr>
        <w:t xml:space="preserve">, but </w:t>
      </w:r>
      <w:r w:rsidR="009A0304" w:rsidRPr="00610904">
        <w:rPr>
          <w:rFonts w:cs="Arial"/>
          <w:noProof w:val="0"/>
          <w:color w:val="000000"/>
          <w:lang w:val="en-US"/>
        </w:rPr>
        <w:t>interacts</w:t>
      </w:r>
      <w:r w:rsidRPr="00610904">
        <w:rPr>
          <w:rFonts w:cs="Arial"/>
          <w:noProof w:val="0"/>
          <w:color w:val="000000"/>
          <w:lang w:val="en-US"/>
        </w:rPr>
        <w:t xml:space="preserve"> with the barriers or limitations that exist in society for individuals to be able to exercise their rights effectively.</w:t>
      </w:r>
      <w:r w:rsidR="007D413B" w:rsidRPr="00610904">
        <w:rPr>
          <w:rStyle w:val="FootnoteReference"/>
          <w:rFonts w:cs="Arial"/>
          <w:noProof w:val="0"/>
          <w:color w:val="000000"/>
          <w:lang w:val="en-US"/>
        </w:rPr>
        <w:footnoteReference w:id="269"/>
      </w:r>
    </w:p>
    <w:p w:rsidR="007D413B" w:rsidRPr="00610904" w:rsidRDefault="007D413B" w:rsidP="00610904">
      <w:pPr>
        <w:rPr>
          <w:noProof w:val="0"/>
          <w:lang w:val="en-US"/>
        </w:rPr>
      </w:pPr>
    </w:p>
    <w:p w:rsidR="007D413B" w:rsidRPr="00610904" w:rsidRDefault="00523679" w:rsidP="00610904">
      <w:pPr>
        <w:numPr>
          <w:ilvl w:val="0"/>
          <w:numId w:val="1"/>
        </w:numPr>
        <w:rPr>
          <w:noProof w:val="0"/>
          <w:lang w:val="en-US"/>
        </w:rPr>
      </w:pPr>
      <w:r w:rsidRPr="00610904">
        <w:rPr>
          <w:rFonts w:cs="Arial"/>
          <w:noProof w:val="0"/>
          <w:color w:val="000000"/>
          <w:lang w:val="en-US"/>
        </w:rPr>
        <w:t xml:space="preserve">Thus, living with HIV is not </w:t>
      </w:r>
      <w:r w:rsidR="007D413B" w:rsidRPr="00610904">
        <w:rPr>
          <w:rFonts w:cs="Arial"/>
          <w:i/>
          <w:noProof w:val="0"/>
          <w:color w:val="000000"/>
          <w:lang w:val="en-US"/>
        </w:rPr>
        <w:t>per se</w:t>
      </w:r>
      <w:r w:rsidRPr="00610904">
        <w:rPr>
          <w:rFonts w:cs="Arial"/>
          <w:noProof w:val="0"/>
          <w:color w:val="000000"/>
          <w:lang w:val="en-US"/>
        </w:rPr>
        <w:t xml:space="preserve"> a situation of disability. However, in some circumstances, the attitudinal barriers faced by </w:t>
      </w:r>
      <w:r w:rsidR="00CD79DC" w:rsidRPr="00610904">
        <w:rPr>
          <w:rFonts w:cs="Arial"/>
          <w:noProof w:val="0"/>
          <w:color w:val="000000"/>
          <w:lang w:val="en-US"/>
        </w:rPr>
        <w:t xml:space="preserve">those </w:t>
      </w:r>
      <w:r w:rsidRPr="00610904">
        <w:rPr>
          <w:rFonts w:cs="Arial"/>
          <w:noProof w:val="0"/>
          <w:color w:val="000000"/>
          <w:lang w:val="en-US"/>
        </w:rPr>
        <w:t>living with HIV mean that the circumstances around them place them in a situation of disability. In other words, the medical condition of living with HIV may, potentially, result in disability owing to social and attitudinal barrier</w:t>
      </w:r>
      <w:r w:rsidR="009A0304" w:rsidRPr="00610904">
        <w:rPr>
          <w:rFonts w:cs="Arial"/>
          <w:noProof w:val="0"/>
          <w:color w:val="000000"/>
          <w:lang w:val="en-US"/>
        </w:rPr>
        <w:t>s</w:t>
      </w:r>
      <w:r w:rsidRPr="00610904">
        <w:rPr>
          <w:rFonts w:cs="Arial"/>
          <w:noProof w:val="0"/>
          <w:color w:val="000000"/>
          <w:lang w:val="en-US"/>
        </w:rPr>
        <w:t xml:space="preserve">. Thus, the determination of whether someone can be considered a person with </w:t>
      </w:r>
      <w:r w:rsidR="00856968" w:rsidRPr="00610904">
        <w:rPr>
          <w:rFonts w:cs="Arial"/>
          <w:noProof w:val="0"/>
          <w:color w:val="000000"/>
          <w:lang w:val="en-US"/>
        </w:rPr>
        <w:t>disability</w:t>
      </w:r>
      <w:r w:rsidRPr="00610904">
        <w:rPr>
          <w:rFonts w:cs="Arial"/>
          <w:noProof w:val="0"/>
          <w:color w:val="000000"/>
          <w:lang w:val="en-US"/>
        </w:rPr>
        <w:t xml:space="preserve"> depends on their relationship with their surroundings, and does not respon</w:t>
      </w:r>
      <w:r w:rsidR="009A0304" w:rsidRPr="00610904">
        <w:rPr>
          <w:rFonts w:cs="Arial"/>
          <w:noProof w:val="0"/>
          <w:color w:val="000000"/>
          <w:lang w:val="en-US"/>
        </w:rPr>
        <w:t>d solely to a list of diagnose</w:t>
      </w:r>
      <w:r w:rsidRPr="00610904">
        <w:rPr>
          <w:rFonts w:cs="Arial"/>
          <w:noProof w:val="0"/>
          <w:color w:val="000000"/>
          <w:lang w:val="en-US"/>
        </w:rPr>
        <w:t xml:space="preserve">s. Therefore, in some situations, persons living with </w:t>
      </w:r>
      <w:r w:rsidR="00A8072E" w:rsidRPr="00610904">
        <w:rPr>
          <w:rFonts w:cs="Arial"/>
          <w:noProof w:val="0"/>
          <w:color w:val="000000"/>
          <w:lang w:val="en-US"/>
        </w:rPr>
        <w:t>HIV</w:t>
      </w:r>
      <w:r w:rsidR="007D413B" w:rsidRPr="00610904">
        <w:rPr>
          <w:rFonts w:cs="Arial"/>
          <w:noProof w:val="0"/>
          <w:color w:val="000000"/>
          <w:lang w:val="en-US"/>
        </w:rPr>
        <w:t>/</w:t>
      </w:r>
      <w:r w:rsidR="00A8072E" w:rsidRPr="00610904">
        <w:rPr>
          <w:rFonts w:cs="Arial"/>
          <w:noProof w:val="0"/>
          <w:color w:val="000000"/>
          <w:lang w:val="en-US"/>
        </w:rPr>
        <w:t>AIDS</w:t>
      </w:r>
      <w:r w:rsidR="007D413B" w:rsidRPr="00610904">
        <w:rPr>
          <w:rFonts w:cs="Arial"/>
          <w:noProof w:val="0"/>
          <w:color w:val="000000"/>
          <w:lang w:val="en-US"/>
        </w:rPr>
        <w:t xml:space="preserve"> </w:t>
      </w:r>
      <w:r w:rsidRPr="00610904">
        <w:rPr>
          <w:rFonts w:cs="Arial"/>
          <w:noProof w:val="0"/>
          <w:color w:val="000000"/>
          <w:lang w:val="en-US"/>
        </w:rPr>
        <w:t xml:space="preserve">may be considered persons with disabilities as conceived in </w:t>
      </w:r>
      <w:r w:rsidR="009F3D78" w:rsidRPr="00610904">
        <w:rPr>
          <w:rFonts w:cs="Arial"/>
          <w:noProof w:val="0"/>
          <w:color w:val="000000"/>
          <w:lang w:val="en-US"/>
        </w:rPr>
        <w:t>the Convention</w:t>
      </w:r>
      <w:r w:rsidR="007D413B" w:rsidRPr="00610904">
        <w:rPr>
          <w:rFonts w:cs="Arial"/>
          <w:noProof w:val="0"/>
          <w:color w:val="000000"/>
          <w:lang w:val="en-US"/>
        </w:rPr>
        <w:t xml:space="preserve"> </w:t>
      </w:r>
      <w:r w:rsidRPr="00610904">
        <w:rPr>
          <w:rFonts w:cs="Arial"/>
          <w:noProof w:val="0"/>
          <w:color w:val="000000"/>
          <w:lang w:val="en-US"/>
        </w:rPr>
        <w:t>on the Rights of Persons with Disabilities.</w:t>
      </w:r>
      <w:r w:rsidR="007D413B" w:rsidRPr="00610904">
        <w:rPr>
          <w:rStyle w:val="FootnoteReference"/>
          <w:noProof w:val="0"/>
          <w:color w:val="000000"/>
          <w:lang w:val="en-US"/>
        </w:rPr>
        <w:footnoteReference w:id="270"/>
      </w:r>
    </w:p>
    <w:p w:rsidR="007D413B" w:rsidRPr="00610904" w:rsidRDefault="007D413B" w:rsidP="00610904">
      <w:pPr>
        <w:rPr>
          <w:noProof w:val="0"/>
          <w:lang w:val="en-US"/>
        </w:rPr>
      </w:pPr>
    </w:p>
    <w:p w:rsidR="007D413B" w:rsidRPr="00610904" w:rsidRDefault="009F3D78" w:rsidP="00610904">
      <w:pPr>
        <w:numPr>
          <w:ilvl w:val="0"/>
          <w:numId w:val="1"/>
        </w:numPr>
        <w:rPr>
          <w:noProof w:val="0"/>
          <w:lang w:val="en-US"/>
        </w:rPr>
      </w:pPr>
      <w:r w:rsidRPr="00610904">
        <w:rPr>
          <w:noProof w:val="0"/>
          <w:lang w:val="en-US"/>
        </w:rPr>
        <w:t>The Court</w:t>
      </w:r>
      <w:r w:rsidR="00523679" w:rsidRPr="00610904">
        <w:rPr>
          <w:noProof w:val="0"/>
          <w:lang w:val="en-US"/>
        </w:rPr>
        <w:t xml:space="preserve"> notes that various international agencies have spoken out about the close relationship that exists between </w:t>
      </w:r>
      <w:r w:rsidR="00A8072E" w:rsidRPr="00610904">
        <w:rPr>
          <w:noProof w:val="0"/>
          <w:lang w:val="en-US"/>
        </w:rPr>
        <w:t>HIV</w:t>
      </w:r>
      <w:r w:rsidR="007D413B" w:rsidRPr="00610904">
        <w:rPr>
          <w:noProof w:val="0"/>
          <w:lang w:val="en-US"/>
        </w:rPr>
        <w:t>/</w:t>
      </w:r>
      <w:r w:rsidR="00A8072E" w:rsidRPr="00610904">
        <w:rPr>
          <w:noProof w:val="0"/>
          <w:lang w:val="en-US"/>
        </w:rPr>
        <w:t>AIDS</w:t>
      </w:r>
      <w:r w:rsidRPr="00610904">
        <w:rPr>
          <w:noProof w:val="0"/>
          <w:lang w:val="en-US"/>
        </w:rPr>
        <w:t xml:space="preserve"> and </w:t>
      </w:r>
      <w:r w:rsidR="00523679" w:rsidRPr="00610904">
        <w:rPr>
          <w:noProof w:val="0"/>
          <w:lang w:val="en-US"/>
        </w:rPr>
        <w:t>disability owing to the di</w:t>
      </w:r>
      <w:r w:rsidR="009A0304" w:rsidRPr="00610904">
        <w:rPr>
          <w:noProof w:val="0"/>
          <w:lang w:val="en-US"/>
        </w:rPr>
        <w:t>ff</w:t>
      </w:r>
      <w:r w:rsidR="00523679" w:rsidRPr="00610904">
        <w:rPr>
          <w:noProof w:val="0"/>
          <w:lang w:val="en-US"/>
        </w:rPr>
        <w:t>e</w:t>
      </w:r>
      <w:r w:rsidR="009A0304" w:rsidRPr="00610904">
        <w:rPr>
          <w:noProof w:val="0"/>
          <w:lang w:val="en-US"/>
        </w:rPr>
        <w:t>rent</w:t>
      </w:r>
      <w:r w:rsidR="00523679" w:rsidRPr="00610904">
        <w:rPr>
          <w:noProof w:val="0"/>
          <w:lang w:val="en-US"/>
        </w:rPr>
        <w:t xml:space="preserve"> physical ailments that may </w:t>
      </w:r>
      <w:r w:rsidR="009A0304" w:rsidRPr="00610904">
        <w:rPr>
          <w:noProof w:val="0"/>
          <w:lang w:val="en-US"/>
        </w:rPr>
        <w:t xml:space="preserve">occur </w:t>
      </w:r>
      <w:r w:rsidR="00523679" w:rsidRPr="00610904">
        <w:rPr>
          <w:noProof w:val="0"/>
          <w:lang w:val="en-US"/>
        </w:rPr>
        <w:t xml:space="preserve">owing to the illness, as well as to the </w:t>
      </w:r>
      <w:r w:rsidR="009A0304" w:rsidRPr="00610904">
        <w:rPr>
          <w:noProof w:val="0"/>
          <w:lang w:val="en-US"/>
        </w:rPr>
        <w:t xml:space="preserve">resulting </w:t>
      </w:r>
      <w:r w:rsidR="00523679" w:rsidRPr="00610904">
        <w:rPr>
          <w:noProof w:val="0"/>
          <w:lang w:val="en-US"/>
        </w:rPr>
        <w:t>social barriers.</w:t>
      </w:r>
      <w:r w:rsidR="007D413B" w:rsidRPr="00610904">
        <w:rPr>
          <w:noProof w:val="0"/>
          <w:lang w:val="en-US"/>
        </w:rPr>
        <w:t xml:space="preserve"> </w:t>
      </w:r>
      <w:r w:rsidR="008357AC" w:rsidRPr="00610904">
        <w:rPr>
          <w:noProof w:val="0"/>
          <w:lang w:val="en-US"/>
        </w:rPr>
        <w:t>UNAIDS</w:t>
      </w:r>
      <w:r w:rsidR="007D413B" w:rsidRPr="00610904">
        <w:rPr>
          <w:noProof w:val="0"/>
          <w:lang w:val="en-US"/>
        </w:rPr>
        <w:t xml:space="preserve"> ha</w:t>
      </w:r>
      <w:r w:rsidR="00523679" w:rsidRPr="00610904">
        <w:rPr>
          <w:noProof w:val="0"/>
          <w:lang w:val="en-US"/>
        </w:rPr>
        <w:t xml:space="preserve">s affirmed that one of the erroneous perceptions of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 xml:space="preserve"> </w:t>
      </w:r>
      <w:r w:rsidR="00523679" w:rsidRPr="00610904">
        <w:rPr>
          <w:noProof w:val="0"/>
          <w:lang w:val="en-US"/>
        </w:rPr>
        <w:t>is considering that persons with HIV are a threat to public health.</w:t>
      </w:r>
      <w:r w:rsidR="007D413B" w:rsidRPr="00610904">
        <w:rPr>
          <w:rStyle w:val="FootnoteReference"/>
          <w:noProof w:val="0"/>
          <w:lang w:val="en-US"/>
        </w:rPr>
        <w:footnoteReference w:id="271"/>
      </w:r>
      <w:r w:rsidR="007D413B" w:rsidRPr="00610904">
        <w:rPr>
          <w:noProof w:val="0"/>
          <w:lang w:val="en-US"/>
        </w:rPr>
        <w:t xml:space="preserve"> </w:t>
      </w:r>
      <w:r w:rsidR="00523679" w:rsidRPr="00610904">
        <w:rPr>
          <w:noProof w:val="0"/>
          <w:lang w:val="en-US"/>
        </w:rPr>
        <w:t>In addition</w:t>
      </w:r>
      <w:r w:rsidR="007D413B" w:rsidRPr="00610904">
        <w:rPr>
          <w:noProof w:val="0"/>
          <w:lang w:val="en-US"/>
        </w:rPr>
        <w:t xml:space="preserve">, </w:t>
      </w:r>
      <w:r w:rsidR="00523679" w:rsidRPr="00610904">
        <w:rPr>
          <w:noProof w:val="0"/>
          <w:lang w:val="en-US"/>
        </w:rPr>
        <w:t>the</w:t>
      </w:r>
      <w:r w:rsidR="00215C41" w:rsidRPr="00610904">
        <w:rPr>
          <w:noProof w:val="0"/>
          <w:lang w:val="en-US"/>
        </w:rPr>
        <w:t xml:space="preserve"> European Court</w:t>
      </w:r>
      <w:r w:rsidR="007D413B" w:rsidRPr="00610904">
        <w:rPr>
          <w:noProof w:val="0"/>
          <w:lang w:val="en-US"/>
        </w:rPr>
        <w:t xml:space="preserve"> </w:t>
      </w:r>
      <w:r w:rsidR="00523679" w:rsidRPr="00610904">
        <w:rPr>
          <w:noProof w:val="0"/>
          <w:lang w:val="en-US"/>
        </w:rPr>
        <w:t xml:space="preserve">of Human Rights, in the case of </w:t>
      </w:r>
      <w:r w:rsidR="007D413B" w:rsidRPr="00610904">
        <w:rPr>
          <w:i/>
          <w:noProof w:val="0"/>
          <w:lang w:val="en-US"/>
        </w:rPr>
        <w:t xml:space="preserve">Kiyutin </w:t>
      </w:r>
      <w:r w:rsidRPr="00610904">
        <w:rPr>
          <w:i/>
          <w:noProof w:val="0"/>
          <w:lang w:val="en-US"/>
        </w:rPr>
        <w:t>v.</w:t>
      </w:r>
      <w:r w:rsidR="007D413B" w:rsidRPr="00610904">
        <w:rPr>
          <w:i/>
          <w:noProof w:val="0"/>
          <w:lang w:val="en-US"/>
        </w:rPr>
        <w:t xml:space="preserve"> Rus</w:t>
      </w:r>
      <w:r w:rsidR="00523679" w:rsidRPr="00610904">
        <w:rPr>
          <w:i/>
          <w:noProof w:val="0"/>
          <w:lang w:val="en-US"/>
        </w:rPr>
        <w:t>s</w:t>
      </w:r>
      <w:r w:rsidR="007D413B" w:rsidRPr="00610904">
        <w:rPr>
          <w:i/>
          <w:noProof w:val="0"/>
          <w:lang w:val="en-US"/>
        </w:rPr>
        <w:t>ia</w:t>
      </w:r>
      <w:r w:rsidR="00836BA0" w:rsidRPr="00610904">
        <w:rPr>
          <w:noProof w:val="0"/>
          <w:lang w:val="en-US"/>
        </w:rPr>
        <w:t xml:space="preserve"> considered that a dis</w:t>
      </w:r>
      <w:r w:rsidR="00523679" w:rsidRPr="00610904">
        <w:rPr>
          <w:noProof w:val="0"/>
          <w:lang w:val="en-US"/>
        </w:rPr>
        <w:t xml:space="preserve">tinction made based on the health status of a person, including </w:t>
      </w:r>
      <w:r w:rsidR="00A8072E" w:rsidRPr="00610904">
        <w:rPr>
          <w:noProof w:val="0"/>
          <w:lang w:val="en-US"/>
        </w:rPr>
        <w:t>HIV</w:t>
      </w:r>
      <w:r w:rsidR="00404EE1" w:rsidRPr="00610904">
        <w:rPr>
          <w:noProof w:val="0"/>
          <w:lang w:val="en-US"/>
        </w:rPr>
        <w:t xml:space="preserve"> infection</w:t>
      </w:r>
      <w:r w:rsidR="007D413B" w:rsidRPr="00610904">
        <w:rPr>
          <w:noProof w:val="0"/>
          <w:lang w:val="en-US"/>
        </w:rPr>
        <w:t xml:space="preserve">, </w:t>
      </w:r>
      <w:r w:rsidR="00523679" w:rsidRPr="00610904">
        <w:rPr>
          <w:noProof w:val="0"/>
          <w:lang w:val="en-US"/>
        </w:rPr>
        <w:t xml:space="preserve">should be covered by the term disability or, </w:t>
      </w:r>
      <w:r w:rsidR="00856968" w:rsidRPr="00610904">
        <w:rPr>
          <w:noProof w:val="0"/>
          <w:lang w:val="en-US"/>
        </w:rPr>
        <w:t>similarly</w:t>
      </w:r>
      <w:r w:rsidR="00523679" w:rsidRPr="00610904">
        <w:rPr>
          <w:noProof w:val="0"/>
          <w:lang w:val="en-US"/>
        </w:rPr>
        <w:t xml:space="preserve">, by the term “other situation” in the text </w:t>
      </w:r>
      <w:r w:rsidR="006E502B" w:rsidRPr="00610904">
        <w:rPr>
          <w:noProof w:val="0"/>
          <w:lang w:val="en-US"/>
        </w:rPr>
        <w:t>of Article</w:t>
      </w:r>
      <w:r w:rsidR="007D413B" w:rsidRPr="00610904">
        <w:rPr>
          <w:noProof w:val="0"/>
          <w:lang w:val="en-US"/>
        </w:rPr>
        <w:t xml:space="preserve"> 14 </w:t>
      </w:r>
      <w:r w:rsidR="00523679" w:rsidRPr="00610904">
        <w:rPr>
          <w:noProof w:val="0"/>
          <w:lang w:val="en-US"/>
        </w:rPr>
        <w:t xml:space="preserve">of the European Convention </w:t>
      </w:r>
      <w:r w:rsidR="00523679" w:rsidRPr="00610904">
        <w:rPr>
          <w:noProof w:val="0"/>
          <w:lang w:val="en-US"/>
        </w:rPr>
        <w:lastRenderedPageBreak/>
        <w:t>on Human Rights.</w:t>
      </w:r>
      <w:r w:rsidR="007D413B" w:rsidRPr="00610904">
        <w:rPr>
          <w:rStyle w:val="FootnoteReference"/>
          <w:noProof w:val="0"/>
          <w:lang w:val="en-US"/>
        </w:rPr>
        <w:footnoteReference w:id="272"/>
      </w:r>
      <w:r w:rsidR="00523679" w:rsidRPr="00610904">
        <w:rPr>
          <w:noProof w:val="0"/>
          <w:lang w:val="en-US"/>
        </w:rPr>
        <w:t xml:space="preserve"> Furthermore, the Court underscores that some States and constitutional courts have recognized the condition of living with HIV as a form of disability.</w:t>
      </w:r>
      <w:r w:rsidR="007D413B" w:rsidRPr="00610904">
        <w:rPr>
          <w:rStyle w:val="FootnoteReference"/>
          <w:rFonts w:eastAsia="Calibri"/>
          <w:noProof w:val="0"/>
          <w:lang w:val="en-US"/>
        </w:rPr>
        <w:footnoteReference w:id="273"/>
      </w:r>
    </w:p>
    <w:p w:rsidR="007D413B" w:rsidRPr="00610904" w:rsidRDefault="007D413B" w:rsidP="00610904">
      <w:pPr>
        <w:rPr>
          <w:noProof w:val="0"/>
          <w:lang w:val="en-US"/>
        </w:rPr>
      </w:pPr>
    </w:p>
    <w:p w:rsidR="007D413B" w:rsidRPr="00610904" w:rsidRDefault="00523679" w:rsidP="00610904">
      <w:pPr>
        <w:numPr>
          <w:ilvl w:val="0"/>
          <w:numId w:val="1"/>
        </w:numPr>
        <w:contextualSpacing/>
        <w:rPr>
          <w:noProof w:val="0"/>
          <w:lang w:val="en-US"/>
        </w:rPr>
      </w:pPr>
      <w:r w:rsidRPr="00610904">
        <w:rPr>
          <w:noProof w:val="0"/>
          <w:lang w:val="en-US"/>
        </w:rPr>
        <w:t xml:space="preserve">Bearing in mind these </w:t>
      </w:r>
      <w:r w:rsidR="00856968" w:rsidRPr="00610904">
        <w:rPr>
          <w:noProof w:val="0"/>
          <w:lang w:val="en-US"/>
        </w:rPr>
        <w:t>characteristics</w:t>
      </w:r>
      <w:r w:rsidRPr="00610904">
        <w:rPr>
          <w:noProof w:val="0"/>
          <w:lang w:val="en-US"/>
        </w:rPr>
        <w:t xml:space="preserve">, and based on the </w:t>
      </w:r>
      <w:r w:rsidR="00535633" w:rsidRPr="00610904">
        <w:rPr>
          <w:noProof w:val="0"/>
          <w:lang w:val="en-US"/>
        </w:rPr>
        <w:t>situation</w:t>
      </w:r>
      <w:r w:rsidRPr="00610904">
        <w:rPr>
          <w:noProof w:val="0"/>
          <w:lang w:val="en-US"/>
        </w:rPr>
        <w:t xml:space="preserve"> o</w:t>
      </w:r>
      <w:r w:rsidR="00535633" w:rsidRPr="00610904">
        <w:rPr>
          <w:noProof w:val="0"/>
          <w:lang w:val="en-US"/>
        </w:rPr>
        <w:t>f</w:t>
      </w:r>
      <w:r w:rsidRPr="00610904">
        <w:rPr>
          <w:noProof w:val="0"/>
          <w:lang w:val="en-US"/>
        </w:rPr>
        <w:t xml:space="preserve"> vulnerability that Talía has faced, the Court finds it pertinent to clarify some elements of </w:t>
      </w:r>
      <w:r w:rsidR="0013395A" w:rsidRPr="00610904">
        <w:rPr>
          <w:noProof w:val="0"/>
          <w:lang w:val="en-US"/>
        </w:rPr>
        <w:t>the right to education</w:t>
      </w:r>
      <w:r w:rsidRPr="00610904">
        <w:rPr>
          <w:noProof w:val="0"/>
          <w:lang w:val="en-US"/>
        </w:rPr>
        <w:t xml:space="preserve"> of persons living with medical conditions that could result in disability such as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 xml:space="preserve">. </w:t>
      </w:r>
      <w:r w:rsidRPr="00610904">
        <w:rPr>
          <w:noProof w:val="0"/>
          <w:lang w:val="en-US"/>
        </w:rPr>
        <w:t>In this regard, it will also refer to some elements associated with the</w:t>
      </w:r>
      <w:r w:rsidR="007D413B" w:rsidRPr="00610904">
        <w:rPr>
          <w:noProof w:val="0"/>
          <w:lang w:val="en-US"/>
        </w:rPr>
        <w:t xml:space="preserve"> </w:t>
      </w:r>
      <w:r w:rsidR="007D72DC" w:rsidRPr="00610904">
        <w:rPr>
          <w:noProof w:val="0"/>
          <w:lang w:val="en-US"/>
        </w:rPr>
        <w:t>right to education</w:t>
      </w:r>
      <w:r w:rsidR="007D413B" w:rsidRPr="00610904">
        <w:rPr>
          <w:noProof w:val="0"/>
          <w:lang w:val="en-US"/>
        </w:rPr>
        <w:t xml:space="preserve"> </w:t>
      </w:r>
      <w:r w:rsidRPr="00610904">
        <w:rPr>
          <w:noProof w:val="0"/>
          <w:lang w:val="en-US"/>
        </w:rPr>
        <w:t xml:space="preserve">of persons with disabilities. On this point, the United Nations </w:t>
      </w:r>
      <w:r w:rsidR="004150B2" w:rsidRPr="00610904">
        <w:rPr>
          <w:noProof w:val="0"/>
          <w:lang w:val="en-US"/>
        </w:rPr>
        <w:t>Internatio</w:t>
      </w:r>
      <w:r w:rsidRPr="00610904">
        <w:rPr>
          <w:noProof w:val="0"/>
          <w:lang w:val="en-US"/>
        </w:rPr>
        <w:t xml:space="preserve">nal Guidelines on HIV/AIDS and </w:t>
      </w:r>
      <w:r w:rsidR="004150B2" w:rsidRPr="00610904">
        <w:rPr>
          <w:noProof w:val="0"/>
          <w:lang w:val="en-US"/>
        </w:rPr>
        <w:t>Human Rights</w:t>
      </w:r>
      <w:r w:rsidR="007D413B" w:rsidRPr="00610904">
        <w:rPr>
          <w:rStyle w:val="FootnoteReference"/>
          <w:noProof w:val="0"/>
          <w:lang w:val="en-US"/>
        </w:rPr>
        <w:footnoteReference w:id="274"/>
      </w:r>
      <w:r w:rsidR="007D413B" w:rsidRPr="00610904">
        <w:rPr>
          <w:noProof w:val="0"/>
          <w:lang w:val="en-US"/>
        </w:rPr>
        <w:t xml:space="preserve"> </w:t>
      </w:r>
      <w:r w:rsidRPr="00610904">
        <w:rPr>
          <w:noProof w:val="0"/>
          <w:lang w:val="en-US"/>
        </w:rPr>
        <w:t>establish the following on the</w:t>
      </w:r>
      <w:r w:rsidR="0013395A" w:rsidRPr="00610904">
        <w:rPr>
          <w:noProof w:val="0"/>
          <w:lang w:val="en-US"/>
        </w:rPr>
        <w:t xml:space="preserve"> right to education</w:t>
      </w:r>
      <w:r w:rsidRPr="00610904">
        <w:rPr>
          <w:noProof w:val="0"/>
          <w:lang w:val="en-US"/>
        </w:rPr>
        <w:t xml:space="preserve"> of persons with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w:t>
      </w:r>
    </w:p>
    <w:p w:rsidR="00D767ED" w:rsidRPr="00610904" w:rsidRDefault="00D767ED" w:rsidP="00610904">
      <w:pPr>
        <w:ind w:right="475"/>
        <w:rPr>
          <w:noProof w:val="0"/>
          <w:sz w:val="16"/>
          <w:szCs w:val="16"/>
          <w:lang w:val="en-US"/>
        </w:rPr>
      </w:pPr>
    </w:p>
    <w:p w:rsidR="00D767ED" w:rsidRPr="00610904" w:rsidRDefault="00391F07" w:rsidP="00610904">
      <w:pPr>
        <w:ind w:left="720" w:right="475"/>
        <w:rPr>
          <w:noProof w:val="0"/>
          <w:sz w:val="16"/>
          <w:szCs w:val="16"/>
          <w:lang w:val="en-US"/>
        </w:rPr>
      </w:pPr>
      <w:r w:rsidRPr="00610904">
        <w:rPr>
          <w:noProof w:val="0"/>
          <w:sz w:val="16"/>
          <w:szCs w:val="16"/>
          <w:lang w:val="en-US"/>
        </w:rPr>
        <w:t>“F</w:t>
      </w:r>
      <w:r w:rsidR="00D767ED" w:rsidRPr="00610904">
        <w:rPr>
          <w:noProof w:val="0"/>
          <w:sz w:val="16"/>
          <w:szCs w:val="16"/>
          <w:lang w:val="en-US"/>
        </w:rPr>
        <w:t>irstly, both children and adults have the right to receive HIV-related education, particularly regarding prevention and care. Access to education concerning HIV is an essential life-saving component of effective prevention and care programmes. It is the State’s obligation to ensure, in every cultural and religious tradition, that appropriate means are found so that effective HIV information is included in educational programmes inside and outside schools. The provision of education and information to children should not be considered as promoting early sexual experimentation; rather, as studies indicate, it delays sexual activity</w:t>
      </w:r>
      <w:r w:rsidRPr="00610904">
        <w:rPr>
          <w:noProof w:val="0"/>
          <w:sz w:val="16"/>
          <w:szCs w:val="16"/>
          <w:lang w:val="en-US"/>
        </w:rPr>
        <w:t>.”</w:t>
      </w:r>
      <w:r w:rsidRPr="00610904">
        <w:rPr>
          <w:rStyle w:val="FootnoteReference"/>
          <w:noProof w:val="0"/>
          <w:sz w:val="16"/>
          <w:szCs w:val="16"/>
          <w:lang w:val="en-US"/>
        </w:rPr>
        <w:footnoteReference w:id="275"/>
      </w:r>
    </w:p>
    <w:p w:rsidR="00D767ED" w:rsidRPr="00610904" w:rsidRDefault="00D767ED" w:rsidP="00610904">
      <w:pPr>
        <w:ind w:left="720" w:right="475"/>
        <w:rPr>
          <w:noProof w:val="0"/>
          <w:sz w:val="16"/>
          <w:szCs w:val="16"/>
          <w:lang w:val="en-US"/>
        </w:rPr>
      </w:pPr>
    </w:p>
    <w:p w:rsidR="00D767ED" w:rsidRPr="00610904" w:rsidRDefault="00391F07" w:rsidP="00610904">
      <w:pPr>
        <w:ind w:left="720" w:right="475"/>
        <w:rPr>
          <w:noProof w:val="0"/>
          <w:sz w:val="16"/>
          <w:szCs w:val="16"/>
          <w:lang w:val="en-US"/>
        </w:rPr>
      </w:pPr>
      <w:r w:rsidRPr="00610904">
        <w:rPr>
          <w:noProof w:val="0"/>
          <w:sz w:val="16"/>
          <w:szCs w:val="16"/>
          <w:lang w:val="en-US"/>
        </w:rPr>
        <w:t>“</w:t>
      </w:r>
      <w:r w:rsidR="00D767ED" w:rsidRPr="00610904">
        <w:rPr>
          <w:noProof w:val="0"/>
          <w:sz w:val="16"/>
          <w:szCs w:val="16"/>
          <w:lang w:val="en-US"/>
        </w:rPr>
        <w:t xml:space="preserve">Secondly, States should ensure that both children and adults living with HIV are not discriminatorily denied access to </w:t>
      </w:r>
      <w:r w:rsidRPr="00610904">
        <w:rPr>
          <w:noProof w:val="0"/>
          <w:sz w:val="16"/>
          <w:szCs w:val="16"/>
          <w:lang w:val="en-US"/>
        </w:rPr>
        <w:t>e</w:t>
      </w:r>
      <w:r w:rsidR="00D767ED" w:rsidRPr="00610904">
        <w:rPr>
          <w:noProof w:val="0"/>
          <w:sz w:val="16"/>
          <w:szCs w:val="16"/>
          <w:lang w:val="en-US"/>
        </w:rPr>
        <w:t>ducation, including access to schools, universities, scholarships and international education or subject to restrictions because of their HIV status. There is no public health rationale for such measures since there is no risk of transmitting HIV ca</w:t>
      </w:r>
      <w:r w:rsidRPr="00610904">
        <w:rPr>
          <w:noProof w:val="0"/>
          <w:sz w:val="16"/>
          <w:szCs w:val="16"/>
          <w:lang w:val="en-US"/>
        </w:rPr>
        <w:t>sually in educational settings.”</w:t>
      </w:r>
      <w:r w:rsidRPr="00610904">
        <w:rPr>
          <w:rStyle w:val="FootnoteReference"/>
          <w:noProof w:val="0"/>
          <w:sz w:val="16"/>
          <w:szCs w:val="16"/>
          <w:lang w:val="en-US"/>
        </w:rPr>
        <w:footnoteReference w:id="276"/>
      </w:r>
    </w:p>
    <w:p w:rsidR="00D767ED" w:rsidRPr="00610904" w:rsidRDefault="00D767ED" w:rsidP="00610904">
      <w:pPr>
        <w:ind w:left="720" w:right="475"/>
        <w:rPr>
          <w:noProof w:val="0"/>
          <w:sz w:val="16"/>
          <w:szCs w:val="16"/>
          <w:lang w:val="en-US"/>
        </w:rPr>
      </w:pPr>
    </w:p>
    <w:p w:rsidR="007D413B" w:rsidRPr="00610904" w:rsidRDefault="00D767ED" w:rsidP="00610904">
      <w:pPr>
        <w:ind w:left="720" w:right="475"/>
        <w:rPr>
          <w:noProof w:val="0"/>
          <w:sz w:val="16"/>
          <w:szCs w:val="16"/>
          <w:lang w:val="en-US"/>
        </w:rPr>
      </w:pPr>
      <w:r w:rsidRPr="00610904">
        <w:rPr>
          <w:noProof w:val="0"/>
          <w:sz w:val="16"/>
          <w:szCs w:val="16"/>
          <w:lang w:val="en-US"/>
        </w:rPr>
        <w:t>Thirdly, States should, through education, promote understanding, respect, tolerance and non-discrimination in relation to persons living with HIV.</w:t>
      </w:r>
      <w:r w:rsidR="00391F07" w:rsidRPr="00610904">
        <w:rPr>
          <w:rStyle w:val="FootnoteReference"/>
          <w:noProof w:val="0"/>
          <w:sz w:val="16"/>
          <w:szCs w:val="16"/>
          <w:lang w:val="en-US"/>
        </w:rPr>
        <w:footnoteReference w:id="277"/>
      </w:r>
    </w:p>
    <w:p w:rsidR="007D413B" w:rsidRPr="00610904" w:rsidRDefault="007D413B" w:rsidP="00610904">
      <w:pPr>
        <w:rPr>
          <w:noProof w:val="0"/>
          <w:lang w:val="en-US"/>
        </w:rPr>
      </w:pPr>
    </w:p>
    <w:p w:rsidR="003040F7" w:rsidRPr="00610904" w:rsidRDefault="00391F07" w:rsidP="00610904">
      <w:pPr>
        <w:pStyle w:val="MediumGrid1-Accent21"/>
        <w:numPr>
          <w:ilvl w:val="0"/>
          <w:numId w:val="1"/>
        </w:numPr>
        <w:rPr>
          <w:noProof w:val="0"/>
          <w:lang w:val="en-US"/>
        </w:rPr>
      </w:pPr>
      <w:r w:rsidRPr="00610904">
        <w:rPr>
          <w:noProof w:val="0"/>
          <w:lang w:val="en-US"/>
        </w:rPr>
        <w:lastRenderedPageBreak/>
        <w:t xml:space="preserve">As can be seen, there are three obligations inherent in the </w:t>
      </w:r>
      <w:r w:rsidR="007D72DC" w:rsidRPr="00610904">
        <w:rPr>
          <w:noProof w:val="0"/>
          <w:lang w:val="en-US"/>
        </w:rPr>
        <w:t>right to education</w:t>
      </w:r>
      <w:r w:rsidR="007D413B" w:rsidRPr="00610904">
        <w:rPr>
          <w:noProof w:val="0"/>
          <w:lang w:val="en-US"/>
        </w:rPr>
        <w:t xml:space="preserve"> </w:t>
      </w:r>
      <w:r w:rsidR="00AC2FC4" w:rsidRPr="00610904">
        <w:rPr>
          <w:noProof w:val="0"/>
          <w:lang w:val="en-US"/>
        </w:rPr>
        <w:t xml:space="preserve">in the case of </w:t>
      </w:r>
      <w:r w:rsidRPr="00610904">
        <w:rPr>
          <w:noProof w:val="0"/>
          <w:lang w:val="en-US"/>
        </w:rPr>
        <w:t>persons living with</w:t>
      </w:r>
      <w:r w:rsidR="007D413B" w:rsidRPr="00610904">
        <w:rPr>
          <w:noProof w:val="0"/>
          <w:lang w:val="en-US"/>
        </w:rPr>
        <w:t xml:space="preserve">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 xml:space="preserve">: </w:t>
      </w:r>
      <w:r w:rsidRPr="00610904">
        <w:rPr>
          <w:noProof w:val="0"/>
          <w:lang w:val="en-US"/>
        </w:rPr>
        <w:t>(</w:t>
      </w:r>
      <w:r w:rsidR="007D413B" w:rsidRPr="00610904">
        <w:rPr>
          <w:noProof w:val="0"/>
          <w:lang w:val="en-US"/>
        </w:rPr>
        <w:t xml:space="preserve">i) </w:t>
      </w:r>
      <w:r w:rsidRPr="00610904">
        <w:rPr>
          <w:noProof w:val="0"/>
          <w:lang w:val="en-US"/>
        </w:rPr>
        <w:t xml:space="preserve">the right to have timely, prejudice-free information on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 xml:space="preserve">; </w:t>
      </w:r>
      <w:r w:rsidRPr="00610904">
        <w:rPr>
          <w:noProof w:val="0"/>
          <w:lang w:val="en-US"/>
        </w:rPr>
        <w:t>(</w:t>
      </w:r>
      <w:r w:rsidR="007D413B" w:rsidRPr="00610904">
        <w:rPr>
          <w:noProof w:val="0"/>
          <w:lang w:val="en-US"/>
        </w:rPr>
        <w:t xml:space="preserve">ii) </w:t>
      </w:r>
      <w:r w:rsidRPr="00610904">
        <w:rPr>
          <w:noProof w:val="0"/>
          <w:lang w:val="en-US"/>
        </w:rPr>
        <w:t xml:space="preserve">the prohibition to </w:t>
      </w:r>
      <w:r w:rsidR="00535633" w:rsidRPr="00610904">
        <w:rPr>
          <w:noProof w:val="0"/>
          <w:lang w:val="en-US"/>
        </w:rPr>
        <w:t>deny</w:t>
      </w:r>
      <w:r w:rsidRPr="00610904">
        <w:rPr>
          <w:noProof w:val="0"/>
          <w:lang w:val="en-US"/>
        </w:rPr>
        <w:t xml:space="preserve"> access to educational establishments to persons with </w:t>
      </w:r>
      <w:r w:rsidR="00A8072E" w:rsidRPr="00610904">
        <w:rPr>
          <w:noProof w:val="0"/>
          <w:lang w:val="en-US"/>
        </w:rPr>
        <w:t>HIV</w:t>
      </w:r>
      <w:r w:rsidR="007D413B" w:rsidRPr="00610904">
        <w:rPr>
          <w:noProof w:val="0"/>
          <w:lang w:val="en-US"/>
        </w:rPr>
        <w:t>/</w:t>
      </w:r>
      <w:r w:rsidR="00A8072E" w:rsidRPr="00610904">
        <w:rPr>
          <w:noProof w:val="0"/>
          <w:lang w:val="en-US"/>
        </w:rPr>
        <w:t>AIDS</w:t>
      </w:r>
      <w:r w:rsidR="007D413B" w:rsidRPr="00610904">
        <w:rPr>
          <w:noProof w:val="0"/>
          <w:lang w:val="en-US"/>
        </w:rPr>
        <w:t>,</w:t>
      </w:r>
      <w:r w:rsidR="009F3D78" w:rsidRPr="00610904">
        <w:rPr>
          <w:noProof w:val="0"/>
          <w:lang w:val="en-US"/>
        </w:rPr>
        <w:t xml:space="preserve"> and </w:t>
      </w:r>
      <w:r w:rsidRPr="00610904">
        <w:rPr>
          <w:noProof w:val="0"/>
          <w:lang w:val="en-US"/>
        </w:rPr>
        <w:t>(</w:t>
      </w:r>
      <w:r w:rsidR="007D413B" w:rsidRPr="00610904">
        <w:rPr>
          <w:noProof w:val="0"/>
          <w:lang w:val="en-US"/>
        </w:rPr>
        <w:t xml:space="preserve">iii) </w:t>
      </w:r>
      <w:r w:rsidRPr="00610904">
        <w:rPr>
          <w:noProof w:val="0"/>
          <w:lang w:val="en-US"/>
        </w:rPr>
        <w:t>the right that education should promote their inclusion and non-discrimination by their social milieu. The Court will now examine these obligatio</w:t>
      </w:r>
      <w:r w:rsidR="00535633" w:rsidRPr="00610904">
        <w:rPr>
          <w:noProof w:val="0"/>
          <w:lang w:val="en-US"/>
        </w:rPr>
        <w:t>ns when assessing the dispute concerning</w:t>
      </w:r>
      <w:r w:rsidRPr="00610904">
        <w:rPr>
          <w:noProof w:val="0"/>
          <w:lang w:val="en-US"/>
        </w:rPr>
        <w:t xml:space="preserve"> the way in which Talía </w:t>
      </w:r>
      <w:r w:rsidR="00535633" w:rsidRPr="00610904">
        <w:rPr>
          <w:noProof w:val="0"/>
          <w:lang w:val="en-US"/>
        </w:rPr>
        <w:t xml:space="preserve">was </w:t>
      </w:r>
      <w:r w:rsidRPr="00610904">
        <w:rPr>
          <w:noProof w:val="0"/>
          <w:lang w:val="en-US"/>
        </w:rPr>
        <w:t>expelled from the school she was attending owing to the presumed risk that she posed for her companions</w:t>
      </w:r>
      <w:r w:rsidR="003040F7" w:rsidRPr="00610904">
        <w:rPr>
          <w:noProof w:val="0"/>
          <w:lang w:val="en-US"/>
        </w:rPr>
        <w:t xml:space="preserve">.  </w:t>
      </w:r>
    </w:p>
    <w:p w:rsidR="003040F7" w:rsidRPr="00610904" w:rsidRDefault="003040F7" w:rsidP="00610904">
      <w:pPr>
        <w:pStyle w:val="MediumGrid1-Accent21"/>
        <w:rPr>
          <w:noProof w:val="0"/>
          <w:lang w:val="en-US"/>
        </w:rPr>
      </w:pPr>
    </w:p>
    <w:p w:rsidR="003040F7" w:rsidRPr="00610904" w:rsidRDefault="003040F7" w:rsidP="00610904">
      <w:pPr>
        <w:pStyle w:val="Heading2"/>
        <w:numPr>
          <w:ilvl w:val="0"/>
          <w:numId w:val="0"/>
        </w:numPr>
        <w:spacing w:before="0" w:after="0"/>
        <w:ind w:left="720" w:hanging="360"/>
        <w:rPr>
          <w:noProof w:val="0"/>
          <w:lang w:val="en-US"/>
        </w:rPr>
      </w:pPr>
      <w:bookmarkStart w:id="110" w:name="_Toc422436042"/>
      <w:bookmarkStart w:id="111" w:name="_Toc443399104"/>
      <w:r w:rsidRPr="00610904">
        <w:rPr>
          <w:noProof w:val="0"/>
          <w:lang w:val="en-US"/>
        </w:rPr>
        <w:t xml:space="preserve">B. </w:t>
      </w:r>
      <w:r w:rsidR="00391F07" w:rsidRPr="00610904">
        <w:rPr>
          <w:noProof w:val="0"/>
          <w:lang w:val="en-US"/>
        </w:rPr>
        <w:t xml:space="preserve">Right to remain within the </w:t>
      </w:r>
      <w:r w:rsidR="001A2523" w:rsidRPr="00610904">
        <w:rPr>
          <w:noProof w:val="0"/>
          <w:lang w:val="en-US"/>
        </w:rPr>
        <w:t>education system</w:t>
      </w:r>
      <w:r w:rsidRPr="00610904">
        <w:rPr>
          <w:noProof w:val="0"/>
          <w:lang w:val="en-US"/>
        </w:rPr>
        <w:t xml:space="preserve">, </w:t>
      </w:r>
      <w:r w:rsidR="00391F07" w:rsidRPr="00610904">
        <w:rPr>
          <w:noProof w:val="0"/>
          <w:lang w:val="en-US"/>
        </w:rPr>
        <w:t xml:space="preserve">right </w:t>
      </w:r>
      <w:r w:rsidR="00535633" w:rsidRPr="00610904">
        <w:rPr>
          <w:noProof w:val="0"/>
          <w:lang w:val="en-US"/>
        </w:rPr>
        <w:t>not to be discriminated against, and</w:t>
      </w:r>
      <w:r w:rsidR="009F3D78" w:rsidRPr="00610904">
        <w:rPr>
          <w:noProof w:val="0"/>
          <w:lang w:val="en-US"/>
        </w:rPr>
        <w:t xml:space="preserve"> </w:t>
      </w:r>
      <w:r w:rsidR="00391F07" w:rsidRPr="00610904">
        <w:rPr>
          <w:noProof w:val="0"/>
          <w:lang w:val="en-US"/>
        </w:rPr>
        <w:t>adaptability in relation to the</w:t>
      </w:r>
      <w:r w:rsidRPr="00610904">
        <w:rPr>
          <w:noProof w:val="0"/>
          <w:lang w:val="en-US"/>
        </w:rPr>
        <w:t xml:space="preserve"> </w:t>
      </w:r>
      <w:r w:rsidR="007D72DC" w:rsidRPr="00610904">
        <w:rPr>
          <w:noProof w:val="0"/>
          <w:lang w:val="en-US"/>
        </w:rPr>
        <w:t>right to education</w:t>
      </w:r>
      <w:bookmarkEnd w:id="110"/>
      <w:bookmarkEnd w:id="111"/>
    </w:p>
    <w:p w:rsidR="003040F7" w:rsidRPr="00610904" w:rsidRDefault="003040F7" w:rsidP="00610904">
      <w:pPr>
        <w:rPr>
          <w:noProof w:val="0"/>
          <w:lang w:val="en-US"/>
        </w:rPr>
      </w:pPr>
    </w:p>
    <w:p w:rsidR="003040F7" w:rsidRPr="00610904" w:rsidRDefault="00391F07" w:rsidP="00610904">
      <w:pPr>
        <w:pStyle w:val="MediumGrid1-Accent21"/>
        <w:numPr>
          <w:ilvl w:val="0"/>
          <w:numId w:val="1"/>
        </w:numPr>
        <w:rPr>
          <w:noProof w:val="0"/>
          <w:lang w:val="en-US"/>
        </w:rPr>
      </w:pPr>
      <w:r w:rsidRPr="00610904">
        <w:rPr>
          <w:noProof w:val="0"/>
          <w:lang w:val="en-US"/>
        </w:rPr>
        <w:t xml:space="preserve">Based on the facts of this case, when establishing whether discrimination existed that violated </w:t>
      </w:r>
      <w:r w:rsidR="006E502B" w:rsidRPr="00610904">
        <w:rPr>
          <w:noProof w:val="0"/>
          <w:lang w:val="en-US"/>
        </w:rPr>
        <w:t>Article</w:t>
      </w:r>
      <w:r w:rsidR="003040F7" w:rsidRPr="00610904">
        <w:rPr>
          <w:noProof w:val="0"/>
          <w:lang w:val="en-US"/>
        </w:rPr>
        <w:t xml:space="preserve"> 13 </w:t>
      </w:r>
      <w:r w:rsidRPr="00610904">
        <w:rPr>
          <w:noProof w:val="0"/>
          <w:lang w:val="en-US"/>
        </w:rPr>
        <w:t>of the</w:t>
      </w:r>
      <w:r w:rsidR="003040F7" w:rsidRPr="00610904">
        <w:rPr>
          <w:noProof w:val="0"/>
          <w:lang w:val="en-US"/>
        </w:rPr>
        <w:t xml:space="preserve"> </w:t>
      </w:r>
      <w:r w:rsidR="00852A2E" w:rsidRPr="00610904">
        <w:rPr>
          <w:noProof w:val="0"/>
          <w:lang w:val="en-US"/>
        </w:rPr>
        <w:t>Protocol of</w:t>
      </w:r>
      <w:r w:rsidR="003040F7" w:rsidRPr="00610904">
        <w:rPr>
          <w:noProof w:val="0"/>
          <w:lang w:val="en-US"/>
        </w:rPr>
        <w:t xml:space="preserve"> San Salvador, </w:t>
      </w:r>
      <w:r w:rsidR="00535633" w:rsidRPr="00610904">
        <w:rPr>
          <w:noProof w:val="0"/>
          <w:lang w:val="en-US"/>
        </w:rPr>
        <w:t>the Court will begin by</w:t>
      </w:r>
      <w:r w:rsidRPr="00610904">
        <w:rPr>
          <w:noProof w:val="0"/>
          <w:lang w:val="en-US"/>
        </w:rPr>
        <w:t xml:space="preserve"> examin</w:t>
      </w:r>
      <w:r w:rsidR="00535633" w:rsidRPr="00610904">
        <w:rPr>
          <w:noProof w:val="0"/>
          <w:lang w:val="en-US"/>
        </w:rPr>
        <w:t>in</w:t>
      </w:r>
      <w:r w:rsidRPr="00610904">
        <w:rPr>
          <w:noProof w:val="0"/>
          <w:lang w:val="en-US"/>
        </w:rPr>
        <w:t xml:space="preserve">g the expulsion of Talía from the school in which she was studying, in the context of a justification based on the “interests of all the other students.” Then, the Court will examine some of the problems concerning stigmatization in Talía’s access to education following her dismissal from that school. </w:t>
      </w:r>
    </w:p>
    <w:p w:rsidR="003040F7" w:rsidRPr="00610904" w:rsidRDefault="003040F7" w:rsidP="00610904">
      <w:pPr>
        <w:pStyle w:val="MediumGrid1-Accent21"/>
        <w:ind w:left="0"/>
        <w:rPr>
          <w:noProof w:val="0"/>
          <w:lang w:val="en-US"/>
        </w:rPr>
      </w:pPr>
    </w:p>
    <w:p w:rsidR="003040F7" w:rsidRPr="00610904" w:rsidRDefault="00391F07" w:rsidP="00610904">
      <w:pPr>
        <w:pStyle w:val="MediumGrid1-Accent21"/>
        <w:numPr>
          <w:ilvl w:val="0"/>
          <w:numId w:val="1"/>
        </w:numPr>
        <w:rPr>
          <w:noProof w:val="0"/>
          <w:lang w:val="en-US"/>
        </w:rPr>
      </w:pPr>
      <w:r w:rsidRPr="00610904">
        <w:rPr>
          <w:rFonts w:cs="BookAntiqua"/>
          <w:noProof w:val="0"/>
          <w:lang w:val="en-US"/>
        </w:rPr>
        <w:t xml:space="preserve">However, first the Court observes that </w:t>
      </w:r>
      <w:r w:rsidR="009F3D78" w:rsidRPr="00610904">
        <w:rPr>
          <w:rFonts w:cs="BookAntiqua"/>
          <w:noProof w:val="0"/>
          <w:lang w:val="en-US"/>
        </w:rPr>
        <w:t>the representatives</w:t>
      </w:r>
      <w:r w:rsidR="003040F7" w:rsidRPr="00610904">
        <w:rPr>
          <w:rFonts w:cs="BookAntiqua"/>
          <w:noProof w:val="0"/>
          <w:lang w:val="en-US"/>
        </w:rPr>
        <w:t xml:space="preserve"> </w:t>
      </w:r>
      <w:r w:rsidRPr="00610904">
        <w:rPr>
          <w:rFonts w:cs="BookAntiqua"/>
          <w:noProof w:val="0"/>
          <w:lang w:val="en-US"/>
        </w:rPr>
        <w:t xml:space="preserve">have argued </w:t>
      </w:r>
      <w:r w:rsidR="00EF508D" w:rsidRPr="00610904">
        <w:rPr>
          <w:rFonts w:cs="BookAntiqua"/>
          <w:noProof w:val="0"/>
          <w:lang w:val="en-US"/>
        </w:rPr>
        <w:t>the violation</w:t>
      </w:r>
      <w:r w:rsidR="003040F7" w:rsidRPr="00610904">
        <w:rPr>
          <w:rFonts w:cs="BookAntiqua"/>
          <w:noProof w:val="0"/>
          <w:lang w:val="en-US"/>
        </w:rPr>
        <w:t xml:space="preserve"> </w:t>
      </w:r>
      <w:r w:rsidR="006E502B" w:rsidRPr="00610904">
        <w:rPr>
          <w:rFonts w:cs="BookAntiqua"/>
          <w:noProof w:val="0"/>
          <w:lang w:val="en-US"/>
        </w:rPr>
        <w:t>of Article</w:t>
      </w:r>
      <w:r w:rsidR="003040F7" w:rsidRPr="00610904">
        <w:rPr>
          <w:rFonts w:cs="BookAntiqua"/>
          <w:noProof w:val="0"/>
          <w:lang w:val="en-US"/>
        </w:rPr>
        <w:t xml:space="preserve"> 24</w:t>
      </w:r>
      <w:r w:rsidR="009F3D78" w:rsidRPr="00610904">
        <w:rPr>
          <w:rFonts w:cs="BookAntiqua"/>
          <w:noProof w:val="0"/>
          <w:lang w:val="en-US"/>
        </w:rPr>
        <w:t xml:space="preserve"> of the American Convention</w:t>
      </w:r>
      <w:r w:rsidR="00C01FDD" w:rsidRPr="00610904">
        <w:rPr>
          <w:rFonts w:cs="BookAntiqua"/>
          <w:noProof w:val="0"/>
          <w:lang w:val="en-US"/>
        </w:rPr>
        <w:t xml:space="preserve"> </w:t>
      </w:r>
      <w:r w:rsidR="004A6E8B" w:rsidRPr="00610904">
        <w:rPr>
          <w:rFonts w:cs="BookAntiqua"/>
          <w:noProof w:val="0"/>
          <w:lang w:val="en-US"/>
        </w:rPr>
        <w:t>in relation to</w:t>
      </w:r>
      <w:r w:rsidR="003040F7" w:rsidRPr="00610904">
        <w:rPr>
          <w:rFonts w:cs="BookAntiqua"/>
          <w:noProof w:val="0"/>
          <w:lang w:val="en-US"/>
        </w:rPr>
        <w:t xml:space="preserve"> </w:t>
      </w:r>
      <w:r w:rsidRPr="00610904">
        <w:rPr>
          <w:rFonts w:cs="BookAntiqua"/>
          <w:noProof w:val="0"/>
          <w:lang w:val="en-US"/>
        </w:rPr>
        <w:t xml:space="preserve">all the aspects related to the </w:t>
      </w:r>
      <w:r w:rsidR="00223622" w:rsidRPr="00610904">
        <w:rPr>
          <w:rFonts w:cs="BookAntiqua"/>
          <w:noProof w:val="0"/>
          <w:lang w:val="en-US"/>
        </w:rPr>
        <w:t>alleged</w:t>
      </w:r>
      <w:r w:rsidR="003040F7" w:rsidRPr="00610904">
        <w:rPr>
          <w:rFonts w:cs="BookAntiqua"/>
          <w:noProof w:val="0"/>
          <w:lang w:val="en-US"/>
        </w:rPr>
        <w:t xml:space="preserve"> </w:t>
      </w:r>
      <w:r w:rsidR="00856968" w:rsidRPr="00610904">
        <w:rPr>
          <w:rFonts w:cs="BookAntiqua"/>
          <w:noProof w:val="0"/>
          <w:lang w:val="en-US"/>
        </w:rPr>
        <w:t>discrimination</w:t>
      </w:r>
      <w:r w:rsidR="003040F7" w:rsidRPr="00610904">
        <w:rPr>
          <w:rFonts w:cs="BookAntiqua"/>
          <w:noProof w:val="0"/>
          <w:lang w:val="en-US"/>
        </w:rPr>
        <w:t xml:space="preserve"> </w:t>
      </w:r>
      <w:r w:rsidRPr="00610904">
        <w:rPr>
          <w:rFonts w:cs="BookAntiqua"/>
          <w:noProof w:val="0"/>
          <w:lang w:val="en-US"/>
        </w:rPr>
        <w:t>in this case.</w:t>
      </w:r>
      <w:r w:rsidR="003040F7" w:rsidRPr="00610904">
        <w:rPr>
          <w:rFonts w:cs="BookAntiqua"/>
          <w:noProof w:val="0"/>
          <w:lang w:val="en-US"/>
        </w:rPr>
        <w:t xml:space="preserve"> </w:t>
      </w:r>
      <w:r w:rsidRPr="00610904">
        <w:rPr>
          <w:rFonts w:cs="BookAntiqua"/>
          <w:noProof w:val="0"/>
          <w:lang w:val="en-US"/>
        </w:rPr>
        <w:t xml:space="preserve">In this regard, in relation to </w:t>
      </w:r>
      <w:r w:rsidR="006E502B" w:rsidRPr="00610904">
        <w:rPr>
          <w:rFonts w:cs="Arial"/>
          <w:noProof w:val="0"/>
          <w:lang w:val="en-US"/>
        </w:rPr>
        <w:t>Articles 1(1)</w:t>
      </w:r>
      <w:r w:rsidR="009F3D78" w:rsidRPr="00610904">
        <w:rPr>
          <w:rFonts w:cs="Arial"/>
          <w:noProof w:val="0"/>
          <w:lang w:val="en-US"/>
        </w:rPr>
        <w:t xml:space="preserve"> and </w:t>
      </w:r>
      <w:r w:rsidR="003040F7" w:rsidRPr="00610904">
        <w:rPr>
          <w:rFonts w:cs="Arial"/>
          <w:noProof w:val="0"/>
          <w:lang w:val="en-US"/>
        </w:rPr>
        <w:t>24</w:t>
      </w:r>
      <w:r w:rsidR="009F3D78" w:rsidRPr="00610904">
        <w:rPr>
          <w:rFonts w:cs="Arial"/>
          <w:noProof w:val="0"/>
          <w:lang w:val="en-US"/>
        </w:rPr>
        <w:t xml:space="preserve"> of the Convention</w:t>
      </w:r>
      <w:r w:rsidR="003040F7" w:rsidRPr="00610904">
        <w:rPr>
          <w:rFonts w:cs="Arial"/>
          <w:noProof w:val="0"/>
          <w:lang w:val="en-US"/>
        </w:rPr>
        <w:t xml:space="preserve">, </w:t>
      </w:r>
      <w:r w:rsidR="009F3D78" w:rsidRPr="00610904">
        <w:rPr>
          <w:rFonts w:cs="Arial"/>
          <w:noProof w:val="0"/>
          <w:lang w:val="en-US"/>
        </w:rPr>
        <w:t>the Court</w:t>
      </w:r>
      <w:r w:rsidR="003040F7" w:rsidRPr="00610904">
        <w:rPr>
          <w:rFonts w:cs="Arial"/>
          <w:noProof w:val="0"/>
          <w:lang w:val="en-US"/>
        </w:rPr>
        <w:t xml:space="preserve"> ha</w:t>
      </w:r>
      <w:r w:rsidRPr="00610904">
        <w:rPr>
          <w:rFonts w:cs="Arial"/>
          <w:noProof w:val="0"/>
          <w:lang w:val="en-US"/>
        </w:rPr>
        <w:t xml:space="preserve">s indicated that “the difference between the two articles is based on the fact that the general obligation under </w:t>
      </w:r>
      <w:r w:rsidR="006E502B" w:rsidRPr="00610904">
        <w:rPr>
          <w:rFonts w:cs="Arial"/>
          <w:noProof w:val="0"/>
          <w:lang w:val="en-US"/>
        </w:rPr>
        <w:t>Article 1(1)</w:t>
      </w:r>
      <w:r w:rsidR="003040F7" w:rsidRPr="00610904">
        <w:rPr>
          <w:rFonts w:cs="Arial"/>
          <w:noProof w:val="0"/>
          <w:lang w:val="en-US"/>
        </w:rPr>
        <w:t xml:space="preserve"> </w:t>
      </w:r>
      <w:r w:rsidRPr="00610904">
        <w:rPr>
          <w:rFonts w:cs="Arial"/>
          <w:noProof w:val="0"/>
          <w:lang w:val="en-US"/>
        </w:rPr>
        <w:t xml:space="preserve">refers to the State’s </w:t>
      </w:r>
      <w:r w:rsidR="00535633" w:rsidRPr="00610904">
        <w:rPr>
          <w:rFonts w:cs="Arial"/>
          <w:noProof w:val="0"/>
          <w:lang w:val="en-US"/>
        </w:rPr>
        <w:t>obligation</w:t>
      </w:r>
      <w:r w:rsidRPr="00610904">
        <w:rPr>
          <w:rFonts w:cs="Arial"/>
          <w:noProof w:val="0"/>
          <w:lang w:val="en-US"/>
        </w:rPr>
        <w:t xml:space="preserve"> to respect and ensure the rights contained in </w:t>
      </w:r>
      <w:r w:rsidR="009F3D78" w:rsidRPr="00610904">
        <w:rPr>
          <w:rFonts w:cs="Arial"/>
          <w:noProof w:val="0"/>
          <w:lang w:val="en-US"/>
        </w:rPr>
        <w:t>the American Convention</w:t>
      </w:r>
      <w:r w:rsidRPr="00610904">
        <w:rPr>
          <w:rFonts w:cs="Arial"/>
          <w:noProof w:val="0"/>
          <w:lang w:val="en-US"/>
        </w:rPr>
        <w:t xml:space="preserve"> “without any discrimination.” In other words, if a State discriminates </w:t>
      </w:r>
      <w:r w:rsidR="00535633" w:rsidRPr="00610904">
        <w:rPr>
          <w:rFonts w:cs="Arial"/>
          <w:noProof w:val="0"/>
          <w:lang w:val="en-US"/>
        </w:rPr>
        <w:t>with regard</w:t>
      </w:r>
      <w:r w:rsidRPr="00610904">
        <w:rPr>
          <w:rFonts w:cs="Arial"/>
          <w:noProof w:val="0"/>
          <w:lang w:val="en-US"/>
        </w:rPr>
        <w:t xml:space="preserve"> to the respect or guarantee of a right</w:t>
      </w:r>
      <w:r w:rsidR="00535633" w:rsidRPr="00610904">
        <w:rPr>
          <w:rFonts w:cs="Arial"/>
          <w:noProof w:val="0"/>
          <w:lang w:val="en-US"/>
        </w:rPr>
        <w:t xml:space="preserve"> recognized in the Convention</w:t>
      </w:r>
      <w:r w:rsidRPr="00610904">
        <w:rPr>
          <w:rFonts w:cs="Arial"/>
          <w:noProof w:val="0"/>
          <w:lang w:val="en-US"/>
        </w:rPr>
        <w:t>, it would violate</w:t>
      </w:r>
      <w:r w:rsidRPr="00610904">
        <w:rPr>
          <w:noProof w:val="0"/>
          <w:lang w:val="en-US"/>
        </w:rPr>
        <w:t xml:space="preserve"> </w:t>
      </w:r>
      <w:r w:rsidR="006E502B" w:rsidRPr="00610904">
        <w:rPr>
          <w:rFonts w:cs="Arial"/>
          <w:noProof w:val="0"/>
          <w:lang w:val="en-US"/>
        </w:rPr>
        <w:t>Article 1(1)</w:t>
      </w:r>
      <w:r w:rsidR="009F3D78" w:rsidRPr="00610904">
        <w:rPr>
          <w:rFonts w:cs="Arial"/>
          <w:noProof w:val="0"/>
          <w:lang w:val="en-US"/>
        </w:rPr>
        <w:t xml:space="preserve"> and </w:t>
      </w:r>
      <w:r w:rsidRPr="00610904">
        <w:rPr>
          <w:rFonts w:cs="Arial"/>
          <w:noProof w:val="0"/>
          <w:lang w:val="en-US"/>
        </w:rPr>
        <w:t>the substantive right in question. If, to the contrary, the discrimination refers to a</w:t>
      </w:r>
      <w:r w:rsidR="00535633" w:rsidRPr="00610904">
        <w:rPr>
          <w:rFonts w:cs="Arial"/>
          <w:noProof w:val="0"/>
          <w:lang w:val="en-US"/>
        </w:rPr>
        <w:t>n</w:t>
      </w:r>
      <w:r w:rsidRPr="00610904">
        <w:rPr>
          <w:rFonts w:cs="Arial"/>
          <w:noProof w:val="0"/>
          <w:lang w:val="en-US"/>
        </w:rPr>
        <w:t xml:space="preserve"> unequal protection of domestic law or its application, the fact should be examined in light </w:t>
      </w:r>
      <w:r w:rsidR="006E502B" w:rsidRPr="00610904">
        <w:rPr>
          <w:rFonts w:cs="Arial"/>
          <w:noProof w:val="0"/>
          <w:lang w:val="en-US"/>
        </w:rPr>
        <w:t>of Article</w:t>
      </w:r>
      <w:r w:rsidR="003040F7" w:rsidRPr="00610904">
        <w:rPr>
          <w:rFonts w:cs="Arial"/>
          <w:noProof w:val="0"/>
          <w:lang w:val="en-US"/>
        </w:rPr>
        <w:t xml:space="preserve"> 24</w:t>
      </w:r>
      <w:r w:rsidRPr="00610904">
        <w:rPr>
          <w:rFonts w:cs="Arial"/>
          <w:noProof w:val="0"/>
          <w:lang w:val="en-US"/>
        </w:rPr>
        <w:t>.</w:t>
      </w:r>
      <w:r w:rsidR="003040F7" w:rsidRPr="00610904">
        <w:rPr>
          <w:rFonts w:cs="Arial"/>
          <w:noProof w:val="0"/>
          <w:lang w:val="en-US"/>
        </w:rPr>
        <w:t>”</w:t>
      </w:r>
      <w:r w:rsidR="003040F7" w:rsidRPr="00610904">
        <w:rPr>
          <w:rFonts w:cs="Arial"/>
          <w:noProof w:val="0"/>
          <w:vertAlign w:val="superscript"/>
          <w:lang w:val="en-US"/>
        </w:rPr>
        <w:footnoteReference w:id="278"/>
      </w:r>
      <w:r w:rsidRPr="00610904">
        <w:rPr>
          <w:rFonts w:cs="Arial"/>
          <w:noProof w:val="0"/>
          <w:lang w:val="en-US"/>
        </w:rPr>
        <w:t xml:space="preserve"> Given that, in this case, the facts do not constitute an unequal protection due to a domestic law or its application, it is not for the Court to analyze the presumed </w:t>
      </w:r>
      <w:r w:rsidRPr="00610904">
        <w:rPr>
          <w:rFonts w:cs="BookAntiqua"/>
          <w:noProof w:val="0"/>
          <w:lang w:val="en-US"/>
        </w:rPr>
        <w:t xml:space="preserve">violation </w:t>
      </w:r>
      <w:r w:rsidR="00EF508D" w:rsidRPr="00610904">
        <w:rPr>
          <w:rFonts w:cs="BookAntiqua"/>
          <w:noProof w:val="0"/>
          <w:lang w:val="en-US"/>
        </w:rPr>
        <w:t>of the right to</w:t>
      </w:r>
      <w:r w:rsidRPr="00610904">
        <w:rPr>
          <w:rFonts w:cs="BookAntiqua"/>
          <w:noProof w:val="0"/>
          <w:lang w:val="en-US"/>
        </w:rPr>
        <w:t xml:space="preserve"> equal protection of the law contained in </w:t>
      </w:r>
      <w:r w:rsidR="009F3D78" w:rsidRPr="00610904">
        <w:rPr>
          <w:rFonts w:cs="BookAntiqua"/>
          <w:noProof w:val="0"/>
          <w:lang w:val="en-US"/>
        </w:rPr>
        <w:t>Article</w:t>
      </w:r>
      <w:r w:rsidR="003040F7" w:rsidRPr="00610904">
        <w:rPr>
          <w:rFonts w:cs="BookAntiqua"/>
          <w:noProof w:val="0"/>
          <w:lang w:val="en-US"/>
        </w:rPr>
        <w:t xml:space="preserve"> 24</w:t>
      </w:r>
      <w:r w:rsidR="009F3D78" w:rsidRPr="00610904">
        <w:rPr>
          <w:rFonts w:cs="BookAntiqua"/>
          <w:noProof w:val="0"/>
          <w:lang w:val="en-US"/>
        </w:rPr>
        <w:t xml:space="preserve"> of the Convention</w:t>
      </w:r>
      <w:r w:rsidR="003040F7" w:rsidRPr="00610904">
        <w:rPr>
          <w:rFonts w:cs="BookAntiqua"/>
          <w:noProof w:val="0"/>
          <w:lang w:val="en-US"/>
        </w:rPr>
        <w:t xml:space="preserve">. </w:t>
      </w:r>
      <w:r w:rsidRPr="00610904">
        <w:rPr>
          <w:rFonts w:cs="BookAntiqua"/>
          <w:noProof w:val="0"/>
          <w:lang w:val="en-US"/>
        </w:rPr>
        <w:t xml:space="preserve">Consequently, the Court will only examine the </w:t>
      </w:r>
      <w:r w:rsidR="00223622" w:rsidRPr="00610904">
        <w:rPr>
          <w:rFonts w:cs="BookAntiqua"/>
          <w:noProof w:val="0"/>
          <w:lang w:val="en-US"/>
        </w:rPr>
        <w:t>alleged</w:t>
      </w:r>
      <w:r w:rsidR="003040F7" w:rsidRPr="00610904">
        <w:rPr>
          <w:rFonts w:cs="BookAntiqua"/>
          <w:noProof w:val="0"/>
          <w:lang w:val="en-US"/>
        </w:rPr>
        <w:t xml:space="preserve"> </w:t>
      </w:r>
      <w:r w:rsidRPr="00610904">
        <w:rPr>
          <w:rFonts w:cs="BookAntiqua"/>
          <w:noProof w:val="0"/>
          <w:lang w:val="en-US"/>
        </w:rPr>
        <w:t>violation</w:t>
      </w:r>
      <w:r w:rsidR="003040F7" w:rsidRPr="00610904">
        <w:rPr>
          <w:rFonts w:cs="BookAntiqua"/>
          <w:noProof w:val="0"/>
          <w:lang w:val="en-US"/>
        </w:rPr>
        <w:t xml:space="preserve"> </w:t>
      </w:r>
      <w:r w:rsidRPr="00610904">
        <w:rPr>
          <w:rFonts w:cs="BookAntiqua"/>
          <w:noProof w:val="0"/>
          <w:lang w:val="en-US"/>
        </w:rPr>
        <w:t>of the obligation to respe</w:t>
      </w:r>
      <w:r w:rsidR="00535633" w:rsidRPr="00610904">
        <w:rPr>
          <w:rFonts w:cs="BookAntiqua"/>
          <w:noProof w:val="0"/>
          <w:lang w:val="en-US"/>
        </w:rPr>
        <w:t xml:space="preserve">ct and ensure the rights </w:t>
      </w:r>
      <w:r w:rsidRPr="00610904">
        <w:rPr>
          <w:rFonts w:cs="BookAntiqua"/>
          <w:noProof w:val="0"/>
          <w:lang w:val="en-US"/>
        </w:rPr>
        <w:t xml:space="preserve">recognized in </w:t>
      </w:r>
      <w:r w:rsidR="009F3D78" w:rsidRPr="00610904">
        <w:rPr>
          <w:noProof w:val="0"/>
          <w:lang w:val="en-US"/>
        </w:rPr>
        <w:t>the American Convention</w:t>
      </w:r>
      <w:r w:rsidRPr="00610904">
        <w:rPr>
          <w:noProof w:val="0"/>
          <w:lang w:val="en-US"/>
        </w:rPr>
        <w:t xml:space="preserve"> without any discrimination, established in </w:t>
      </w:r>
      <w:r w:rsidR="006E502B" w:rsidRPr="00610904">
        <w:rPr>
          <w:noProof w:val="0"/>
          <w:lang w:val="en-US"/>
        </w:rPr>
        <w:t>Article 1(1)</w:t>
      </w:r>
      <w:r w:rsidR="009F3D78" w:rsidRPr="00610904">
        <w:rPr>
          <w:noProof w:val="0"/>
          <w:lang w:val="en-US"/>
        </w:rPr>
        <w:t xml:space="preserve"> of the Convention</w:t>
      </w:r>
      <w:r w:rsidR="003040F7" w:rsidRPr="00610904">
        <w:rPr>
          <w:noProof w:val="0"/>
          <w:lang w:val="en-US"/>
        </w:rPr>
        <w:t>,</w:t>
      </w:r>
      <w:r w:rsidRPr="00610904">
        <w:rPr>
          <w:noProof w:val="0"/>
          <w:lang w:val="en-US"/>
        </w:rPr>
        <w:t xml:space="preserve"> in relation to Talía’s </w:t>
      </w:r>
      <w:r w:rsidR="007D72DC" w:rsidRPr="00610904">
        <w:rPr>
          <w:noProof w:val="0"/>
          <w:lang w:val="en-US"/>
        </w:rPr>
        <w:t>right to education</w:t>
      </w:r>
      <w:r w:rsidR="003040F7" w:rsidRPr="00610904">
        <w:rPr>
          <w:noProof w:val="0"/>
          <w:lang w:val="en-US"/>
        </w:rPr>
        <w:t xml:space="preserve">. </w:t>
      </w:r>
    </w:p>
    <w:p w:rsidR="003040F7" w:rsidRPr="00610904" w:rsidRDefault="003040F7" w:rsidP="00610904">
      <w:pPr>
        <w:pStyle w:val="MediumGrid1-Accent21"/>
        <w:ind w:left="0"/>
        <w:rPr>
          <w:noProof w:val="0"/>
          <w:lang w:val="en-US"/>
        </w:rPr>
      </w:pPr>
    </w:p>
    <w:p w:rsidR="003040F7" w:rsidRPr="00610904" w:rsidRDefault="00836BA0" w:rsidP="00610904">
      <w:pPr>
        <w:pStyle w:val="MediumGrid1-Accent21"/>
        <w:numPr>
          <w:ilvl w:val="0"/>
          <w:numId w:val="1"/>
        </w:numPr>
        <w:rPr>
          <w:noProof w:val="0"/>
          <w:lang w:val="en-US"/>
        </w:rPr>
      </w:pPr>
      <w:r w:rsidRPr="00610904">
        <w:rPr>
          <w:noProof w:val="0"/>
          <w:lang w:val="en-US"/>
        </w:rPr>
        <w:t xml:space="preserve">In order to determine whether, in this case, there has been a </w:t>
      </w:r>
      <w:r w:rsidR="00391F07" w:rsidRPr="00610904">
        <w:rPr>
          <w:noProof w:val="0"/>
          <w:lang w:val="en-US"/>
        </w:rPr>
        <w:t>violation</w:t>
      </w:r>
      <w:r w:rsidR="003040F7" w:rsidRPr="00610904">
        <w:rPr>
          <w:noProof w:val="0"/>
          <w:lang w:val="en-US"/>
        </w:rPr>
        <w:t xml:space="preserve"> </w:t>
      </w:r>
      <w:r w:rsidRPr="00610904">
        <w:rPr>
          <w:noProof w:val="0"/>
          <w:lang w:val="en-US"/>
        </w:rPr>
        <w:t>of the obligation to respect and ensure rights without discrimination, the Court will analyze: (a) whether there is</w:t>
      </w:r>
      <w:r w:rsidR="00535633" w:rsidRPr="00610904">
        <w:rPr>
          <w:noProof w:val="0"/>
          <w:lang w:val="en-US"/>
        </w:rPr>
        <w:t xml:space="preserve"> a decisive or causal nexus or</w:t>
      </w:r>
      <w:r w:rsidRPr="00610904">
        <w:rPr>
          <w:noProof w:val="0"/>
          <w:lang w:val="en-US"/>
        </w:rPr>
        <w:t xml:space="preserve"> link between the </w:t>
      </w:r>
      <w:r w:rsidR="00404EE1" w:rsidRPr="00610904">
        <w:rPr>
          <w:noProof w:val="0"/>
          <w:lang w:val="en-US"/>
        </w:rPr>
        <w:t>health status</w:t>
      </w:r>
      <w:r w:rsidR="00535633" w:rsidRPr="00610904">
        <w:rPr>
          <w:noProof w:val="0"/>
          <w:lang w:val="en-US"/>
        </w:rPr>
        <w:t xml:space="preserve"> and the differentiated</w:t>
      </w:r>
      <w:r w:rsidRPr="00610904">
        <w:rPr>
          <w:noProof w:val="0"/>
          <w:lang w:val="en-US"/>
        </w:rPr>
        <w:t xml:space="preserve"> treatment </w:t>
      </w:r>
      <w:r w:rsidR="00535633" w:rsidRPr="00610904">
        <w:rPr>
          <w:noProof w:val="0"/>
          <w:lang w:val="en-US"/>
        </w:rPr>
        <w:t>applied</w:t>
      </w:r>
      <w:r w:rsidRPr="00610904">
        <w:rPr>
          <w:noProof w:val="0"/>
          <w:lang w:val="en-US"/>
        </w:rPr>
        <w:t xml:space="preserve"> by the State authorities in the context of the </w:t>
      </w:r>
      <w:r w:rsidR="001A2523" w:rsidRPr="00610904">
        <w:rPr>
          <w:noProof w:val="0"/>
          <w:lang w:val="en-US"/>
        </w:rPr>
        <w:t>education system</w:t>
      </w:r>
      <w:r w:rsidRPr="00610904">
        <w:rPr>
          <w:noProof w:val="0"/>
          <w:lang w:val="en-US"/>
        </w:rPr>
        <w:t xml:space="preserve">, and (b) the alleged justification for the difference in treatment, in order to determine whether this justification constituted discriminatory treatment that violated </w:t>
      </w:r>
      <w:r w:rsidR="0013395A" w:rsidRPr="00610904">
        <w:rPr>
          <w:noProof w:val="0"/>
          <w:lang w:val="en-US"/>
        </w:rPr>
        <w:t xml:space="preserve">the right to </w:t>
      </w:r>
      <w:r w:rsidR="00856968" w:rsidRPr="00610904">
        <w:rPr>
          <w:noProof w:val="0"/>
          <w:lang w:val="en-US"/>
        </w:rPr>
        <w:t>education</w:t>
      </w:r>
      <w:r w:rsidR="003040F7" w:rsidRPr="00610904">
        <w:rPr>
          <w:noProof w:val="0"/>
          <w:lang w:val="en-US"/>
        </w:rPr>
        <w:t xml:space="preserve"> </w:t>
      </w:r>
      <w:r w:rsidRPr="00610904">
        <w:rPr>
          <w:noProof w:val="0"/>
          <w:lang w:val="en-US"/>
        </w:rPr>
        <w:t>in this specific case.</w:t>
      </w:r>
    </w:p>
    <w:p w:rsidR="003040F7" w:rsidRPr="00610904" w:rsidRDefault="003040F7" w:rsidP="00610904">
      <w:pPr>
        <w:pStyle w:val="MediumGrid1-Accent21"/>
        <w:ind w:left="0"/>
        <w:rPr>
          <w:noProof w:val="0"/>
          <w:lang w:val="en-US"/>
        </w:rPr>
      </w:pPr>
    </w:p>
    <w:p w:rsidR="003040F7" w:rsidRPr="00610904" w:rsidRDefault="003040F7" w:rsidP="00610904">
      <w:pPr>
        <w:pStyle w:val="Heading3"/>
        <w:rPr>
          <w:noProof w:val="0"/>
          <w:lang w:val="en-US"/>
        </w:rPr>
      </w:pPr>
      <w:bookmarkStart w:id="112" w:name="_Toc443399105"/>
      <w:r w:rsidRPr="00610904">
        <w:rPr>
          <w:noProof w:val="0"/>
          <w:lang w:val="en-US"/>
        </w:rPr>
        <w:t xml:space="preserve">B.1. </w:t>
      </w:r>
      <w:proofErr w:type="gramStart"/>
      <w:r w:rsidR="00836BA0" w:rsidRPr="00610904">
        <w:rPr>
          <w:noProof w:val="0"/>
          <w:lang w:val="en-US"/>
        </w:rPr>
        <w:t>The</w:t>
      </w:r>
      <w:proofErr w:type="gramEnd"/>
      <w:r w:rsidR="00836BA0" w:rsidRPr="00610904">
        <w:rPr>
          <w:noProof w:val="0"/>
          <w:lang w:val="en-US"/>
        </w:rPr>
        <w:t xml:space="preserve"> difference in treatment based on Talía’s medical condition when she was expelled from school</w:t>
      </w:r>
      <w:bookmarkEnd w:id="112"/>
    </w:p>
    <w:p w:rsidR="003040F7" w:rsidRPr="00610904" w:rsidRDefault="003040F7" w:rsidP="00610904">
      <w:pPr>
        <w:pStyle w:val="MediumGrid1-Accent21"/>
        <w:rPr>
          <w:noProof w:val="0"/>
          <w:lang w:val="en-US"/>
        </w:rPr>
      </w:pPr>
    </w:p>
    <w:p w:rsidR="003040F7" w:rsidRPr="00610904" w:rsidRDefault="003040F7" w:rsidP="00610904">
      <w:pPr>
        <w:pStyle w:val="MediumGrid1-Accent21"/>
        <w:numPr>
          <w:ilvl w:val="0"/>
          <w:numId w:val="1"/>
        </w:numPr>
        <w:rPr>
          <w:noProof w:val="0"/>
          <w:lang w:val="en-US"/>
        </w:rPr>
      </w:pPr>
      <w:r w:rsidRPr="00610904">
        <w:rPr>
          <w:noProof w:val="0"/>
          <w:lang w:val="en-US"/>
        </w:rPr>
        <w:t xml:space="preserve">Teresa Lluy </w:t>
      </w:r>
      <w:r w:rsidR="00836BA0" w:rsidRPr="00610904">
        <w:rPr>
          <w:noProof w:val="0"/>
          <w:lang w:val="en-US"/>
        </w:rPr>
        <w:t xml:space="preserve">filed an application for </w:t>
      </w:r>
      <w:r w:rsidR="00852A2E" w:rsidRPr="00610904">
        <w:rPr>
          <w:noProof w:val="0"/>
          <w:lang w:val="en-US"/>
        </w:rPr>
        <w:t>constitutional protection</w:t>
      </w:r>
      <w:r w:rsidRPr="00610904">
        <w:rPr>
          <w:noProof w:val="0"/>
          <w:lang w:val="en-US"/>
        </w:rPr>
        <w:t xml:space="preserve"> </w:t>
      </w:r>
      <w:r w:rsidR="00836BA0" w:rsidRPr="00610904">
        <w:rPr>
          <w:noProof w:val="0"/>
          <w:lang w:val="en-US"/>
        </w:rPr>
        <w:t>in order to safeguard Talía’s</w:t>
      </w:r>
      <w:r w:rsidR="0013395A" w:rsidRPr="00610904">
        <w:rPr>
          <w:noProof w:val="0"/>
          <w:lang w:val="en-US"/>
        </w:rPr>
        <w:t xml:space="preserve"> right to education</w:t>
      </w:r>
      <w:r w:rsidR="00836BA0" w:rsidRPr="00610904">
        <w:rPr>
          <w:noProof w:val="0"/>
          <w:lang w:val="en-US"/>
        </w:rPr>
        <w:t xml:space="preserve"> owing to her dismissal from th</w:t>
      </w:r>
      <w:r w:rsidR="00535633" w:rsidRPr="00610904">
        <w:rPr>
          <w:noProof w:val="0"/>
          <w:lang w:val="en-US"/>
        </w:rPr>
        <w:t>e Zoila Aurora Palacios S</w:t>
      </w:r>
      <w:r w:rsidR="00836BA0" w:rsidRPr="00610904">
        <w:rPr>
          <w:noProof w:val="0"/>
          <w:lang w:val="en-US"/>
        </w:rPr>
        <w:t xml:space="preserve">chool. This </w:t>
      </w:r>
      <w:r w:rsidR="00836BA0" w:rsidRPr="00610904">
        <w:rPr>
          <w:noProof w:val="0"/>
          <w:lang w:val="en-US"/>
        </w:rPr>
        <w:lastRenderedPageBreak/>
        <w:t xml:space="preserve">application for </w:t>
      </w:r>
      <w:r w:rsidR="00535633" w:rsidRPr="00610904">
        <w:rPr>
          <w:i/>
          <w:noProof w:val="0"/>
          <w:lang w:val="en-US"/>
        </w:rPr>
        <w:t>a</w:t>
      </w:r>
      <w:r w:rsidR="009E7834" w:rsidRPr="00610904">
        <w:rPr>
          <w:i/>
          <w:noProof w:val="0"/>
          <w:lang w:val="en-US"/>
        </w:rPr>
        <w:t>mparo</w:t>
      </w:r>
      <w:r w:rsidRPr="00610904">
        <w:rPr>
          <w:noProof w:val="0"/>
          <w:lang w:val="en-US"/>
        </w:rPr>
        <w:t xml:space="preserve"> </w:t>
      </w:r>
      <w:r w:rsidR="00836BA0" w:rsidRPr="00610904">
        <w:rPr>
          <w:noProof w:val="0"/>
          <w:lang w:val="en-US"/>
        </w:rPr>
        <w:t>was declared inadmissible by the Third Contentious Court</w:t>
      </w:r>
      <w:r w:rsidR="0088750E" w:rsidRPr="00610904">
        <w:rPr>
          <w:noProof w:val="0"/>
          <w:lang w:val="en-US"/>
        </w:rPr>
        <w:t xml:space="preserve"> of Cuenca</w:t>
      </w:r>
      <w:r w:rsidRPr="00610904">
        <w:rPr>
          <w:noProof w:val="0"/>
          <w:lang w:val="en-US"/>
        </w:rPr>
        <w:t xml:space="preserve">, </w:t>
      </w:r>
      <w:r w:rsidR="00836BA0" w:rsidRPr="00610904">
        <w:rPr>
          <w:noProof w:val="0"/>
          <w:lang w:val="en-US"/>
        </w:rPr>
        <w:t>on the grounds that “there [was] a conflict of interests between the individual rights and guarantees of [Talía] and the interests of the rest of the students,</w:t>
      </w:r>
      <w:r w:rsidRPr="00610904">
        <w:rPr>
          <w:noProof w:val="0"/>
          <w:lang w:val="en-US"/>
        </w:rPr>
        <w:t>”</w:t>
      </w:r>
      <w:r w:rsidRPr="00610904">
        <w:rPr>
          <w:rStyle w:val="FootnoteReference"/>
          <w:noProof w:val="0"/>
          <w:lang w:val="en-US"/>
        </w:rPr>
        <w:footnoteReference w:id="279"/>
      </w:r>
      <w:r w:rsidRPr="00610904">
        <w:rPr>
          <w:noProof w:val="0"/>
          <w:lang w:val="en-US"/>
        </w:rPr>
        <w:t xml:space="preserve"> </w:t>
      </w:r>
      <w:r w:rsidR="00836BA0" w:rsidRPr="00610904">
        <w:rPr>
          <w:noProof w:val="0"/>
          <w:lang w:val="en-US"/>
        </w:rPr>
        <w:t xml:space="preserve">and thus “the conflict [led to] the prevalence of the social and collective [rights] – in other words, </w:t>
      </w:r>
      <w:r w:rsidR="00215C41" w:rsidRPr="00610904">
        <w:rPr>
          <w:noProof w:val="0"/>
          <w:lang w:val="en-US"/>
        </w:rPr>
        <w:t>the right to life</w:t>
      </w:r>
      <w:r w:rsidRPr="00610904">
        <w:rPr>
          <w:noProof w:val="0"/>
          <w:lang w:val="en-US"/>
        </w:rPr>
        <w:t xml:space="preserve"> </w:t>
      </w:r>
      <w:r w:rsidR="00836BA0" w:rsidRPr="00610904">
        <w:rPr>
          <w:noProof w:val="0"/>
          <w:lang w:val="en-US"/>
        </w:rPr>
        <w:t>prevailed over the</w:t>
      </w:r>
      <w:r w:rsidRPr="00610904">
        <w:rPr>
          <w:noProof w:val="0"/>
          <w:lang w:val="en-US"/>
        </w:rPr>
        <w:t xml:space="preserve"> </w:t>
      </w:r>
      <w:r w:rsidR="007D72DC" w:rsidRPr="00610904">
        <w:rPr>
          <w:noProof w:val="0"/>
          <w:lang w:val="en-US"/>
        </w:rPr>
        <w:t>right to education</w:t>
      </w:r>
      <w:r w:rsidR="00836BA0" w:rsidRPr="00610904">
        <w:rPr>
          <w:noProof w:val="0"/>
          <w:lang w:val="en-US"/>
        </w:rPr>
        <w:t>.</w:t>
      </w:r>
      <w:r w:rsidRPr="00610904">
        <w:rPr>
          <w:noProof w:val="0"/>
          <w:lang w:val="en-US"/>
        </w:rPr>
        <w:t>”</w:t>
      </w:r>
      <w:r w:rsidRPr="00610904">
        <w:rPr>
          <w:rStyle w:val="FootnoteReference"/>
          <w:noProof w:val="0"/>
          <w:lang w:val="en-US"/>
        </w:rPr>
        <w:footnoteReference w:id="280"/>
      </w:r>
    </w:p>
    <w:p w:rsidR="003040F7" w:rsidRPr="00610904" w:rsidRDefault="003040F7" w:rsidP="00610904">
      <w:pPr>
        <w:pStyle w:val="MediumGrid1-Accent21"/>
        <w:ind w:left="0"/>
        <w:rPr>
          <w:noProof w:val="0"/>
          <w:lang w:val="en-US"/>
        </w:rPr>
      </w:pPr>
    </w:p>
    <w:p w:rsidR="003040F7" w:rsidRPr="00610904" w:rsidRDefault="00836BA0" w:rsidP="00610904">
      <w:pPr>
        <w:pStyle w:val="MediumGrid1-Accent21"/>
        <w:numPr>
          <w:ilvl w:val="0"/>
          <w:numId w:val="1"/>
        </w:numPr>
        <w:rPr>
          <w:noProof w:val="0"/>
          <w:lang w:val="en-US"/>
        </w:rPr>
      </w:pPr>
      <w:r w:rsidRPr="00610904">
        <w:rPr>
          <w:noProof w:val="0"/>
          <w:lang w:val="en-US"/>
        </w:rPr>
        <w:t>In order to reach the conclusion that Talía must continue her education “by means of individualized and distance education,”</w:t>
      </w:r>
      <w:r w:rsidRPr="00610904">
        <w:rPr>
          <w:rStyle w:val="FootnoteReference"/>
          <w:noProof w:val="0"/>
          <w:lang w:val="en-US"/>
        </w:rPr>
        <w:footnoteReference w:id="281"/>
      </w:r>
      <w:r w:rsidRPr="00610904">
        <w:rPr>
          <w:noProof w:val="0"/>
          <w:lang w:val="en-US"/>
        </w:rPr>
        <w:t xml:space="preserve"> the Contentious Court took into account the testimony of SA, the director of the </w:t>
      </w:r>
      <w:r w:rsidR="00535633" w:rsidRPr="00610904">
        <w:rPr>
          <w:noProof w:val="0"/>
          <w:lang w:val="en-US"/>
        </w:rPr>
        <w:t>Zoila Aurora Palacios</w:t>
      </w:r>
      <w:r w:rsidRPr="00610904">
        <w:rPr>
          <w:noProof w:val="0"/>
          <w:lang w:val="en-US"/>
        </w:rPr>
        <w:t xml:space="preserve"> School, and the teacher, APA, provided during the public hearing held </w:t>
      </w:r>
      <w:r w:rsidR="008E668D" w:rsidRPr="00610904">
        <w:rPr>
          <w:noProof w:val="0"/>
          <w:lang w:val="en-US"/>
        </w:rPr>
        <w:t>on February 9,</w:t>
      </w:r>
      <w:r w:rsidR="003040F7" w:rsidRPr="00610904">
        <w:rPr>
          <w:noProof w:val="0"/>
          <w:lang w:val="en-US"/>
        </w:rPr>
        <w:t xml:space="preserve"> 2001. </w:t>
      </w:r>
      <w:r w:rsidRPr="00610904">
        <w:rPr>
          <w:noProof w:val="0"/>
          <w:lang w:val="en-US"/>
        </w:rPr>
        <w:t xml:space="preserve">It also took into </w:t>
      </w:r>
      <w:r w:rsidR="00856968" w:rsidRPr="00610904">
        <w:rPr>
          <w:noProof w:val="0"/>
          <w:lang w:val="en-US"/>
        </w:rPr>
        <w:t>account</w:t>
      </w:r>
      <w:r w:rsidRPr="00610904">
        <w:rPr>
          <w:noProof w:val="0"/>
          <w:lang w:val="en-US"/>
        </w:rPr>
        <w:t xml:space="preserve"> the written statements provided by Teresa Lluy of Drs. JOM and NV, and of RG, the social worker from the Health Directorate, who coordinated the training</w:t>
      </w:r>
      <w:r w:rsidR="00535633" w:rsidRPr="00610904">
        <w:rPr>
          <w:noProof w:val="0"/>
          <w:lang w:val="en-US"/>
        </w:rPr>
        <w:t xml:space="preserve"> on HIV/AIDS for</w:t>
      </w:r>
      <w:r w:rsidRPr="00610904">
        <w:rPr>
          <w:noProof w:val="0"/>
          <w:lang w:val="en-US"/>
        </w:rPr>
        <w:t xml:space="preserve"> the administrative and teaching </w:t>
      </w:r>
      <w:r w:rsidR="00535633" w:rsidRPr="00610904">
        <w:rPr>
          <w:noProof w:val="0"/>
          <w:lang w:val="en-US"/>
        </w:rPr>
        <w:t>staff</w:t>
      </w:r>
      <w:r w:rsidRPr="00610904">
        <w:rPr>
          <w:noProof w:val="0"/>
          <w:lang w:val="en-US"/>
        </w:rPr>
        <w:t xml:space="preserve"> of the </w:t>
      </w:r>
      <w:r w:rsidR="00535633" w:rsidRPr="00610904">
        <w:rPr>
          <w:noProof w:val="0"/>
          <w:lang w:val="en-US"/>
        </w:rPr>
        <w:t>Zoila Aurora Palacios</w:t>
      </w:r>
      <w:r w:rsidR="00271924" w:rsidRPr="00610904">
        <w:rPr>
          <w:noProof w:val="0"/>
          <w:lang w:val="en-US"/>
        </w:rPr>
        <w:t xml:space="preserve"> </w:t>
      </w:r>
      <w:r w:rsidR="00535633" w:rsidRPr="00610904">
        <w:rPr>
          <w:noProof w:val="0"/>
          <w:lang w:val="en-US"/>
        </w:rPr>
        <w:t>School.</w:t>
      </w:r>
    </w:p>
    <w:p w:rsidR="003040F7" w:rsidRPr="00610904" w:rsidRDefault="003040F7" w:rsidP="00610904">
      <w:pPr>
        <w:pStyle w:val="MediumGrid1-Accent21"/>
        <w:rPr>
          <w:noProof w:val="0"/>
          <w:lang w:val="en-US"/>
        </w:rPr>
      </w:pPr>
    </w:p>
    <w:p w:rsidR="003040F7" w:rsidRPr="00610904" w:rsidRDefault="003040F7" w:rsidP="00610904">
      <w:pPr>
        <w:pStyle w:val="MediumGrid1-Accent21"/>
        <w:numPr>
          <w:ilvl w:val="0"/>
          <w:numId w:val="1"/>
        </w:numPr>
        <w:rPr>
          <w:noProof w:val="0"/>
          <w:lang w:val="en-US"/>
        </w:rPr>
      </w:pPr>
      <w:r w:rsidRPr="00610904">
        <w:rPr>
          <w:noProof w:val="0"/>
          <w:lang w:val="en-US"/>
        </w:rPr>
        <w:t xml:space="preserve"> </w:t>
      </w:r>
      <w:r w:rsidR="00836BA0" w:rsidRPr="00610904">
        <w:rPr>
          <w:noProof w:val="0"/>
          <w:lang w:val="en-US"/>
        </w:rPr>
        <w:t xml:space="preserve">Similarly, during </w:t>
      </w:r>
      <w:r w:rsidR="00AD687D" w:rsidRPr="00610904">
        <w:rPr>
          <w:noProof w:val="0"/>
          <w:lang w:val="en-US"/>
        </w:rPr>
        <w:t>the public hearing</w:t>
      </w:r>
      <w:r w:rsidRPr="00610904">
        <w:rPr>
          <w:noProof w:val="0"/>
          <w:lang w:val="en-US"/>
        </w:rPr>
        <w:t xml:space="preserve">, </w:t>
      </w:r>
      <w:r w:rsidR="00836BA0" w:rsidRPr="00610904">
        <w:rPr>
          <w:noProof w:val="0"/>
          <w:lang w:val="en-US"/>
        </w:rPr>
        <w:t xml:space="preserve">the Regional Deputy </w:t>
      </w:r>
      <w:r w:rsidR="009F3D78" w:rsidRPr="00610904">
        <w:rPr>
          <w:noProof w:val="0"/>
          <w:lang w:val="en-US"/>
        </w:rPr>
        <w:t>Secretary</w:t>
      </w:r>
      <w:r w:rsidRPr="00610904">
        <w:rPr>
          <w:noProof w:val="0"/>
          <w:lang w:val="en-US"/>
        </w:rPr>
        <w:t xml:space="preserve"> </w:t>
      </w:r>
      <w:r w:rsidR="00836BA0" w:rsidRPr="00610904">
        <w:rPr>
          <w:noProof w:val="0"/>
          <w:lang w:val="en-US"/>
        </w:rPr>
        <w:t>for Education of the southern region testified and</w:t>
      </w:r>
      <w:r w:rsidR="00555783" w:rsidRPr="00610904">
        <w:rPr>
          <w:noProof w:val="0"/>
          <w:lang w:val="en-US"/>
        </w:rPr>
        <w:t xml:space="preserve"> stated that “no order had ever</w:t>
      </w:r>
      <w:r w:rsidR="00836BA0" w:rsidRPr="00610904">
        <w:rPr>
          <w:noProof w:val="0"/>
          <w:lang w:val="en-US"/>
        </w:rPr>
        <w:t xml:space="preserve"> been given that [Ta</w:t>
      </w:r>
      <w:r w:rsidR="00555783" w:rsidRPr="00610904">
        <w:rPr>
          <w:noProof w:val="0"/>
          <w:lang w:val="en-US"/>
        </w:rPr>
        <w:t>l</w:t>
      </w:r>
      <w:r w:rsidR="00836BA0" w:rsidRPr="00610904">
        <w:rPr>
          <w:noProof w:val="0"/>
          <w:lang w:val="en-US"/>
        </w:rPr>
        <w:t>ía] should be expelled from the school.”</w:t>
      </w:r>
      <w:r w:rsidR="00836BA0" w:rsidRPr="00610904">
        <w:rPr>
          <w:rStyle w:val="FootnoteReference"/>
          <w:noProof w:val="0"/>
          <w:lang w:val="en-US"/>
        </w:rPr>
        <w:footnoteReference w:id="282"/>
      </w:r>
      <w:r w:rsidR="00836BA0" w:rsidRPr="00610904">
        <w:rPr>
          <w:noProof w:val="0"/>
          <w:lang w:val="en-US"/>
        </w:rPr>
        <w:t xml:space="preserve"> He indicated that, although she was temporarily suspended, this was authorized by law and was in place “until the corresponding medical examinations [had been] completed guaranteeing that the [child] would not infect the other children and personnel in contact with her with her unfortunate illness</w:t>
      </w:r>
      <w:r w:rsidR="00555783" w:rsidRPr="00610904">
        <w:rPr>
          <w:noProof w:val="0"/>
          <w:lang w:val="en-US"/>
        </w:rPr>
        <w:t>.</w:t>
      </w:r>
      <w:r w:rsidRPr="00610904">
        <w:rPr>
          <w:noProof w:val="0"/>
          <w:lang w:val="en-US"/>
        </w:rPr>
        <w:t>”</w:t>
      </w:r>
      <w:r w:rsidRPr="00610904">
        <w:rPr>
          <w:rStyle w:val="FootnoteReference"/>
          <w:noProof w:val="0"/>
          <w:lang w:val="en-US"/>
        </w:rPr>
        <w:footnoteReference w:id="283"/>
      </w:r>
      <w:r w:rsidR="00555783" w:rsidRPr="00610904">
        <w:rPr>
          <w:noProof w:val="0"/>
          <w:lang w:val="en-US"/>
        </w:rPr>
        <w:t xml:space="preserve"> T</w:t>
      </w:r>
      <w:r w:rsidR="00836BA0" w:rsidRPr="00610904">
        <w:rPr>
          <w:noProof w:val="0"/>
          <w:lang w:val="en-US"/>
        </w:rPr>
        <w:t xml:space="preserve">herefore, </w:t>
      </w:r>
      <w:r w:rsidR="00555783" w:rsidRPr="00610904">
        <w:rPr>
          <w:noProof w:val="0"/>
          <w:lang w:val="en-US"/>
        </w:rPr>
        <w:t xml:space="preserve">he </w:t>
      </w:r>
      <w:r w:rsidR="00836BA0" w:rsidRPr="00610904">
        <w:rPr>
          <w:noProof w:val="0"/>
          <w:lang w:val="en-US"/>
        </w:rPr>
        <w:t>asked the Court “that the lesser right be sacrificed to the greater one, which is the educational community of the said school.</w:t>
      </w:r>
      <w:r w:rsidRPr="00610904">
        <w:rPr>
          <w:noProof w:val="0"/>
          <w:lang w:val="en-US"/>
        </w:rPr>
        <w:t>”</w:t>
      </w:r>
      <w:r w:rsidRPr="00610904">
        <w:rPr>
          <w:rStyle w:val="FootnoteReference"/>
          <w:noProof w:val="0"/>
          <w:lang w:val="en-US"/>
        </w:rPr>
        <w:footnoteReference w:id="284"/>
      </w:r>
    </w:p>
    <w:p w:rsidR="003040F7" w:rsidRPr="00610904" w:rsidRDefault="003040F7" w:rsidP="00610904">
      <w:pPr>
        <w:pStyle w:val="MediumGrid1-Accent21"/>
        <w:ind w:left="0"/>
        <w:rPr>
          <w:noProof w:val="0"/>
          <w:lang w:val="en-US"/>
        </w:rPr>
      </w:pPr>
    </w:p>
    <w:p w:rsidR="003040F7" w:rsidRPr="00610904" w:rsidRDefault="00836BA0"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The school director argued that what had been done was</w:t>
      </w:r>
      <w:r w:rsidR="00555783" w:rsidRPr="00610904">
        <w:rPr>
          <w:rFonts w:ascii="Verdana" w:hAnsi="Verdana"/>
          <w:noProof w:val="0"/>
          <w:sz w:val="20"/>
          <w:szCs w:val="20"/>
          <w:lang w:val="en-US"/>
        </w:rPr>
        <w:t xml:space="preserve"> to proceed</w:t>
      </w:r>
      <w:r w:rsidRPr="00610904">
        <w:rPr>
          <w:rFonts w:ascii="Verdana" w:hAnsi="Verdana"/>
          <w:noProof w:val="0"/>
          <w:sz w:val="20"/>
          <w:szCs w:val="20"/>
          <w:lang w:val="en-US"/>
        </w:rPr>
        <w:t xml:space="preserve"> “to take decisions that </w:t>
      </w:r>
      <w:r w:rsidR="009E7834" w:rsidRPr="00610904">
        <w:rPr>
          <w:rFonts w:ascii="Verdana" w:hAnsi="Verdana"/>
          <w:noProof w:val="0"/>
          <w:sz w:val="20"/>
          <w:szCs w:val="20"/>
          <w:lang w:val="en-US"/>
        </w:rPr>
        <w:t>involved precautionary measures for the health of</w:t>
      </w:r>
      <w:r w:rsidR="00555783" w:rsidRPr="00610904">
        <w:rPr>
          <w:rFonts w:ascii="Verdana" w:hAnsi="Verdana"/>
          <w:noProof w:val="0"/>
          <w:sz w:val="20"/>
          <w:szCs w:val="20"/>
          <w:lang w:val="en-US"/>
        </w:rPr>
        <w:t xml:space="preserve"> the children at the basic prim</w:t>
      </w:r>
      <w:r w:rsidR="009E7834" w:rsidRPr="00610904">
        <w:rPr>
          <w:rFonts w:ascii="Verdana" w:hAnsi="Verdana"/>
          <w:noProof w:val="0"/>
          <w:sz w:val="20"/>
          <w:szCs w:val="20"/>
          <w:lang w:val="en-US"/>
        </w:rPr>
        <w:t>a</w:t>
      </w:r>
      <w:r w:rsidR="00555783" w:rsidRPr="00610904">
        <w:rPr>
          <w:rFonts w:ascii="Verdana" w:hAnsi="Verdana"/>
          <w:noProof w:val="0"/>
          <w:sz w:val="20"/>
          <w:szCs w:val="20"/>
          <w:lang w:val="en-US"/>
        </w:rPr>
        <w:t>r</w:t>
      </w:r>
      <w:r w:rsidR="009E7834" w:rsidRPr="00610904">
        <w:rPr>
          <w:rFonts w:ascii="Verdana" w:hAnsi="Verdana"/>
          <w:noProof w:val="0"/>
          <w:sz w:val="20"/>
          <w:szCs w:val="20"/>
          <w:lang w:val="en-US"/>
        </w:rPr>
        <w:t xml:space="preserve">y level and that, also, would not violate the human rights of the children.” Thus, </w:t>
      </w:r>
      <w:r w:rsidR="00555783" w:rsidRPr="00610904">
        <w:rPr>
          <w:rFonts w:ascii="Verdana" w:hAnsi="Verdana"/>
          <w:noProof w:val="0"/>
          <w:sz w:val="20"/>
          <w:szCs w:val="20"/>
          <w:lang w:val="en-US"/>
        </w:rPr>
        <w:t xml:space="preserve">in order </w:t>
      </w:r>
      <w:r w:rsidR="009E7834" w:rsidRPr="00610904">
        <w:rPr>
          <w:rFonts w:ascii="Verdana" w:hAnsi="Verdana"/>
          <w:noProof w:val="0"/>
          <w:sz w:val="20"/>
          <w:szCs w:val="20"/>
          <w:lang w:val="en-US"/>
        </w:rPr>
        <w:t>to incorporate Talía into the school, she was required to provide “medical reports that guaranteed the health and well-being of the other children.</w:t>
      </w:r>
      <w:r w:rsidR="003040F7" w:rsidRPr="00610904">
        <w:rPr>
          <w:rFonts w:ascii="Verdana" w:hAnsi="Verdana" w:cs="Times New Roman"/>
          <w:noProof w:val="0"/>
          <w:sz w:val="20"/>
          <w:szCs w:val="20"/>
          <w:lang w:val="en-US"/>
        </w:rPr>
        <w:t>”</w:t>
      </w:r>
      <w:r w:rsidR="003040F7" w:rsidRPr="00610904">
        <w:rPr>
          <w:rStyle w:val="FootnoteReference"/>
          <w:rFonts w:ascii="Verdana" w:hAnsi="Verdana"/>
          <w:noProof w:val="0"/>
          <w:sz w:val="20"/>
          <w:lang w:val="en-US"/>
        </w:rPr>
        <w:footnoteReference w:id="285"/>
      </w:r>
      <w:r w:rsidR="009E7834" w:rsidRPr="00610904">
        <w:rPr>
          <w:rFonts w:ascii="Verdana" w:hAnsi="Verdana" w:cs="Times New Roman"/>
          <w:noProof w:val="0"/>
          <w:sz w:val="20"/>
          <w:szCs w:val="20"/>
          <w:lang w:val="en-US"/>
        </w:rPr>
        <w:t xml:space="preserve"> According to the director, these certificates were </w:t>
      </w:r>
      <w:proofErr w:type="gramStart"/>
      <w:r w:rsidR="009E7834" w:rsidRPr="00610904">
        <w:rPr>
          <w:rFonts w:ascii="Verdana" w:hAnsi="Verdana" w:cs="Times New Roman"/>
          <w:noProof w:val="0"/>
          <w:sz w:val="20"/>
          <w:szCs w:val="20"/>
          <w:lang w:val="en-US"/>
        </w:rPr>
        <w:t>provide</w:t>
      </w:r>
      <w:proofErr w:type="gramEnd"/>
      <w:r w:rsidR="009E7834" w:rsidRPr="00610904">
        <w:rPr>
          <w:rFonts w:ascii="Verdana" w:hAnsi="Verdana" w:cs="Times New Roman"/>
          <w:noProof w:val="0"/>
          <w:sz w:val="20"/>
          <w:szCs w:val="20"/>
          <w:lang w:val="en-US"/>
        </w:rPr>
        <w:t xml:space="preserve"> pro</w:t>
      </w:r>
      <w:r w:rsidR="00555783" w:rsidRPr="00610904">
        <w:rPr>
          <w:rFonts w:ascii="Verdana" w:hAnsi="Verdana" w:cs="Times New Roman"/>
          <w:noProof w:val="0"/>
          <w:sz w:val="20"/>
          <w:szCs w:val="20"/>
          <w:lang w:val="en-US"/>
        </w:rPr>
        <w:t>mptly, and they specified that Ta</w:t>
      </w:r>
      <w:r w:rsidR="009E7834" w:rsidRPr="00610904">
        <w:rPr>
          <w:rFonts w:ascii="Verdana" w:hAnsi="Verdana" w:cs="Times New Roman"/>
          <w:noProof w:val="0"/>
          <w:sz w:val="20"/>
          <w:szCs w:val="20"/>
          <w:lang w:val="en-US"/>
        </w:rPr>
        <w:t xml:space="preserve">lía had HIV and that her hematological conditions were good. However, he </w:t>
      </w:r>
      <w:r w:rsidR="00555783" w:rsidRPr="00610904">
        <w:rPr>
          <w:rFonts w:ascii="Verdana" w:hAnsi="Verdana" w:cs="Times New Roman"/>
          <w:noProof w:val="0"/>
          <w:sz w:val="20"/>
          <w:szCs w:val="20"/>
          <w:lang w:val="en-US"/>
        </w:rPr>
        <w:t>indicated</w:t>
      </w:r>
      <w:r w:rsidR="009E7834" w:rsidRPr="00610904">
        <w:rPr>
          <w:rFonts w:ascii="Verdana" w:hAnsi="Verdana" w:cs="Times New Roman"/>
          <w:noProof w:val="0"/>
          <w:sz w:val="20"/>
          <w:szCs w:val="20"/>
          <w:lang w:val="en-US"/>
        </w:rPr>
        <w:t xml:space="preserve"> that Talía “had some </w:t>
      </w:r>
      <w:r w:rsidR="00856968" w:rsidRPr="00610904">
        <w:rPr>
          <w:rFonts w:ascii="Verdana" w:hAnsi="Verdana" w:cs="Times New Roman"/>
          <w:noProof w:val="0"/>
          <w:sz w:val="20"/>
          <w:szCs w:val="20"/>
          <w:lang w:val="en-US"/>
        </w:rPr>
        <w:t>hemorrhages</w:t>
      </w:r>
      <w:r w:rsidR="009E7834" w:rsidRPr="00610904">
        <w:rPr>
          <w:rFonts w:ascii="Verdana" w:hAnsi="Verdana" w:cs="Times New Roman"/>
          <w:noProof w:val="0"/>
          <w:sz w:val="20"/>
          <w:szCs w:val="20"/>
          <w:lang w:val="en-US"/>
        </w:rPr>
        <w:t xml:space="preserve"> at school due to an illness called</w:t>
      </w:r>
      <w:r w:rsidR="003040F7" w:rsidRPr="00610904">
        <w:rPr>
          <w:rFonts w:ascii="Verdana" w:hAnsi="Verdana" w:cs="Times New Roman"/>
          <w:noProof w:val="0"/>
          <w:sz w:val="20"/>
          <w:szCs w:val="20"/>
          <w:lang w:val="en-US"/>
        </w:rPr>
        <w:t xml:space="preserve"> [</w:t>
      </w:r>
      <w:r w:rsidR="00B22AB5" w:rsidRPr="00610904">
        <w:rPr>
          <w:rStyle w:val="Emphasis"/>
          <w:rFonts w:ascii="Verdana" w:hAnsi="Verdana" w:cs="Times New Roman"/>
          <w:bCs/>
          <w:i w:val="0"/>
          <w:noProof w:val="0"/>
          <w:sz w:val="20"/>
          <w:szCs w:val="20"/>
          <w:shd w:val="clear" w:color="auto" w:fill="FFFFFF"/>
          <w:lang w:val="en-US"/>
        </w:rPr>
        <w:t>idiopathic thrombocytopenic purpura</w:t>
      </w:r>
      <w:r w:rsidR="003040F7" w:rsidRPr="00610904">
        <w:rPr>
          <w:rFonts w:ascii="Verdana" w:hAnsi="Verdana" w:cs="Times New Roman"/>
          <w:noProof w:val="0"/>
          <w:sz w:val="20"/>
          <w:szCs w:val="20"/>
          <w:shd w:val="clear" w:color="auto" w:fill="FFFFFF"/>
          <w:lang w:val="en-US"/>
        </w:rPr>
        <w:t>]</w:t>
      </w:r>
      <w:r w:rsidR="009E7834" w:rsidRPr="00610904">
        <w:rPr>
          <w:rFonts w:ascii="Verdana" w:hAnsi="Verdana" w:cs="Times New Roman"/>
          <w:noProof w:val="0"/>
          <w:sz w:val="20"/>
          <w:szCs w:val="20"/>
          <w:shd w:val="clear" w:color="auto" w:fill="FFFFFF"/>
          <w:lang w:val="en-US"/>
        </w:rPr>
        <w:t>,</w:t>
      </w:r>
      <w:r w:rsidR="003040F7" w:rsidRPr="00610904">
        <w:rPr>
          <w:rStyle w:val="apple-converted-space"/>
          <w:rFonts w:ascii="Verdana" w:hAnsi="Verdana" w:cs="Times New Roman"/>
          <w:noProof w:val="0"/>
          <w:sz w:val="20"/>
          <w:szCs w:val="20"/>
          <w:shd w:val="clear" w:color="auto" w:fill="FFFFFF"/>
          <w:lang w:val="en-US"/>
        </w:rPr>
        <w:t>”</w:t>
      </w:r>
      <w:r w:rsidR="003040F7" w:rsidRPr="00610904">
        <w:rPr>
          <w:rStyle w:val="FootnoteReference"/>
          <w:rFonts w:ascii="Verdana" w:hAnsi="Verdana"/>
          <w:noProof w:val="0"/>
          <w:sz w:val="20"/>
          <w:lang w:val="en-US"/>
        </w:rPr>
        <w:footnoteReference w:id="286"/>
      </w:r>
      <w:r w:rsidR="00555783" w:rsidRPr="00610904">
        <w:rPr>
          <w:rFonts w:ascii="Verdana" w:hAnsi="Verdana" w:cs="Times New Roman"/>
          <w:noProof w:val="0"/>
          <w:sz w:val="20"/>
          <w:szCs w:val="20"/>
          <w:lang w:val="en-US"/>
        </w:rPr>
        <w:t xml:space="preserve"> an</w:t>
      </w:r>
      <w:r w:rsidR="009E7834" w:rsidRPr="00610904">
        <w:rPr>
          <w:rFonts w:ascii="Verdana" w:hAnsi="Verdana" w:cs="Times New Roman"/>
          <w:noProof w:val="0"/>
          <w:sz w:val="20"/>
          <w:szCs w:val="20"/>
          <w:lang w:val="en-US"/>
        </w:rPr>
        <w:t xml:space="preserve"> illness that, according to the director, meant that “the risks of infection [were] greater.</w:t>
      </w:r>
      <w:r w:rsidR="003040F7" w:rsidRPr="00610904">
        <w:rPr>
          <w:rFonts w:ascii="Verdana" w:hAnsi="Verdana"/>
          <w:noProof w:val="0"/>
          <w:sz w:val="20"/>
          <w:szCs w:val="20"/>
          <w:lang w:val="en-US"/>
        </w:rPr>
        <w:t>”</w:t>
      </w:r>
      <w:r w:rsidR="003040F7" w:rsidRPr="00610904">
        <w:rPr>
          <w:rStyle w:val="FootnoteReference"/>
          <w:rFonts w:ascii="Verdana" w:hAnsi="Verdana"/>
          <w:noProof w:val="0"/>
          <w:sz w:val="20"/>
          <w:lang w:val="en-US"/>
        </w:rPr>
        <w:footnoteReference w:id="287"/>
      </w:r>
      <w:r w:rsidR="009E7834" w:rsidRPr="00610904">
        <w:rPr>
          <w:rFonts w:ascii="Verdana" w:hAnsi="Verdana"/>
          <w:noProof w:val="0"/>
          <w:sz w:val="20"/>
          <w:szCs w:val="20"/>
          <w:lang w:val="en-US"/>
        </w:rPr>
        <w:t xml:space="preserve"> He also considered, as an additional risk, the fact that </w:t>
      </w:r>
      <w:r w:rsidR="00951EC3" w:rsidRPr="00610904">
        <w:rPr>
          <w:rFonts w:ascii="Verdana" w:hAnsi="Verdana"/>
          <w:noProof w:val="0"/>
          <w:sz w:val="20"/>
          <w:szCs w:val="20"/>
          <w:lang w:val="en-US"/>
        </w:rPr>
        <w:t>Talía</w:t>
      </w:r>
      <w:r w:rsidR="003040F7" w:rsidRPr="00610904">
        <w:rPr>
          <w:rFonts w:ascii="Verdana" w:hAnsi="Verdana"/>
          <w:noProof w:val="0"/>
          <w:sz w:val="20"/>
          <w:szCs w:val="20"/>
          <w:lang w:val="en-US"/>
        </w:rPr>
        <w:t xml:space="preserve"> </w:t>
      </w:r>
      <w:r w:rsidR="009E7834" w:rsidRPr="00610904">
        <w:rPr>
          <w:rFonts w:ascii="Verdana" w:hAnsi="Verdana"/>
          <w:noProof w:val="0"/>
          <w:sz w:val="20"/>
          <w:szCs w:val="20"/>
          <w:lang w:val="en-US"/>
        </w:rPr>
        <w:t>was in the first year of basic education “where the children worked with sharp objects in the course of their different activities.</w:t>
      </w:r>
      <w:r w:rsidR="003040F7" w:rsidRPr="00610904">
        <w:rPr>
          <w:rFonts w:ascii="Verdana" w:hAnsi="Verdana"/>
          <w:noProof w:val="0"/>
          <w:sz w:val="20"/>
          <w:szCs w:val="20"/>
          <w:lang w:val="en-US"/>
        </w:rPr>
        <w:t>”</w:t>
      </w:r>
      <w:r w:rsidR="003040F7" w:rsidRPr="00610904">
        <w:rPr>
          <w:rStyle w:val="FootnoteReference"/>
          <w:rFonts w:ascii="Verdana" w:hAnsi="Verdana"/>
          <w:noProof w:val="0"/>
          <w:sz w:val="20"/>
          <w:lang w:val="en-US"/>
        </w:rPr>
        <w:footnoteReference w:id="288"/>
      </w:r>
    </w:p>
    <w:p w:rsidR="003040F7" w:rsidRPr="00610904" w:rsidRDefault="003040F7" w:rsidP="00610904">
      <w:pPr>
        <w:pStyle w:val="PlainText"/>
        <w:rPr>
          <w:rFonts w:ascii="Verdana" w:hAnsi="Verdana"/>
          <w:noProof w:val="0"/>
          <w:sz w:val="20"/>
          <w:szCs w:val="20"/>
          <w:lang w:val="en-US"/>
        </w:rPr>
      </w:pPr>
    </w:p>
    <w:p w:rsidR="003040F7" w:rsidRPr="00610904" w:rsidRDefault="009E7834"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 xml:space="preserve">Meanwhile, the teacher, APA, testified that </w:t>
      </w:r>
      <w:r w:rsidR="003D2416" w:rsidRPr="00610904">
        <w:rPr>
          <w:rFonts w:ascii="Verdana" w:hAnsi="Verdana"/>
          <w:noProof w:val="0"/>
          <w:sz w:val="20"/>
          <w:szCs w:val="20"/>
          <w:lang w:val="en-US"/>
        </w:rPr>
        <w:t>Talía</w:t>
      </w:r>
      <w:r w:rsidRPr="00610904">
        <w:rPr>
          <w:rFonts w:ascii="Verdana" w:hAnsi="Verdana"/>
          <w:noProof w:val="0"/>
          <w:sz w:val="20"/>
          <w:szCs w:val="20"/>
          <w:lang w:val="en-US"/>
        </w:rPr>
        <w:t xml:space="preserve"> had</w:t>
      </w:r>
      <w:r w:rsidR="003040F7" w:rsidRPr="00610904">
        <w:rPr>
          <w:rFonts w:ascii="Verdana" w:hAnsi="Verdana"/>
          <w:noProof w:val="0"/>
          <w:sz w:val="20"/>
          <w:szCs w:val="20"/>
          <w:lang w:val="en-US"/>
        </w:rPr>
        <w:t xml:space="preserve"> </w:t>
      </w:r>
      <w:r w:rsidR="003D2416" w:rsidRPr="00610904">
        <w:rPr>
          <w:rFonts w:ascii="Verdana" w:hAnsi="Verdana"/>
          <w:noProof w:val="0"/>
          <w:sz w:val="20"/>
          <w:szCs w:val="20"/>
          <w:lang w:val="en-US"/>
        </w:rPr>
        <w:t>“</w:t>
      </w:r>
      <w:r w:rsidRPr="00610904">
        <w:rPr>
          <w:rFonts w:ascii="Verdana" w:hAnsi="Verdana"/>
          <w:noProof w:val="0"/>
          <w:sz w:val="20"/>
          <w:szCs w:val="20"/>
          <w:lang w:val="en-US"/>
        </w:rPr>
        <w:t xml:space="preserve">attended </w:t>
      </w:r>
      <w:r w:rsidR="00856968" w:rsidRPr="00610904">
        <w:rPr>
          <w:rFonts w:ascii="Verdana" w:hAnsi="Verdana"/>
          <w:noProof w:val="0"/>
          <w:sz w:val="20"/>
          <w:szCs w:val="20"/>
          <w:lang w:val="en-US"/>
        </w:rPr>
        <w:t>classes</w:t>
      </w:r>
      <w:r w:rsidRPr="00610904">
        <w:rPr>
          <w:rFonts w:ascii="Verdana" w:hAnsi="Verdana"/>
          <w:noProof w:val="0"/>
          <w:sz w:val="20"/>
          <w:szCs w:val="20"/>
          <w:lang w:val="en-US"/>
        </w:rPr>
        <w:t xml:space="preserve"> no</w:t>
      </w:r>
      <w:r w:rsidR="00555783" w:rsidRPr="00610904">
        <w:rPr>
          <w:rFonts w:ascii="Verdana" w:hAnsi="Verdana"/>
          <w:noProof w:val="0"/>
          <w:sz w:val="20"/>
          <w:szCs w:val="20"/>
          <w:lang w:val="en-US"/>
        </w:rPr>
        <w:t>rmally until November 26.” She s</w:t>
      </w:r>
      <w:r w:rsidRPr="00610904">
        <w:rPr>
          <w:rFonts w:ascii="Verdana" w:hAnsi="Verdana"/>
          <w:noProof w:val="0"/>
          <w:sz w:val="20"/>
          <w:szCs w:val="20"/>
          <w:lang w:val="en-US"/>
        </w:rPr>
        <w:t>tated that</w:t>
      </w:r>
      <w:r w:rsidR="00555783" w:rsidRPr="00610904">
        <w:rPr>
          <w:rFonts w:ascii="Verdana" w:hAnsi="Verdana"/>
          <w:noProof w:val="0"/>
          <w:sz w:val="20"/>
          <w:szCs w:val="20"/>
          <w:lang w:val="en-US"/>
        </w:rPr>
        <w:t>,</w:t>
      </w:r>
      <w:r w:rsidRPr="00610904">
        <w:rPr>
          <w:rFonts w:ascii="Verdana" w:hAnsi="Verdana"/>
          <w:noProof w:val="0"/>
          <w:sz w:val="20"/>
          <w:szCs w:val="20"/>
          <w:lang w:val="en-US"/>
        </w:rPr>
        <w:t xml:space="preserve"> “as the class teacher, [she] found out about [Talía’s] problem,” and, therefore, </w:t>
      </w:r>
      <w:r w:rsidR="003040F7" w:rsidRPr="00610904">
        <w:rPr>
          <w:rFonts w:ascii="Verdana" w:hAnsi="Verdana"/>
          <w:noProof w:val="0"/>
          <w:sz w:val="20"/>
          <w:szCs w:val="20"/>
          <w:lang w:val="en-US"/>
        </w:rPr>
        <w:t>as</w:t>
      </w:r>
      <w:r w:rsidRPr="00610904">
        <w:rPr>
          <w:rFonts w:ascii="Verdana" w:hAnsi="Verdana"/>
          <w:noProof w:val="0"/>
          <w:sz w:val="20"/>
          <w:szCs w:val="20"/>
          <w:lang w:val="en-US"/>
        </w:rPr>
        <w:t xml:space="preserve">ked </w:t>
      </w:r>
      <w:r w:rsidR="00C7344B" w:rsidRPr="00610904">
        <w:rPr>
          <w:rFonts w:ascii="Verdana" w:hAnsi="Verdana"/>
          <w:noProof w:val="0"/>
          <w:sz w:val="20"/>
          <w:szCs w:val="20"/>
          <w:lang w:val="en-US"/>
        </w:rPr>
        <w:t xml:space="preserve">Teresa Lluy </w:t>
      </w:r>
      <w:r w:rsidRPr="00610904">
        <w:rPr>
          <w:rFonts w:ascii="Verdana" w:hAnsi="Verdana"/>
          <w:noProof w:val="0"/>
          <w:sz w:val="20"/>
          <w:szCs w:val="20"/>
          <w:lang w:val="en-US"/>
        </w:rPr>
        <w:t xml:space="preserve">to attend a meeting with the school director in order to discover whether or not </w:t>
      </w:r>
      <w:r w:rsidR="00CD3738" w:rsidRPr="00610904">
        <w:rPr>
          <w:rFonts w:ascii="Verdana" w:hAnsi="Verdana"/>
          <w:noProof w:val="0"/>
          <w:sz w:val="20"/>
          <w:szCs w:val="20"/>
          <w:lang w:val="en-US"/>
        </w:rPr>
        <w:t>Talía</w:t>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had</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At that meeting</w:t>
      </w:r>
      <w:r w:rsidR="003040F7" w:rsidRPr="00610904">
        <w:rPr>
          <w:rFonts w:ascii="Verdana" w:hAnsi="Verdana"/>
          <w:noProof w:val="0"/>
          <w:sz w:val="20"/>
          <w:szCs w:val="20"/>
          <w:lang w:val="en-US"/>
        </w:rPr>
        <w:t xml:space="preserve">, Teresa </w:t>
      </w:r>
      <w:r w:rsidRPr="00610904">
        <w:rPr>
          <w:rFonts w:ascii="Verdana" w:hAnsi="Verdana"/>
          <w:noProof w:val="0"/>
          <w:sz w:val="20"/>
          <w:szCs w:val="20"/>
          <w:lang w:val="en-US"/>
        </w:rPr>
        <w:t xml:space="preserve">told them that Talía’s </w:t>
      </w:r>
      <w:r w:rsidRPr="00610904">
        <w:rPr>
          <w:rFonts w:ascii="Verdana" w:hAnsi="Verdana"/>
          <w:noProof w:val="0"/>
          <w:sz w:val="20"/>
          <w:szCs w:val="20"/>
          <w:lang w:val="en-US"/>
        </w:rPr>
        <w:lastRenderedPageBreak/>
        <w:t>HIV “was due to a transfusion of blood from</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the Red Cross</w:t>
      </w:r>
      <w:r w:rsidRPr="00610904">
        <w:rPr>
          <w:rFonts w:ascii="Verdana" w:hAnsi="Verdana"/>
          <w:noProof w:val="0"/>
          <w:sz w:val="20"/>
          <w:szCs w:val="20"/>
          <w:lang w:val="en-US"/>
        </w:rPr>
        <w:t>,” because she had had a problem</w:t>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with her platelets. In addition, APA affirmed that, in the training session provided by the Health Directorate and the Education Directorate, Talía’s doctor, Dr. </w:t>
      </w:r>
      <w:r w:rsidR="00A829BE" w:rsidRPr="00610904">
        <w:rPr>
          <w:rFonts w:ascii="Verdana" w:hAnsi="Verdana"/>
          <w:noProof w:val="0"/>
          <w:sz w:val="20"/>
          <w:szCs w:val="20"/>
          <w:lang w:val="en-US"/>
        </w:rPr>
        <w:t>JO</w:t>
      </w:r>
      <w:r w:rsidRPr="00610904">
        <w:rPr>
          <w:rFonts w:ascii="Verdana" w:hAnsi="Verdana"/>
          <w:noProof w:val="0"/>
          <w:sz w:val="20"/>
          <w:szCs w:val="20"/>
          <w:lang w:val="en-US"/>
        </w:rPr>
        <w:t xml:space="preserve"> </w:t>
      </w:r>
      <w:r w:rsidR="00A829BE" w:rsidRPr="00610904">
        <w:rPr>
          <w:rFonts w:ascii="Verdana" w:hAnsi="Verdana"/>
          <w:noProof w:val="0"/>
          <w:sz w:val="20"/>
          <w:szCs w:val="20"/>
          <w:lang w:val="en-US"/>
        </w:rPr>
        <w:t>t</w:t>
      </w:r>
      <w:r w:rsidR="00555783" w:rsidRPr="00610904">
        <w:rPr>
          <w:rFonts w:ascii="Verdana" w:hAnsi="Verdana"/>
          <w:noProof w:val="0"/>
          <w:sz w:val="20"/>
          <w:szCs w:val="20"/>
          <w:lang w:val="en-US"/>
        </w:rPr>
        <w:t>old her that</w:t>
      </w:r>
      <w:r w:rsidRPr="00610904">
        <w:rPr>
          <w:rFonts w:ascii="Verdana" w:hAnsi="Verdana"/>
          <w:noProof w:val="0"/>
          <w:sz w:val="20"/>
          <w:szCs w:val="20"/>
          <w:lang w:val="en-US"/>
        </w:rPr>
        <w:t xml:space="preserve"> Talía’s hematological illness was under control and, regarding the risk o</w:t>
      </w:r>
      <w:r w:rsidR="00555783" w:rsidRPr="00610904">
        <w:rPr>
          <w:rFonts w:ascii="Verdana" w:hAnsi="Verdana"/>
          <w:noProof w:val="0"/>
          <w:sz w:val="20"/>
          <w:szCs w:val="20"/>
          <w:lang w:val="en-US"/>
        </w:rPr>
        <w:t>f infecting</w:t>
      </w:r>
      <w:r w:rsidRPr="00610904">
        <w:rPr>
          <w:rFonts w:ascii="Verdana" w:hAnsi="Verdana"/>
          <w:noProof w:val="0"/>
          <w:sz w:val="20"/>
          <w:szCs w:val="20"/>
          <w:lang w:val="en-US"/>
        </w:rPr>
        <w:t xml:space="preserve"> Talía’s companions, the doctor had explained to her that “there [was] a very low percentage</w:t>
      </w:r>
      <w:r w:rsidR="00555783" w:rsidRPr="00610904">
        <w:rPr>
          <w:rFonts w:ascii="Verdana" w:hAnsi="Verdana"/>
          <w:noProof w:val="0"/>
          <w:sz w:val="20"/>
          <w:szCs w:val="20"/>
          <w:lang w:val="en-US"/>
        </w:rPr>
        <w:t xml:space="preserve"> of risk</w:t>
      </w:r>
      <w:r w:rsidRPr="00610904">
        <w:rPr>
          <w:rFonts w:ascii="Verdana" w:hAnsi="Verdana"/>
          <w:noProof w:val="0"/>
          <w:sz w:val="20"/>
          <w:szCs w:val="20"/>
          <w:lang w:val="en-US"/>
        </w:rPr>
        <w:t>; but the risk exist[ed].</w:t>
      </w:r>
      <w:r w:rsidR="003040F7" w:rsidRPr="00610904">
        <w:rPr>
          <w:rFonts w:ascii="Verdana" w:hAnsi="Verdana"/>
          <w:noProof w:val="0"/>
          <w:sz w:val="20"/>
          <w:szCs w:val="20"/>
          <w:lang w:val="en-US"/>
        </w:rPr>
        <w:t>”</w:t>
      </w:r>
      <w:r w:rsidR="003040F7" w:rsidRPr="00610904">
        <w:rPr>
          <w:rStyle w:val="FootnoteReference"/>
          <w:rFonts w:ascii="Verdana" w:hAnsi="Verdana"/>
          <w:noProof w:val="0"/>
          <w:sz w:val="20"/>
          <w:lang w:val="en-US"/>
        </w:rPr>
        <w:footnoteReference w:id="289"/>
      </w:r>
      <w:r w:rsidR="003040F7" w:rsidRPr="00610904">
        <w:rPr>
          <w:rFonts w:ascii="Verdana" w:hAnsi="Verdana"/>
          <w:noProof w:val="0"/>
          <w:sz w:val="20"/>
          <w:szCs w:val="20"/>
          <w:lang w:val="en-US"/>
        </w:rPr>
        <w:t xml:space="preserve"> APA </w:t>
      </w:r>
      <w:r w:rsidRPr="00610904">
        <w:rPr>
          <w:rFonts w:ascii="Verdana" w:hAnsi="Verdana"/>
          <w:noProof w:val="0"/>
          <w:sz w:val="20"/>
          <w:szCs w:val="20"/>
          <w:lang w:val="en-US"/>
        </w:rPr>
        <w:t xml:space="preserve">also stated that she had “witnesses of the hemorrhages suffered </w:t>
      </w:r>
      <w:r w:rsidR="00856968" w:rsidRPr="00610904">
        <w:rPr>
          <w:rFonts w:ascii="Verdana" w:hAnsi="Verdana"/>
          <w:noProof w:val="0"/>
          <w:sz w:val="20"/>
          <w:szCs w:val="20"/>
          <w:lang w:val="en-US"/>
        </w:rPr>
        <w:t>by [</w:t>
      </w:r>
      <w:r w:rsidR="00EE11FB" w:rsidRPr="00610904">
        <w:rPr>
          <w:rFonts w:ascii="Verdana" w:hAnsi="Verdana"/>
          <w:noProof w:val="0"/>
          <w:sz w:val="20"/>
          <w:szCs w:val="20"/>
          <w:lang w:val="en-US"/>
        </w:rPr>
        <w:t>Talía]</w:t>
      </w:r>
      <w:r w:rsidRPr="00610904">
        <w:rPr>
          <w:rFonts w:ascii="Verdana" w:hAnsi="Verdana"/>
          <w:noProof w:val="0"/>
          <w:sz w:val="20"/>
          <w:szCs w:val="20"/>
          <w:lang w:val="en-US"/>
        </w:rPr>
        <w:t>.</w:t>
      </w:r>
      <w:r w:rsidR="003040F7" w:rsidRPr="00610904">
        <w:rPr>
          <w:rFonts w:ascii="Verdana" w:hAnsi="Verdana"/>
          <w:noProof w:val="0"/>
          <w:sz w:val="20"/>
          <w:szCs w:val="20"/>
          <w:lang w:val="en-US"/>
        </w:rPr>
        <w:t>”</w:t>
      </w:r>
      <w:r w:rsidR="003040F7" w:rsidRPr="00610904">
        <w:rPr>
          <w:rStyle w:val="FootnoteReference"/>
          <w:rFonts w:ascii="Verdana" w:hAnsi="Verdana"/>
          <w:noProof w:val="0"/>
          <w:sz w:val="20"/>
          <w:lang w:val="en-US"/>
        </w:rPr>
        <w:footnoteReference w:id="290"/>
      </w:r>
    </w:p>
    <w:p w:rsidR="003040F7" w:rsidRPr="00610904" w:rsidRDefault="003040F7" w:rsidP="00610904">
      <w:pPr>
        <w:pStyle w:val="MediumGrid1-Accent21"/>
        <w:rPr>
          <w:noProof w:val="0"/>
          <w:lang w:val="en-US"/>
        </w:rPr>
      </w:pPr>
    </w:p>
    <w:p w:rsidR="003040F7" w:rsidRPr="00610904" w:rsidRDefault="002546C8" w:rsidP="00610904">
      <w:pPr>
        <w:pStyle w:val="MediumGrid1-Accent21"/>
        <w:numPr>
          <w:ilvl w:val="0"/>
          <w:numId w:val="1"/>
        </w:numPr>
        <w:rPr>
          <w:noProof w:val="0"/>
          <w:lang w:val="en-US"/>
        </w:rPr>
      </w:pPr>
      <w:r w:rsidRPr="00610904">
        <w:rPr>
          <w:noProof w:val="0"/>
          <w:lang w:val="en-US"/>
        </w:rPr>
        <w:t xml:space="preserve">In addition, the case file contains notes by Drs. </w:t>
      </w:r>
      <w:r w:rsidR="003040F7" w:rsidRPr="00610904">
        <w:rPr>
          <w:noProof w:val="0"/>
          <w:lang w:val="en-US"/>
        </w:rPr>
        <w:t>JOM</w:t>
      </w:r>
      <w:r w:rsidR="009F3D78" w:rsidRPr="00610904">
        <w:rPr>
          <w:noProof w:val="0"/>
          <w:lang w:val="en-US"/>
        </w:rPr>
        <w:t xml:space="preserve"> and </w:t>
      </w:r>
      <w:r w:rsidR="00555783" w:rsidRPr="00610904">
        <w:rPr>
          <w:noProof w:val="0"/>
          <w:lang w:val="en-US"/>
        </w:rPr>
        <w:t>NV, indicating</w:t>
      </w:r>
      <w:r w:rsidRPr="00610904">
        <w:rPr>
          <w:noProof w:val="0"/>
          <w:lang w:val="en-US"/>
        </w:rPr>
        <w:t xml:space="preserve"> that Talía was “a patient with the human immunodeficiency virus that was asymptomatic [up until that time],</w:t>
      </w:r>
      <w:r w:rsidR="003040F7" w:rsidRPr="00610904">
        <w:rPr>
          <w:noProof w:val="0"/>
          <w:lang w:val="en-US"/>
        </w:rPr>
        <w:t>”</w:t>
      </w:r>
      <w:r w:rsidR="003040F7" w:rsidRPr="00610904">
        <w:rPr>
          <w:rStyle w:val="FootnoteReference"/>
          <w:noProof w:val="0"/>
          <w:lang w:val="en-US"/>
        </w:rPr>
        <w:footnoteReference w:id="291"/>
      </w:r>
      <w:r w:rsidR="009F3D78" w:rsidRPr="00610904">
        <w:rPr>
          <w:noProof w:val="0"/>
          <w:lang w:val="en-US"/>
        </w:rPr>
        <w:t xml:space="preserve"> and</w:t>
      </w:r>
      <w:r w:rsidRPr="00610904">
        <w:rPr>
          <w:noProof w:val="0"/>
          <w:lang w:val="en-US"/>
        </w:rPr>
        <w:t xml:space="preserve"> also that “her hematological </w:t>
      </w:r>
      <w:r w:rsidR="00B22AB5" w:rsidRPr="00610904">
        <w:rPr>
          <w:noProof w:val="0"/>
          <w:lang w:val="en-US"/>
        </w:rPr>
        <w:t>conditions were</w:t>
      </w:r>
      <w:r w:rsidRPr="00610904">
        <w:rPr>
          <w:noProof w:val="0"/>
          <w:lang w:val="en-US"/>
        </w:rPr>
        <w:t xml:space="preserve"> good.</w:t>
      </w:r>
      <w:r w:rsidR="003040F7" w:rsidRPr="00610904">
        <w:rPr>
          <w:noProof w:val="0"/>
          <w:lang w:val="en-US"/>
        </w:rPr>
        <w:t>”</w:t>
      </w:r>
      <w:r w:rsidR="003040F7" w:rsidRPr="00610904">
        <w:rPr>
          <w:rStyle w:val="FootnoteReference"/>
          <w:noProof w:val="0"/>
          <w:lang w:val="en-US"/>
        </w:rPr>
        <w:footnoteReference w:id="292"/>
      </w:r>
      <w:r w:rsidR="00B22AB5" w:rsidRPr="00610904">
        <w:rPr>
          <w:noProof w:val="0"/>
          <w:lang w:val="en-US"/>
        </w:rPr>
        <w:t xml:space="preserve"> It also includes the testimony of RG, a social worker from the Health Directorate, who coordinated the HIV/AIDS training of the administrative and teaching </w:t>
      </w:r>
      <w:r w:rsidR="00856968" w:rsidRPr="00610904">
        <w:rPr>
          <w:noProof w:val="0"/>
          <w:lang w:val="en-US"/>
        </w:rPr>
        <w:t>staff</w:t>
      </w:r>
      <w:r w:rsidR="00B22AB5" w:rsidRPr="00610904">
        <w:rPr>
          <w:noProof w:val="0"/>
          <w:lang w:val="en-US"/>
        </w:rPr>
        <w:t xml:space="preserve"> of the </w:t>
      </w:r>
      <w:r w:rsidR="00535633" w:rsidRPr="00610904">
        <w:rPr>
          <w:noProof w:val="0"/>
          <w:lang w:val="en-US"/>
        </w:rPr>
        <w:t>Zoila Aurora Palacios</w:t>
      </w:r>
      <w:r w:rsidR="003040F7" w:rsidRPr="00610904">
        <w:rPr>
          <w:noProof w:val="0"/>
          <w:lang w:val="en-US"/>
        </w:rPr>
        <w:t xml:space="preserve"> </w:t>
      </w:r>
      <w:r w:rsidR="00B22AB5" w:rsidRPr="00610904">
        <w:rPr>
          <w:noProof w:val="0"/>
          <w:lang w:val="en-US"/>
        </w:rPr>
        <w:t xml:space="preserve">School, </w:t>
      </w:r>
      <w:r w:rsidR="009E7834" w:rsidRPr="00610904">
        <w:rPr>
          <w:noProof w:val="0"/>
          <w:lang w:val="en-US"/>
        </w:rPr>
        <w:t xml:space="preserve">and </w:t>
      </w:r>
      <w:r w:rsidR="00B22AB5" w:rsidRPr="00610904">
        <w:rPr>
          <w:noProof w:val="0"/>
          <w:lang w:val="en-US"/>
        </w:rPr>
        <w:t>who explained that the virus was a reality with which they should learn to live, and that “there [were] risks; however, these would be minimal if th</w:t>
      </w:r>
      <w:r w:rsidR="009E7834" w:rsidRPr="00610904">
        <w:rPr>
          <w:noProof w:val="0"/>
          <w:lang w:val="en-US"/>
        </w:rPr>
        <w:t>e biosafety regulations [were] respected</w:t>
      </w:r>
      <w:r w:rsidR="00B22AB5" w:rsidRPr="00610904">
        <w:rPr>
          <w:noProof w:val="0"/>
          <w:lang w:val="en-US"/>
        </w:rPr>
        <w:t>.</w:t>
      </w:r>
      <w:r w:rsidR="003040F7" w:rsidRPr="00610904">
        <w:rPr>
          <w:noProof w:val="0"/>
          <w:lang w:val="en-US"/>
        </w:rPr>
        <w:t>”</w:t>
      </w:r>
      <w:r w:rsidR="003040F7" w:rsidRPr="00610904">
        <w:rPr>
          <w:rStyle w:val="FootnoteReference"/>
          <w:noProof w:val="0"/>
          <w:lang w:val="en-US"/>
        </w:rPr>
        <w:footnoteReference w:id="293"/>
      </w:r>
    </w:p>
    <w:p w:rsidR="003040F7" w:rsidRPr="00610904" w:rsidRDefault="003040F7" w:rsidP="00610904">
      <w:pPr>
        <w:pStyle w:val="MediumGrid1-Accent21"/>
        <w:rPr>
          <w:noProof w:val="0"/>
          <w:lang w:val="en-US"/>
        </w:rPr>
      </w:pPr>
    </w:p>
    <w:p w:rsidR="003040F7" w:rsidRPr="00610904" w:rsidRDefault="009E7834" w:rsidP="00610904">
      <w:pPr>
        <w:pStyle w:val="MediumGrid1-Accent21"/>
        <w:numPr>
          <w:ilvl w:val="0"/>
          <w:numId w:val="1"/>
        </w:numPr>
        <w:rPr>
          <w:noProof w:val="0"/>
          <w:lang w:val="en-US"/>
        </w:rPr>
      </w:pPr>
      <w:r w:rsidRPr="00610904">
        <w:rPr>
          <w:noProof w:val="0"/>
          <w:lang w:val="en-US"/>
        </w:rPr>
        <w:t xml:space="preserve">In the </w:t>
      </w:r>
      <w:r w:rsidRPr="00610904">
        <w:rPr>
          <w:noProof w:val="0"/>
          <w:szCs w:val="20"/>
          <w:lang w:val="en-US"/>
        </w:rPr>
        <w:t xml:space="preserve">decision on the </w:t>
      </w:r>
      <w:r w:rsidR="00555783" w:rsidRPr="00610904">
        <w:rPr>
          <w:i/>
          <w:noProof w:val="0"/>
          <w:szCs w:val="20"/>
          <w:lang w:val="en-US"/>
        </w:rPr>
        <w:t>a</w:t>
      </w:r>
      <w:r w:rsidRPr="00610904">
        <w:rPr>
          <w:i/>
          <w:noProof w:val="0"/>
          <w:szCs w:val="20"/>
          <w:lang w:val="en-US"/>
        </w:rPr>
        <w:t>mparo</w:t>
      </w:r>
      <w:r w:rsidRPr="00610904">
        <w:rPr>
          <w:noProof w:val="0"/>
          <w:szCs w:val="20"/>
          <w:lang w:val="en-US"/>
        </w:rPr>
        <w:t xml:space="preserve">, the </w:t>
      </w:r>
      <w:r w:rsidR="00856968" w:rsidRPr="00610904">
        <w:rPr>
          <w:noProof w:val="0"/>
          <w:szCs w:val="20"/>
          <w:lang w:val="en-US"/>
        </w:rPr>
        <w:t>Contentious</w:t>
      </w:r>
      <w:r w:rsidRPr="00610904">
        <w:rPr>
          <w:noProof w:val="0"/>
          <w:szCs w:val="20"/>
          <w:lang w:val="en-US"/>
        </w:rPr>
        <w:t xml:space="preserve"> Court established that it was “inevitable that the temporary suspension of [Talía] from attending the school to receive education was subject to medical examinations that reported fully on her </w:t>
      </w:r>
      <w:r w:rsidR="00404EE1" w:rsidRPr="00610904">
        <w:rPr>
          <w:noProof w:val="0"/>
          <w:szCs w:val="20"/>
          <w:lang w:val="en-US"/>
        </w:rPr>
        <w:t>health status</w:t>
      </w:r>
      <w:r w:rsidRPr="00610904">
        <w:rPr>
          <w:noProof w:val="0"/>
          <w:szCs w:val="20"/>
          <w:lang w:val="en-US"/>
        </w:rPr>
        <w:t>.</w:t>
      </w:r>
      <w:r w:rsidR="003040F7" w:rsidRPr="00610904">
        <w:rPr>
          <w:noProof w:val="0"/>
          <w:lang w:val="en-US"/>
        </w:rPr>
        <w:t>”</w:t>
      </w:r>
      <w:r w:rsidR="003040F7" w:rsidRPr="00610904">
        <w:rPr>
          <w:rStyle w:val="FootnoteReference"/>
          <w:noProof w:val="0"/>
          <w:lang w:val="en-US"/>
        </w:rPr>
        <w:footnoteReference w:id="294"/>
      </w:r>
      <w:r w:rsidRPr="00610904">
        <w:rPr>
          <w:noProof w:val="0"/>
          <w:lang w:val="en-US"/>
        </w:rPr>
        <w:t xml:space="preserve"> Regarding the medical documents, the court stated that</w:t>
      </w:r>
      <w:r w:rsidR="003040F7" w:rsidRPr="00610904">
        <w:rPr>
          <w:noProof w:val="0"/>
          <w:lang w:val="en-US"/>
        </w:rPr>
        <w:t xml:space="preserve"> </w:t>
      </w:r>
      <w:r w:rsidR="00CD3738" w:rsidRPr="00610904">
        <w:rPr>
          <w:noProof w:val="0"/>
          <w:lang w:val="en-US"/>
        </w:rPr>
        <w:t>Talía</w:t>
      </w:r>
      <w:r w:rsidR="003040F7" w:rsidRPr="00610904">
        <w:rPr>
          <w:noProof w:val="0"/>
          <w:lang w:val="en-US"/>
        </w:rPr>
        <w:t xml:space="preserve"> “</w:t>
      </w:r>
      <w:r w:rsidRPr="00610904">
        <w:rPr>
          <w:noProof w:val="0"/>
          <w:lang w:val="en-US"/>
        </w:rPr>
        <w:t xml:space="preserve">suffers from the HIV virus aggravated by the </w:t>
      </w:r>
      <w:r w:rsidR="00856968" w:rsidRPr="00610904">
        <w:rPr>
          <w:noProof w:val="0"/>
          <w:lang w:val="en-US"/>
        </w:rPr>
        <w:t>diagnosis</w:t>
      </w:r>
      <w:r w:rsidRPr="00610904">
        <w:rPr>
          <w:noProof w:val="0"/>
          <w:lang w:val="en-US"/>
        </w:rPr>
        <w:t xml:space="preserve"> of </w:t>
      </w:r>
      <w:r w:rsidR="003040F7" w:rsidRPr="00610904">
        <w:rPr>
          <w:noProof w:val="0"/>
          <w:lang w:val="en-US"/>
        </w:rPr>
        <w:t>[</w:t>
      </w:r>
      <w:r w:rsidR="00B22AB5" w:rsidRPr="00610904">
        <w:rPr>
          <w:noProof w:val="0"/>
          <w:lang w:val="en-US"/>
        </w:rPr>
        <w:t>idiopathic thrombocytopenic purpura</w:t>
      </w:r>
      <w:r w:rsidR="003040F7" w:rsidRPr="00610904">
        <w:rPr>
          <w:noProof w:val="0"/>
          <w:lang w:val="en-US"/>
        </w:rPr>
        <w:t>]</w:t>
      </w:r>
      <w:r w:rsidR="00555783" w:rsidRPr="00610904">
        <w:rPr>
          <w:noProof w:val="0"/>
          <w:lang w:val="en-US"/>
        </w:rPr>
        <w:t>,</w:t>
      </w:r>
      <w:r w:rsidR="003040F7" w:rsidRPr="00610904">
        <w:rPr>
          <w:noProof w:val="0"/>
          <w:lang w:val="en-US"/>
        </w:rPr>
        <w:t>”</w:t>
      </w:r>
      <w:r w:rsidR="003040F7" w:rsidRPr="00610904">
        <w:rPr>
          <w:rStyle w:val="FootnoteReference"/>
          <w:noProof w:val="0"/>
          <w:lang w:val="en-US"/>
        </w:rPr>
        <w:footnoteReference w:id="295"/>
      </w:r>
      <w:r w:rsidR="009F3D78" w:rsidRPr="00610904">
        <w:rPr>
          <w:noProof w:val="0"/>
          <w:lang w:val="en-US"/>
        </w:rPr>
        <w:t xml:space="preserve"> and </w:t>
      </w:r>
      <w:r w:rsidRPr="00610904">
        <w:rPr>
          <w:noProof w:val="0"/>
          <w:lang w:val="en-US"/>
        </w:rPr>
        <w:t>that the latter illness “corresponds to a decrease in the platelets with</w:t>
      </w:r>
      <w:r w:rsidR="00555783" w:rsidRPr="00610904">
        <w:rPr>
          <w:noProof w:val="0"/>
          <w:lang w:val="en-US"/>
        </w:rPr>
        <w:t>out</w:t>
      </w:r>
      <w:r w:rsidRPr="00610904">
        <w:rPr>
          <w:noProof w:val="0"/>
          <w:lang w:val="en-US"/>
        </w:rPr>
        <w:t xml:space="preserve"> apparent cause, and this </w:t>
      </w:r>
      <w:r w:rsidR="00555783" w:rsidRPr="00610904">
        <w:rPr>
          <w:noProof w:val="0"/>
          <w:lang w:val="en-US"/>
        </w:rPr>
        <w:t>produces</w:t>
      </w:r>
      <w:r w:rsidRPr="00610904">
        <w:rPr>
          <w:noProof w:val="0"/>
          <w:lang w:val="en-US"/>
        </w:rPr>
        <w:t xml:space="preserve"> bleeding.</w:t>
      </w:r>
      <w:r w:rsidR="003040F7" w:rsidRPr="00610904">
        <w:rPr>
          <w:noProof w:val="0"/>
          <w:lang w:val="en-US"/>
        </w:rPr>
        <w:t>”</w:t>
      </w:r>
      <w:r w:rsidR="003040F7" w:rsidRPr="00610904">
        <w:rPr>
          <w:rStyle w:val="FootnoteReference"/>
          <w:noProof w:val="0"/>
          <w:lang w:val="en-US"/>
        </w:rPr>
        <w:footnoteReference w:id="296"/>
      </w:r>
      <w:r w:rsidRPr="00610904">
        <w:rPr>
          <w:noProof w:val="0"/>
          <w:lang w:val="en-US"/>
        </w:rPr>
        <w:t xml:space="preserve"> In this regard, the court concluded that “the bleeding detected by the teacher […] signifie[d] a possible risk of contamination for the other students at the school.</w:t>
      </w:r>
      <w:r w:rsidR="003040F7" w:rsidRPr="00610904">
        <w:rPr>
          <w:noProof w:val="0"/>
          <w:lang w:val="en-US"/>
        </w:rPr>
        <w:t>”</w:t>
      </w:r>
      <w:r w:rsidR="003040F7" w:rsidRPr="00610904">
        <w:rPr>
          <w:rStyle w:val="FootnoteReference"/>
          <w:noProof w:val="0"/>
          <w:lang w:val="en-US"/>
        </w:rPr>
        <w:footnoteReference w:id="297"/>
      </w:r>
      <w:bookmarkStart w:id="113" w:name="_Ref320008511"/>
    </w:p>
    <w:p w:rsidR="003040F7" w:rsidRPr="00610904" w:rsidRDefault="003040F7" w:rsidP="00610904">
      <w:pPr>
        <w:pStyle w:val="MediumGrid1-Accent21"/>
        <w:rPr>
          <w:noProof w:val="0"/>
          <w:lang w:val="en-US"/>
        </w:rPr>
      </w:pPr>
    </w:p>
    <w:p w:rsidR="003040F7" w:rsidRPr="00610904" w:rsidRDefault="003040F7" w:rsidP="00610904">
      <w:pPr>
        <w:pStyle w:val="MediumGrid1-Accent21"/>
        <w:numPr>
          <w:ilvl w:val="0"/>
          <w:numId w:val="1"/>
        </w:numPr>
        <w:rPr>
          <w:noProof w:val="0"/>
          <w:lang w:val="en-US"/>
        </w:rPr>
      </w:pPr>
      <w:r w:rsidRPr="00610904">
        <w:rPr>
          <w:noProof w:val="0"/>
          <w:lang w:val="en-US"/>
        </w:rPr>
        <w:t>T</w:t>
      </w:r>
      <w:r w:rsidR="00B22AB5" w:rsidRPr="00610904">
        <w:rPr>
          <w:noProof w:val="0"/>
          <w:lang w:val="en-US"/>
        </w:rPr>
        <w:t xml:space="preserve">aking these elements into account, the Court notes that the decision taken at the domestic level was based, above all, on the medical condition </w:t>
      </w:r>
      <w:r w:rsidR="00555783" w:rsidRPr="00610904">
        <w:rPr>
          <w:noProof w:val="0"/>
          <w:lang w:val="en-US"/>
        </w:rPr>
        <w:t>of Talía associated with both</w:t>
      </w:r>
      <w:r w:rsidR="00B22AB5" w:rsidRPr="00610904">
        <w:rPr>
          <w:noProof w:val="0"/>
          <w:lang w:val="en-US"/>
        </w:rPr>
        <w:t xml:space="preserve"> idiopathic thrombocytopenic purpura</w:t>
      </w:r>
      <w:r w:rsidR="006020C3" w:rsidRPr="00610904">
        <w:rPr>
          <w:noProof w:val="0"/>
          <w:lang w:val="en-US"/>
        </w:rPr>
        <w:t xml:space="preserve"> </w:t>
      </w:r>
      <w:r w:rsidR="00555783" w:rsidRPr="00610904">
        <w:rPr>
          <w:noProof w:val="0"/>
          <w:lang w:val="en-US"/>
        </w:rPr>
        <w:t>and</w:t>
      </w:r>
      <w:r w:rsidR="006020C3" w:rsidRPr="00610904">
        <w:rPr>
          <w:noProof w:val="0"/>
          <w:lang w:val="en-US"/>
        </w:rPr>
        <w:t xml:space="preserve"> </w:t>
      </w:r>
      <w:r w:rsidR="00A8072E" w:rsidRPr="00610904">
        <w:rPr>
          <w:noProof w:val="0"/>
          <w:lang w:val="en-US"/>
        </w:rPr>
        <w:t>HIV</w:t>
      </w:r>
      <w:r w:rsidR="009E7834" w:rsidRPr="00610904">
        <w:rPr>
          <w:noProof w:val="0"/>
          <w:lang w:val="en-US"/>
        </w:rPr>
        <w:t>. Consequently, this Cour</w:t>
      </w:r>
      <w:r w:rsidR="00555783" w:rsidRPr="00610904">
        <w:rPr>
          <w:noProof w:val="0"/>
          <w:lang w:val="en-US"/>
        </w:rPr>
        <w:t>t concludes that a differentiated</w:t>
      </w:r>
      <w:r w:rsidR="009E7834" w:rsidRPr="00610904">
        <w:rPr>
          <w:noProof w:val="0"/>
          <w:lang w:val="en-US"/>
        </w:rPr>
        <w:t xml:space="preserve"> treatment was accorded based on Talía’s health </w:t>
      </w:r>
      <w:r w:rsidR="00404EE1" w:rsidRPr="00610904">
        <w:rPr>
          <w:noProof w:val="0"/>
          <w:lang w:val="en-US"/>
        </w:rPr>
        <w:t>status</w:t>
      </w:r>
      <w:r w:rsidR="009E7834" w:rsidRPr="00610904">
        <w:rPr>
          <w:noProof w:val="0"/>
          <w:lang w:val="en-US"/>
        </w:rPr>
        <w:t>. In order t</w:t>
      </w:r>
      <w:r w:rsidR="00555783" w:rsidRPr="00610904">
        <w:rPr>
          <w:noProof w:val="0"/>
          <w:lang w:val="en-US"/>
        </w:rPr>
        <w:t>o decide whether this differentiated</w:t>
      </w:r>
      <w:r w:rsidR="009E7834" w:rsidRPr="00610904">
        <w:rPr>
          <w:noProof w:val="0"/>
          <w:lang w:val="en-US"/>
        </w:rPr>
        <w:t xml:space="preserve"> treatment constitut</w:t>
      </w:r>
      <w:r w:rsidR="006F07E6" w:rsidRPr="00610904">
        <w:rPr>
          <w:noProof w:val="0"/>
          <w:lang w:val="en-US"/>
        </w:rPr>
        <w:t>e</w:t>
      </w:r>
      <w:r w:rsidR="009E7834" w:rsidRPr="00610904">
        <w:rPr>
          <w:noProof w:val="0"/>
          <w:lang w:val="en-US"/>
        </w:rPr>
        <w:t>d discrimination, the Court will now analyze the State’s justification for this difference in treatment; that is, the alleged protection of the other children’s safety.</w:t>
      </w:r>
      <w:bookmarkEnd w:id="113"/>
    </w:p>
    <w:p w:rsidR="003040F7" w:rsidRPr="00610904" w:rsidRDefault="003040F7" w:rsidP="00610904">
      <w:pPr>
        <w:pStyle w:val="MediumGrid1-Accent21"/>
        <w:ind w:left="0"/>
        <w:rPr>
          <w:noProof w:val="0"/>
          <w:lang w:val="en-US"/>
        </w:rPr>
      </w:pPr>
    </w:p>
    <w:p w:rsidR="003040F7" w:rsidRPr="00610904" w:rsidRDefault="003040F7" w:rsidP="00610904">
      <w:pPr>
        <w:pStyle w:val="Heading3"/>
        <w:rPr>
          <w:noProof w:val="0"/>
          <w:lang w:val="en-US"/>
        </w:rPr>
      </w:pPr>
      <w:bookmarkStart w:id="114" w:name="_Toc443399106"/>
      <w:r w:rsidRPr="00610904">
        <w:rPr>
          <w:noProof w:val="0"/>
          <w:lang w:val="en-US"/>
        </w:rPr>
        <w:t xml:space="preserve">B.2. </w:t>
      </w:r>
      <w:proofErr w:type="gramStart"/>
      <w:r w:rsidR="005814B5" w:rsidRPr="00610904">
        <w:rPr>
          <w:noProof w:val="0"/>
          <w:lang w:val="en-US"/>
        </w:rPr>
        <w:t>The</w:t>
      </w:r>
      <w:proofErr w:type="gramEnd"/>
      <w:r w:rsidR="005814B5" w:rsidRPr="00610904">
        <w:rPr>
          <w:noProof w:val="0"/>
          <w:lang w:val="en-US"/>
        </w:rPr>
        <w:t xml:space="preserve"> condition of being a person with HIV as a category protected by</w:t>
      </w:r>
      <w:r w:rsidR="00F83DDA" w:rsidRPr="00610904">
        <w:rPr>
          <w:noProof w:val="0"/>
          <w:lang w:val="en-US"/>
        </w:rPr>
        <w:t xml:space="preserve"> </w:t>
      </w:r>
      <w:r w:rsidR="006E502B" w:rsidRPr="00610904">
        <w:rPr>
          <w:noProof w:val="0"/>
          <w:lang w:val="en-US"/>
        </w:rPr>
        <w:t>Article 1(1)</w:t>
      </w:r>
      <w:r w:rsidR="009F3D78" w:rsidRPr="00610904">
        <w:rPr>
          <w:noProof w:val="0"/>
          <w:lang w:val="en-US"/>
        </w:rPr>
        <w:t xml:space="preserve"> of the American Convention</w:t>
      </w:r>
      <w:bookmarkEnd w:id="114"/>
      <w:r w:rsidRPr="00610904">
        <w:rPr>
          <w:noProof w:val="0"/>
          <w:lang w:val="en-US"/>
        </w:rPr>
        <w:t xml:space="preserve"> </w:t>
      </w:r>
    </w:p>
    <w:p w:rsidR="003040F7" w:rsidRPr="00610904" w:rsidRDefault="003040F7" w:rsidP="00610904">
      <w:pPr>
        <w:pStyle w:val="PlainText"/>
        <w:rPr>
          <w:rFonts w:ascii="Verdana" w:hAnsi="Verdana"/>
          <w:noProof w:val="0"/>
          <w:lang w:val="en-US"/>
        </w:rPr>
      </w:pPr>
    </w:p>
    <w:p w:rsidR="003040F7" w:rsidRPr="00610904" w:rsidRDefault="009F3D78" w:rsidP="00610904">
      <w:pPr>
        <w:pStyle w:val="MediumGrid1-Accent21"/>
        <w:numPr>
          <w:ilvl w:val="0"/>
          <w:numId w:val="1"/>
        </w:numPr>
        <w:rPr>
          <w:noProof w:val="0"/>
          <w:lang w:val="en-US" w:eastAsia="es-ES"/>
        </w:rPr>
      </w:pPr>
      <w:r w:rsidRPr="00610904">
        <w:rPr>
          <w:noProof w:val="0"/>
          <w:lang w:val="en-US" w:eastAsia="es-ES"/>
        </w:rPr>
        <w:t>The American Convention</w:t>
      </w:r>
      <w:r w:rsidR="005814B5" w:rsidRPr="00610904">
        <w:rPr>
          <w:noProof w:val="0"/>
          <w:lang w:val="en-US" w:eastAsia="es-ES"/>
        </w:rPr>
        <w:t xml:space="preserve"> does not contain an explicit definition of </w:t>
      </w:r>
      <w:r w:rsidR="009E7834" w:rsidRPr="00610904">
        <w:rPr>
          <w:noProof w:val="0"/>
          <w:lang w:val="en-US" w:eastAsia="es-ES"/>
        </w:rPr>
        <w:t xml:space="preserve">the concept of “discrimination”; </w:t>
      </w:r>
      <w:r w:rsidR="005814B5" w:rsidRPr="00610904">
        <w:rPr>
          <w:noProof w:val="0"/>
          <w:lang w:val="en-US" w:eastAsia="es-ES"/>
        </w:rPr>
        <w:t>however,</w:t>
      </w:r>
      <w:r w:rsidR="003040F7" w:rsidRPr="00610904">
        <w:rPr>
          <w:noProof w:val="0"/>
          <w:lang w:val="en-US" w:eastAsia="es-ES"/>
        </w:rPr>
        <w:t xml:space="preserve"> </w:t>
      </w:r>
      <w:r w:rsidR="005814B5" w:rsidRPr="00610904">
        <w:rPr>
          <w:noProof w:val="0"/>
          <w:lang w:val="en-US" w:eastAsia="es-ES"/>
        </w:rPr>
        <w:t>based on d</w:t>
      </w:r>
      <w:r w:rsidR="009E7834" w:rsidRPr="00610904">
        <w:rPr>
          <w:noProof w:val="0"/>
          <w:lang w:val="en-US" w:eastAsia="es-ES"/>
        </w:rPr>
        <w:t>ifferent</w:t>
      </w:r>
      <w:r w:rsidR="005814B5" w:rsidRPr="00610904">
        <w:rPr>
          <w:noProof w:val="0"/>
          <w:lang w:val="en-US" w:eastAsia="es-ES"/>
        </w:rPr>
        <w:t xml:space="preserve"> references in the respective</w:t>
      </w:r>
      <w:r w:rsidR="003040F7" w:rsidRPr="00610904">
        <w:rPr>
          <w:noProof w:val="0"/>
          <w:lang w:val="en-US" w:eastAsia="es-ES"/>
        </w:rPr>
        <w:t xml:space="preserve"> </w:t>
      </w:r>
      <w:r w:rsidR="003040F7" w:rsidRPr="00610904">
        <w:rPr>
          <w:i/>
          <w:noProof w:val="0"/>
          <w:lang w:val="en-US" w:eastAsia="es-ES"/>
        </w:rPr>
        <w:t>corpus iuris</w:t>
      </w:r>
      <w:r w:rsidR="005814B5" w:rsidRPr="00610904">
        <w:rPr>
          <w:i/>
          <w:noProof w:val="0"/>
          <w:lang w:val="en-US" w:eastAsia="es-ES"/>
        </w:rPr>
        <w:t>,</w:t>
      </w:r>
      <w:r w:rsidR="003040F7" w:rsidRPr="00610904">
        <w:rPr>
          <w:i/>
          <w:noProof w:val="0"/>
          <w:lang w:val="en-US" w:eastAsia="es-ES"/>
        </w:rPr>
        <w:t xml:space="preserve"> </w:t>
      </w:r>
      <w:r w:rsidR="005814B5" w:rsidRPr="00610904">
        <w:rPr>
          <w:noProof w:val="0"/>
          <w:lang w:val="en-US" w:eastAsia="es-ES"/>
        </w:rPr>
        <w:t>the Court has indicated that discrimination relates to</w:t>
      </w:r>
      <w:r w:rsidR="003040F7" w:rsidRPr="00610904">
        <w:rPr>
          <w:noProof w:val="0"/>
          <w:lang w:val="en-US" w:eastAsia="es-ES"/>
        </w:rPr>
        <w:t>:</w:t>
      </w:r>
    </w:p>
    <w:p w:rsidR="003040F7" w:rsidRPr="00610904" w:rsidRDefault="003040F7" w:rsidP="00610904">
      <w:pPr>
        <w:pStyle w:val="MediumGrid1-Accent21"/>
        <w:ind w:left="0"/>
        <w:rPr>
          <w:noProof w:val="0"/>
          <w:lang w:val="en-US" w:eastAsia="es-ES"/>
        </w:rPr>
      </w:pPr>
    </w:p>
    <w:p w:rsidR="003040F7" w:rsidRPr="00610904" w:rsidRDefault="005814B5" w:rsidP="003D3ABA">
      <w:pPr>
        <w:pStyle w:val="MediumGrid1-Accent21"/>
        <w:tabs>
          <w:tab w:val="num" w:pos="720"/>
        </w:tabs>
        <w:ind w:right="475"/>
        <w:rPr>
          <w:noProof w:val="0"/>
          <w:sz w:val="16"/>
          <w:szCs w:val="16"/>
          <w:lang w:val="en-US" w:eastAsia="es-ES"/>
        </w:rPr>
      </w:pPr>
      <w:r w:rsidRPr="00610904">
        <w:rPr>
          <w:noProof w:val="0"/>
          <w:sz w:val="16"/>
          <w:szCs w:val="16"/>
          <w:lang w:val="en-US" w:eastAsia="es-ES"/>
        </w:rPr>
        <w:lastRenderedPageBreak/>
        <w:t xml:space="preserve">any distinction, exclusion, or restriction based on specific reasons, such as race, color, sex, language, religion, </w:t>
      </w:r>
      <w:r w:rsidR="00856968" w:rsidRPr="00610904">
        <w:rPr>
          <w:noProof w:val="0"/>
          <w:sz w:val="16"/>
          <w:szCs w:val="16"/>
          <w:lang w:val="en-US" w:eastAsia="es-ES"/>
        </w:rPr>
        <w:t>political</w:t>
      </w:r>
      <w:r w:rsidRPr="00610904">
        <w:rPr>
          <w:noProof w:val="0"/>
          <w:sz w:val="16"/>
          <w:szCs w:val="16"/>
          <w:lang w:val="en-US" w:eastAsia="es-ES"/>
        </w:rPr>
        <w:t xml:space="preserve"> or other opinion, national or social origin, property, birth, or any other social condition, which has the intention or effect of nullifying or impairing the equal recognition, enjoyment, or exercise of the human rights and fundamental freedoms of all human beings.</w:t>
      </w:r>
      <w:r w:rsidR="003040F7" w:rsidRPr="00610904">
        <w:rPr>
          <w:rStyle w:val="FootnoteReference"/>
          <w:noProof w:val="0"/>
          <w:sz w:val="16"/>
          <w:szCs w:val="16"/>
          <w:lang w:val="en-US" w:eastAsia="es-ES"/>
        </w:rPr>
        <w:footnoteReference w:id="298"/>
      </w:r>
    </w:p>
    <w:p w:rsidR="003040F7" w:rsidRPr="00610904" w:rsidRDefault="003040F7" w:rsidP="00610904">
      <w:pPr>
        <w:pStyle w:val="MediumGrid1-Accent21"/>
        <w:ind w:left="0"/>
        <w:rPr>
          <w:noProof w:val="0"/>
          <w:lang w:val="en-US" w:eastAsia="es-ES"/>
        </w:rPr>
      </w:pPr>
    </w:p>
    <w:p w:rsidR="003040F7" w:rsidRPr="00610904" w:rsidRDefault="005814B5" w:rsidP="00610904">
      <w:pPr>
        <w:pStyle w:val="MediumGrid1-Accent21"/>
        <w:numPr>
          <w:ilvl w:val="0"/>
          <w:numId w:val="1"/>
        </w:numPr>
        <w:rPr>
          <w:noProof w:val="0"/>
          <w:lang w:val="en-US" w:eastAsia="es-ES"/>
        </w:rPr>
      </w:pPr>
      <w:r w:rsidRPr="00610904">
        <w:rPr>
          <w:noProof w:val="0"/>
          <w:lang w:val="en-US"/>
        </w:rPr>
        <w:t xml:space="preserve">Some of the main international human rights treaties have been interpreted to include HIV as a reason for which discrimination is prohibited. For example, </w:t>
      </w:r>
      <w:r w:rsidR="0013395A" w:rsidRPr="00610904">
        <w:rPr>
          <w:noProof w:val="0"/>
          <w:lang w:val="en-US"/>
        </w:rPr>
        <w:t>the International Covenant on Economic, Social and Cultural Rights</w:t>
      </w:r>
      <w:r w:rsidR="003040F7" w:rsidRPr="00610904">
        <w:rPr>
          <w:noProof w:val="0"/>
          <w:lang w:val="en-US"/>
        </w:rPr>
        <w:t xml:space="preserve"> proh</w:t>
      </w:r>
      <w:r w:rsidRPr="00610904">
        <w:rPr>
          <w:noProof w:val="0"/>
          <w:lang w:val="en-US"/>
        </w:rPr>
        <w:t xml:space="preserve">ibits discrimination for different reasons, including “any other social condition,” </w:t>
      </w:r>
      <w:r w:rsidR="009F3D78" w:rsidRPr="00610904">
        <w:rPr>
          <w:noProof w:val="0"/>
          <w:lang w:val="en-US"/>
        </w:rPr>
        <w:t xml:space="preserve">and </w:t>
      </w:r>
      <w:r w:rsidR="0013395A" w:rsidRPr="00610904">
        <w:rPr>
          <w:noProof w:val="0"/>
          <w:lang w:val="en-US"/>
        </w:rPr>
        <w:t>the Committee on Economic, Social and Cultural Rights</w:t>
      </w:r>
      <w:r w:rsidR="00A8072E" w:rsidRPr="00610904">
        <w:rPr>
          <w:noProof w:val="0"/>
          <w:lang w:val="en-US"/>
        </w:rPr>
        <w:t xml:space="preserve"> of the United Nations</w:t>
      </w:r>
      <w:r w:rsidR="003040F7" w:rsidRPr="00610904">
        <w:rPr>
          <w:noProof w:val="0"/>
          <w:lang w:val="en-US"/>
        </w:rPr>
        <w:t xml:space="preserve"> ha</w:t>
      </w:r>
      <w:r w:rsidRPr="00610904">
        <w:rPr>
          <w:noProof w:val="0"/>
          <w:lang w:val="en-US"/>
        </w:rPr>
        <w:t>s confirmed that the “health status (</w:t>
      </w:r>
      <w:r w:rsidR="00856968" w:rsidRPr="00610904">
        <w:rPr>
          <w:noProof w:val="0"/>
          <w:lang w:val="en-US"/>
        </w:rPr>
        <w:t>including HIV</w:t>
      </w:r>
      <w:r w:rsidR="003040F7" w:rsidRPr="00610904">
        <w:rPr>
          <w:noProof w:val="0"/>
          <w:lang w:val="en-US"/>
        </w:rPr>
        <w:t>/</w:t>
      </w:r>
      <w:r w:rsidR="00A8072E" w:rsidRPr="00610904">
        <w:rPr>
          <w:noProof w:val="0"/>
          <w:lang w:val="en-US"/>
        </w:rPr>
        <w:t>AIDS</w:t>
      </w:r>
      <w:r w:rsidR="003040F7" w:rsidRPr="00610904">
        <w:rPr>
          <w:noProof w:val="0"/>
          <w:lang w:val="en-US"/>
        </w:rPr>
        <w:t xml:space="preserve">)” </w:t>
      </w:r>
      <w:r w:rsidRPr="00610904">
        <w:rPr>
          <w:noProof w:val="0"/>
          <w:lang w:val="en-US"/>
        </w:rPr>
        <w:t>is a prohibited reason for discrimination.</w:t>
      </w:r>
      <w:r w:rsidR="003040F7" w:rsidRPr="00610904">
        <w:rPr>
          <w:noProof w:val="0"/>
          <w:vertAlign w:val="superscript"/>
          <w:lang w:val="en-US"/>
        </w:rPr>
        <w:footnoteReference w:id="299"/>
      </w:r>
      <w:r w:rsidR="003040F7" w:rsidRPr="00610904">
        <w:rPr>
          <w:noProof w:val="0"/>
          <w:vertAlign w:val="superscript"/>
          <w:lang w:val="en-US"/>
        </w:rPr>
        <w:t xml:space="preserve"> </w:t>
      </w:r>
      <w:r w:rsidR="003E08F4" w:rsidRPr="00610904">
        <w:rPr>
          <w:noProof w:val="0"/>
          <w:lang w:val="en-US"/>
        </w:rPr>
        <w:t>The Committee on the Rights of the Child</w:t>
      </w:r>
      <w:r w:rsidR="003040F7" w:rsidRPr="00610904">
        <w:rPr>
          <w:noProof w:val="0"/>
          <w:lang w:val="en-US"/>
        </w:rPr>
        <w:t xml:space="preserve"> ha</w:t>
      </w:r>
      <w:r w:rsidR="007B3443" w:rsidRPr="00610904">
        <w:rPr>
          <w:noProof w:val="0"/>
          <w:lang w:val="en-US"/>
        </w:rPr>
        <w:t xml:space="preserve">s reached the same </w:t>
      </w:r>
      <w:r w:rsidR="00856968" w:rsidRPr="00610904">
        <w:rPr>
          <w:noProof w:val="0"/>
          <w:lang w:val="en-US"/>
        </w:rPr>
        <w:t>conclusion in</w:t>
      </w:r>
      <w:r w:rsidR="004A6E8B" w:rsidRPr="00610904">
        <w:rPr>
          <w:noProof w:val="0"/>
          <w:lang w:val="en-US"/>
        </w:rPr>
        <w:t xml:space="preserve"> relation to</w:t>
      </w:r>
      <w:r w:rsidR="003040F7" w:rsidRPr="00610904">
        <w:rPr>
          <w:noProof w:val="0"/>
          <w:lang w:val="en-US"/>
        </w:rPr>
        <w:t xml:space="preserve"> </w:t>
      </w:r>
      <w:r w:rsidR="009F3D78" w:rsidRPr="00610904">
        <w:rPr>
          <w:noProof w:val="0"/>
          <w:lang w:val="en-US"/>
        </w:rPr>
        <w:t>Article</w:t>
      </w:r>
      <w:r w:rsidR="003040F7" w:rsidRPr="00610904">
        <w:rPr>
          <w:noProof w:val="0"/>
          <w:lang w:val="en-US"/>
        </w:rPr>
        <w:t xml:space="preserve"> </w:t>
      </w:r>
      <w:r w:rsidR="003040F7" w:rsidRPr="00610904">
        <w:rPr>
          <w:iCs/>
          <w:noProof w:val="0"/>
          <w:lang w:val="en-US"/>
        </w:rPr>
        <w:t>2</w:t>
      </w:r>
      <w:r w:rsidR="009F3D78" w:rsidRPr="00610904">
        <w:rPr>
          <w:iCs/>
          <w:noProof w:val="0"/>
          <w:lang w:val="en-US"/>
        </w:rPr>
        <w:t xml:space="preserve"> of the </w:t>
      </w:r>
      <w:r w:rsidR="00C33211" w:rsidRPr="00610904">
        <w:rPr>
          <w:iCs/>
          <w:noProof w:val="0"/>
          <w:lang w:val="en-US"/>
        </w:rPr>
        <w:t>Convention on the Rights of the Child</w:t>
      </w:r>
      <w:r w:rsidR="003040F7" w:rsidRPr="00610904">
        <w:rPr>
          <w:noProof w:val="0"/>
          <w:vertAlign w:val="superscript"/>
          <w:lang w:val="en-US"/>
        </w:rPr>
        <w:footnoteReference w:id="300"/>
      </w:r>
      <w:r w:rsidR="009F3D78" w:rsidRPr="00610904">
        <w:rPr>
          <w:iCs/>
          <w:noProof w:val="0"/>
          <w:lang w:val="en-US"/>
        </w:rPr>
        <w:t xml:space="preserve"> and </w:t>
      </w:r>
      <w:r w:rsidRPr="00610904">
        <w:rPr>
          <w:iCs/>
          <w:noProof w:val="0"/>
          <w:lang w:val="en-US"/>
        </w:rPr>
        <w:t xml:space="preserve">also the former Commission on Human Rights indicated that discrimination, actual or presumed, against persons with </w:t>
      </w:r>
      <w:r w:rsidR="00A8072E" w:rsidRPr="00610904">
        <w:rPr>
          <w:noProof w:val="0"/>
          <w:lang w:val="en-US"/>
        </w:rPr>
        <w:t>HIV</w:t>
      </w:r>
      <w:r w:rsidR="003040F7" w:rsidRPr="00610904">
        <w:rPr>
          <w:noProof w:val="0"/>
          <w:lang w:val="en-US"/>
        </w:rPr>
        <w:t>/</w:t>
      </w:r>
      <w:r w:rsidR="00A8072E" w:rsidRPr="00610904">
        <w:rPr>
          <w:noProof w:val="0"/>
          <w:lang w:val="en-US"/>
        </w:rPr>
        <w:t>AIDS</w:t>
      </w:r>
      <w:r w:rsidR="003040F7" w:rsidRPr="00610904">
        <w:rPr>
          <w:noProof w:val="0"/>
          <w:lang w:val="en-US"/>
        </w:rPr>
        <w:t xml:space="preserve"> o</w:t>
      </w:r>
      <w:r w:rsidRPr="00610904">
        <w:rPr>
          <w:noProof w:val="0"/>
          <w:lang w:val="en-US"/>
        </w:rPr>
        <w:t>r any other m</w:t>
      </w:r>
      <w:r w:rsidR="00555783" w:rsidRPr="00610904">
        <w:rPr>
          <w:noProof w:val="0"/>
          <w:lang w:val="en-US"/>
        </w:rPr>
        <w:t>edical condition is protected a</w:t>
      </w:r>
      <w:r w:rsidRPr="00610904">
        <w:rPr>
          <w:noProof w:val="0"/>
          <w:lang w:val="en-US"/>
        </w:rPr>
        <w:t>mong other soci</w:t>
      </w:r>
      <w:r w:rsidR="00555783" w:rsidRPr="00610904">
        <w:rPr>
          <w:noProof w:val="0"/>
          <w:lang w:val="en-US"/>
        </w:rPr>
        <w:t>al conditions present in non-</w:t>
      </w:r>
      <w:r w:rsidRPr="00610904">
        <w:rPr>
          <w:noProof w:val="0"/>
          <w:lang w:val="en-US"/>
        </w:rPr>
        <w:t xml:space="preserve">discrimination </w:t>
      </w:r>
      <w:r w:rsidR="00555783" w:rsidRPr="00610904">
        <w:rPr>
          <w:noProof w:val="0"/>
          <w:lang w:val="en-US"/>
        </w:rPr>
        <w:t>provision</w:t>
      </w:r>
      <w:r w:rsidRPr="00610904">
        <w:rPr>
          <w:noProof w:val="0"/>
          <w:lang w:val="en-US"/>
        </w:rPr>
        <w:t>s.</w:t>
      </w:r>
      <w:r w:rsidR="003040F7" w:rsidRPr="00610904">
        <w:rPr>
          <w:rStyle w:val="FootnoteReference"/>
          <w:noProof w:val="0"/>
          <w:lang w:val="en-US"/>
        </w:rPr>
        <w:footnoteReference w:id="301"/>
      </w:r>
      <w:r w:rsidRPr="00610904">
        <w:rPr>
          <w:noProof w:val="0"/>
          <w:lang w:val="en-US"/>
        </w:rPr>
        <w:t xml:space="preserve"> The United Nations Special Rapporteurs on the right to health have adopted this position.</w:t>
      </w:r>
      <w:r w:rsidR="003040F7" w:rsidRPr="00610904">
        <w:rPr>
          <w:rStyle w:val="FootnoteReference"/>
          <w:noProof w:val="0"/>
          <w:lang w:val="en-US"/>
        </w:rPr>
        <w:footnoteReference w:id="302"/>
      </w:r>
    </w:p>
    <w:p w:rsidR="003040F7" w:rsidRPr="00610904" w:rsidRDefault="003040F7" w:rsidP="00610904">
      <w:pPr>
        <w:pStyle w:val="MediumGrid1-Accent21"/>
        <w:ind w:left="0"/>
        <w:rPr>
          <w:noProof w:val="0"/>
          <w:vertAlign w:val="superscript"/>
          <w:lang w:val="en-US"/>
        </w:rPr>
      </w:pPr>
    </w:p>
    <w:p w:rsidR="003040F7" w:rsidRPr="00610904" w:rsidRDefault="005814B5" w:rsidP="00610904">
      <w:pPr>
        <w:pStyle w:val="MediumGrid1-Accent21"/>
        <w:numPr>
          <w:ilvl w:val="0"/>
          <w:numId w:val="1"/>
        </w:numPr>
        <w:tabs>
          <w:tab w:val="left" w:pos="720"/>
        </w:tabs>
        <w:autoSpaceDE w:val="0"/>
        <w:autoSpaceDN w:val="0"/>
        <w:adjustRightInd w:val="0"/>
        <w:rPr>
          <w:rFonts w:cs="Arial"/>
          <w:noProof w:val="0"/>
          <w:lang w:val="en-US" w:eastAsia="es-ES"/>
        </w:rPr>
      </w:pPr>
      <w:r w:rsidRPr="00610904">
        <w:rPr>
          <w:rFonts w:cs="Arial"/>
          <w:noProof w:val="0"/>
          <w:lang w:val="en-US" w:eastAsia="es-ES"/>
        </w:rPr>
        <w:t xml:space="preserve">In the context of this </w:t>
      </w:r>
      <w:r w:rsidR="003040F7" w:rsidRPr="00610904">
        <w:rPr>
          <w:rFonts w:cs="Arial"/>
          <w:i/>
          <w:noProof w:val="0"/>
          <w:lang w:val="en-US" w:eastAsia="es-ES"/>
        </w:rPr>
        <w:t>corpus iuris</w:t>
      </w:r>
      <w:r w:rsidRPr="00610904">
        <w:rPr>
          <w:noProof w:val="0"/>
          <w:lang w:val="en-US"/>
        </w:rPr>
        <w:t xml:space="preserve"> on the matt</w:t>
      </w:r>
      <w:r w:rsidR="00CD79DC" w:rsidRPr="00610904">
        <w:rPr>
          <w:noProof w:val="0"/>
          <w:lang w:val="en-US"/>
        </w:rPr>
        <w:t>e</w:t>
      </w:r>
      <w:r w:rsidRPr="00610904">
        <w:rPr>
          <w:noProof w:val="0"/>
          <w:lang w:val="en-US"/>
        </w:rPr>
        <w:t xml:space="preserve">r, the Court considers that HIV is a </w:t>
      </w:r>
      <w:r w:rsidR="00CD79DC" w:rsidRPr="00610904">
        <w:rPr>
          <w:noProof w:val="0"/>
          <w:lang w:val="en-US"/>
        </w:rPr>
        <w:t>condition based on</w:t>
      </w:r>
      <w:r w:rsidRPr="00610904">
        <w:rPr>
          <w:noProof w:val="0"/>
          <w:lang w:val="en-US"/>
        </w:rPr>
        <w:t xml:space="preserve"> which discrimination is prohibited </w:t>
      </w:r>
      <w:r w:rsidR="00CD79DC" w:rsidRPr="00610904">
        <w:rPr>
          <w:noProof w:val="0"/>
          <w:lang w:val="en-US"/>
        </w:rPr>
        <w:t>under</w:t>
      </w:r>
      <w:r w:rsidRPr="00610904">
        <w:rPr>
          <w:noProof w:val="0"/>
          <w:lang w:val="en-US"/>
        </w:rPr>
        <w:t xml:space="preserve"> the term “any other social condition” established in </w:t>
      </w:r>
      <w:r w:rsidR="006E502B" w:rsidRPr="00610904">
        <w:rPr>
          <w:rFonts w:cs="Arial"/>
          <w:noProof w:val="0"/>
          <w:lang w:val="en-US" w:eastAsia="es-ES"/>
        </w:rPr>
        <w:t>Article 1(1)</w:t>
      </w:r>
      <w:r w:rsidR="009F3D78" w:rsidRPr="00610904">
        <w:rPr>
          <w:rFonts w:cs="Arial"/>
          <w:noProof w:val="0"/>
          <w:lang w:val="en-US" w:eastAsia="es-ES"/>
        </w:rPr>
        <w:t xml:space="preserve"> of the American Convention</w:t>
      </w:r>
      <w:r w:rsidR="003040F7" w:rsidRPr="00610904">
        <w:rPr>
          <w:rFonts w:cs="Arial"/>
          <w:noProof w:val="0"/>
          <w:lang w:val="en-US" w:eastAsia="es-ES"/>
        </w:rPr>
        <w:t xml:space="preserve">. </w:t>
      </w:r>
      <w:r w:rsidRPr="00610904">
        <w:rPr>
          <w:rFonts w:cs="Arial"/>
          <w:noProof w:val="0"/>
          <w:lang w:val="en-US" w:eastAsia="es-ES"/>
        </w:rPr>
        <w:t xml:space="preserve">This protection against discrimination under “any other social condition” also includes the situation of persons with HIV as an aspect that may lead to disability in those cases in which, in addition to the </w:t>
      </w:r>
      <w:r w:rsidR="00CD79DC" w:rsidRPr="00610904">
        <w:rPr>
          <w:rFonts w:cs="Arial"/>
          <w:noProof w:val="0"/>
          <w:lang w:val="en-US" w:eastAsia="es-ES"/>
        </w:rPr>
        <w:t xml:space="preserve">physical effects </w:t>
      </w:r>
      <w:r w:rsidR="00CD79DC" w:rsidRPr="00610904">
        <w:rPr>
          <w:rFonts w:cs="Arial"/>
          <w:noProof w:val="0"/>
          <w:snapToGrid w:val="0"/>
          <w:lang w:val="en-US"/>
        </w:rPr>
        <w:t>of</w:t>
      </w:r>
      <w:r w:rsidRPr="00610904">
        <w:rPr>
          <w:rFonts w:cs="Arial"/>
          <w:noProof w:val="0"/>
          <w:snapToGrid w:val="0"/>
          <w:lang w:val="en-US"/>
        </w:rPr>
        <w:t xml:space="preserve"> HIV, economic, social and other barriers derived from HIV </w:t>
      </w:r>
      <w:r w:rsidR="00CD79DC" w:rsidRPr="00610904">
        <w:rPr>
          <w:rFonts w:cs="Arial"/>
          <w:noProof w:val="0"/>
          <w:snapToGrid w:val="0"/>
          <w:lang w:val="en-US"/>
        </w:rPr>
        <w:t>exist that</w:t>
      </w:r>
      <w:r w:rsidRPr="00610904">
        <w:rPr>
          <w:rFonts w:cs="Arial"/>
          <w:noProof w:val="0"/>
          <w:snapToGrid w:val="0"/>
          <w:lang w:val="en-US"/>
        </w:rPr>
        <w:t xml:space="preserve"> affect their development and participation in society </w:t>
      </w:r>
      <w:r w:rsidR="003040F7" w:rsidRPr="00610904">
        <w:rPr>
          <w:rFonts w:cs="Arial"/>
          <w:noProof w:val="0"/>
          <w:snapToGrid w:val="0"/>
          <w:lang w:val="en-US"/>
        </w:rPr>
        <w:t>(</w:t>
      </w:r>
      <w:r w:rsidR="003040F7" w:rsidRPr="00610904">
        <w:rPr>
          <w:rFonts w:cs="Arial"/>
          <w:i/>
          <w:noProof w:val="0"/>
          <w:snapToGrid w:val="0"/>
          <w:lang w:val="en-US"/>
        </w:rPr>
        <w:t xml:space="preserve">supra </w:t>
      </w:r>
      <w:r w:rsidR="006E502B" w:rsidRPr="00610904">
        <w:rPr>
          <w:rFonts w:cs="Arial"/>
          <w:noProof w:val="0"/>
          <w:snapToGrid w:val="0"/>
          <w:lang w:val="en-US"/>
        </w:rPr>
        <w:t>para.</w:t>
      </w:r>
      <w:r w:rsidR="00841177" w:rsidRPr="00610904">
        <w:rPr>
          <w:rFonts w:cs="Arial"/>
          <w:noProof w:val="0"/>
          <w:snapToGrid w:val="0"/>
          <w:lang w:val="en-US"/>
        </w:rPr>
        <w:t xml:space="preserve"> 240</w:t>
      </w:r>
      <w:r w:rsidR="003040F7" w:rsidRPr="00610904">
        <w:rPr>
          <w:rFonts w:cs="Arial"/>
          <w:noProof w:val="0"/>
          <w:snapToGrid w:val="0"/>
          <w:lang w:val="en-US"/>
        </w:rPr>
        <w:t xml:space="preserve">). </w:t>
      </w:r>
    </w:p>
    <w:p w:rsidR="003040F7" w:rsidRPr="00610904" w:rsidRDefault="003040F7" w:rsidP="00610904">
      <w:pPr>
        <w:pStyle w:val="MediumGrid1-Accent21"/>
        <w:tabs>
          <w:tab w:val="left" w:pos="720"/>
        </w:tabs>
        <w:ind w:left="0"/>
        <w:rPr>
          <w:b/>
          <w:i/>
          <w:noProof w:val="0"/>
          <w:lang w:val="en-US"/>
        </w:rPr>
      </w:pPr>
    </w:p>
    <w:p w:rsidR="003040F7" w:rsidRPr="00610904" w:rsidRDefault="009F3D78" w:rsidP="00610904">
      <w:pPr>
        <w:pStyle w:val="MediumGrid1-Accent21"/>
        <w:numPr>
          <w:ilvl w:val="0"/>
          <w:numId w:val="1"/>
        </w:numPr>
        <w:rPr>
          <w:rFonts w:cs="Arial"/>
          <w:noProof w:val="0"/>
          <w:lang w:val="en-US" w:eastAsia="es-ES"/>
        </w:rPr>
      </w:pPr>
      <w:r w:rsidRPr="00610904">
        <w:rPr>
          <w:rFonts w:cs="Arial"/>
          <w:noProof w:val="0"/>
          <w:lang w:val="en-US" w:eastAsia="es-ES"/>
        </w:rPr>
        <w:t>The Court</w:t>
      </w:r>
      <w:r w:rsidR="003040F7" w:rsidRPr="00610904">
        <w:rPr>
          <w:rFonts w:cs="Arial"/>
          <w:noProof w:val="0"/>
          <w:lang w:val="en-US" w:eastAsia="es-ES"/>
        </w:rPr>
        <w:t xml:space="preserve"> </w:t>
      </w:r>
      <w:r w:rsidR="00512F28" w:rsidRPr="00610904">
        <w:rPr>
          <w:rFonts w:cs="Arial"/>
          <w:noProof w:val="0"/>
          <w:lang w:val="en-US" w:eastAsia="es-ES"/>
        </w:rPr>
        <w:t>underscores that the direct legal effect of the fac</w:t>
      </w:r>
      <w:r w:rsidR="00555783" w:rsidRPr="00610904">
        <w:rPr>
          <w:rFonts w:cs="Arial"/>
          <w:noProof w:val="0"/>
          <w:lang w:val="en-US" w:eastAsia="es-ES"/>
        </w:rPr>
        <w:t>t that a condition or character</w:t>
      </w:r>
      <w:r w:rsidR="00512F28" w:rsidRPr="00610904">
        <w:rPr>
          <w:rFonts w:cs="Arial"/>
          <w:noProof w:val="0"/>
          <w:lang w:val="en-US" w:eastAsia="es-ES"/>
        </w:rPr>
        <w:t>istic of a person falls within the categories included in</w:t>
      </w:r>
      <w:r w:rsidR="006E502B" w:rsidRPr="00610904">
        <w:rPr>
          <w:rFonts w:cs="Arial"/>
          <w:noProof w:val="0"/>
          <w:lang w:val="en-US" w:eastAsia="es-ES"/>
        </w:rPr>
        <w:t xml:space="preserve"> Article 1(1)</w:t>
      </w:r>
      <w:r w:rsidRPr="00610904">
        <w:rPr>
          <w:rFonts w:cs="Arial"/>
          <w:noProof w:val="0"/>
          <w:lang w:val="en-US" w:eastAsia="es-ES"/>
        </w:rPr>
        <w:t xml:space="preserve"> of the Convention</w:t>
      </w:r>
      <w:r w:rsidR="003040F7" w:rsidRPr="00610904">
        <w:rPr>
          <w:rFonts w:cs="Arial"/>
          <w:noProof w:val="0"/>
          <w:lang w:val="en-US" w:eastAsia="es-ES"/>
        </w:rPr>
        <w:t xml:space="preserve"> </w:t>
      </w:r>
      <w:r w:rsidR="00555783" w:rsidRPr="00610904">
        <w:rPr>
          <w:rFonts w:cs="Arial"/>
          <w:noProof w:val="0"/>
          <w:lang w:val="en-US" w:eastAsia="es-ES"/>
        </w:rPr>
        <w:t>is that</w:t>
      </w:r>
      <w:r w:rsidR="00512F28" w:rsidRPr="00610904">
        <w:rPr>
          <w:rFonts w:cs="Arial"/>
          <w:noProof w:val="0"/>
          <w:lang w:val="en-US" w:eastAsia="es-ES"/>
        </w:rPr>
        <w:t xml:space="preserve"> judicial scrutiny should be stricter when assessing differences in treatment based on </w:t>
      </w:r>
      <w:r w:rsidR="00512F28" w:rsidRPr="00610904">
        <w:rPr>
          <w:rFonts w:cs="Arial"/>
          <w:noProof w:val="0"/>
          <w:lang w:val="en-US" w:eastAsia="es-ES"/>
        </w:rPr>
        <w:lastRenderedPageBreak/>
        <w:t xml:space="preserve">these categories. The </w:t>
      </w:r>
      <w:r w:rsidR="005D1303" w:rsidRPr="00610904">
        <w:rPr>
          <w:rFonts w:cs="Arial"/>
          <w:noProof w:val="0"/>
          <w:lang w:val="en-US" w:eastAsia="es-ES"/>
        </w:rPr>
        <w:t xml:space="preserve">authorities have a limited possibility of differentiating </w:t>
      </w:r>
      <w:r w:rsidR="00512F28" w:rsidRPr="00610904">
        <w:rPr>
          <w:rFonts w:cs="Arial"/>
          <w:noProof w:val="0"/>
          <w:lang w:val="en-US" w:eastAsia="es-ES"/>
        </w:rPr>
        <w:t xml:space="preserve">based on </w:t>
      </w:r>
      <w:r w:rsidR="00555783" w:rsidRPr="00610904">
        <w:rPr>
          <w:rFonts w:cs="Arial"/>
          <w:noProof w:val="0"/>
          <w:lang w:val="en-US" w:eastAsia="es-ES"/>
        </w:rPr>
        <w:t>such questionable</w:t>
      </w:r>
      <w:r w:rsidR="00512F28" w:rsidRPr="00610904">
        <w:rPr>
          <w:rFonts w:cs="Arial"/>
          <w:noProof w:val="0"/>
          <w:lang w:val="en-US" w:eastAsia="es-ES"/>
        </w:rPr>
        <w:t xml:space="preserve"> criteria, </w:t>
      </w:r>
      <w:r w:rsidR="00885BAE" w:rsidRPr="00610904">
        <w:rPr>
          <w:rFonts w:cs="Arial"/>
          <w:noProof w:val="0"/>
          <w:lang w:val="en-US" w:eastAsia="es-ES"/>
        </w:rPr>
        <w:t xml:space="preserve">and </w:t>
      </w:r>
      <w:r w:rsidR="00856968" w:rsidRPr="00610904">
        <w:rPr>
          <w:rFonts w:cs="Arial"/>
          <w:noProof w:val="0"/>
          <w:lang w:val="en-US" w:eastAsia="es-ES"/>
        </w:rPr>
        <w:t>only</w:t>
      </w:r>
      <w:r w:rsidR="00885BAE" w:rsidRPr="00610904">
        <w:rPr>
          <w:rFonts w:cs="Arial"/>
          <w:noProof w:val="0"/>
          <w:lang w:val="en-US" w:eastAsia="es-ES"/>
        </w:rPr>
        <w:t xml:space="preserve"> in those cases in which they prove that there are overriding needs and that using differentiation is the sole way of achieving those overriding needs</w:t>
      </w:r>
      <w:r w:rsidR="00512F28" w:rsidRPr="00610904">
        <w:rPr>
          <w:rFonts w:cs="Arial"/>
          <w:noProof w:val="0"/>
          <w:lang w:val="en-US" w:eastAsia="es-ES"/>
        </w:rPr>
        <w:t xml:space="preserve">, might it be possible to admit the use of that category. As an example of the strict </w:t>
      </w:r>
      <w:r w:rsidR="00B4406D" w:rsidRPr="00610904">
        <w:rPr>
          <w:rFonts w:cs="Arial"/>
          <w:noProof w:val="0"/>
          <w:lang w:val="en-US" w:eastAsia="es-ES"/>
        </w:rPr>
        <w:t>assessment</w:t>
      </w:r>
      <w:r w:rsidR="00512F28" w:rsidRPr="00610904">
        <w:rPr>
          <w:rFonts w:cs="Arial"/>
          <w:noProof w:val="0"/>
          <w:lang w:val="en-US" w:eastAsia="es-ES"/>
        </w:rPr>
        <w:t xml:space="preserve"> of equality, some of the decisions adopted by the United Stat</w:t>
      </w:r>
      <w:r w:rsidR="00AD3D88" w:rsidRPr="00610904">
        <w:rPr>
          <w:rFonts w:cs="Arial"/>
          <w:noProof w:val="0"/>
          <w:lang w:val="en-US" w:eastAsia="es-ES"/>
        </w:rPr>
        <w:t>e</w:t>
      </w:r>
      <w:r w:rsidR="00512F28" w:rsidRPr="00610904">
        <w:rPr>
          <w:rFonts w:cs="Arial"/>
          <w:noProof w:val="0"/>
          <w:lang w:val="en-US" w:eastAsia="es-ES"/>
        </w:rPr>
        <w:t>s Supreme Court of Justice,</w:t>
      </w:r>
      <w:r w:rsidR="003040F7" w:rsidRPr="00610904">
        <w:rPr>
          <w:rStyle w:val="FootnoteReference"/>
          <w:noProof w:val="0"/>
          <w:lang w:val="en-US"/>
        </w:rPr>
        <w:footnoteReference w:id="303"/>
      </w:r>
      <w:r w:rsidR="003040F7" w:rsidRPr="00610904">
        <w:rPr>
          <w:rFonts w:cs="Arial"/>
          <w:noProof w:val="0"/>
          <w:lang w:val="en-US" w:eastAsia="es-ES"/>
        </w:rPr>
        <w:t xml:space="preserve"> </w:t>
      </w:r>
      <w:r w:rsidRPr="00610904">
        <w:rPr>
          <w:rFonts w:cs="Arial"/>
          <w:noProof w:val="0"/>
          <w:lang w:val="en-US" w:eastAsia="es-ES"/>
        </w:rPr>
        <w:t>the Court</w:t>
      </w:r>
      <w:r w:rsidR="00512F28" w:rsidRPr="00610904">
        <w:rPr>
          <w:rFonts w:cs="Arial"/>
          <w:noProof w:val="0"/>
          <w:lang w:val="en-US" w:eastAsia="es-ES"/>
        </w:rPr>
        <w:t xml:space="preserve"> </w:t>
      </w:r>
      <w:r w:rsidR="00856968" w:rsidRPr="00610904">
        <w:rPr>
          <w:rFonts w:cs="Arial"/>
          <w:noProof w:val="0"/>
          <w:lang w:val="en-US" w:eastAsia="es-ES"/>
        </w:rPr>
        <w:t>Constitutional</w:t>
      </w:r>
      <w:r w:rsidR="00512F28" w:rsidRPr="00610904">
        <w:rPr>
          <w:rFonts w:cs="Arial"/>
          <w:noProof w:val="0"/>
          <w:lang w:val="en-US" w:eastAsia="es-ES"/>
        </w:rPr>
        <w:t xml:space="preserve"> of</w:t>
      </w:r>
      <w:r w:rsidR="003040F7" w:rsidRPr="00610904">
        <w:rPr>
          <w:rFonts w:cs="Arial"/>
          <w:noProof w:val="0"/>
          <w:lang w:val="en-US" w:eastAsia="es-ES"/>
        </w:rPr>
        <w:t xml:space="preserve"> Colombia</w:t>
      </w:r>
      <w:r w:rsidR="00512F28" w:rsidRPr="00610904">
        <w:rPr>
          <w:rFonts w:cs="Arial"/>
          <w:noProof w:val="0"/>
          <w:lang w:val="en-US" w:eastAsia="es-ES"/>
        </w:rPr>
        <w:t>,</w:t>
      </w:r>
      <w:r w:rsidR="003040F7" w:rsidRPr="00610904">
        <w:rPr>
          <w:rStyle w:val="FootnoteReference"/>
          <w:rFonts w:cs="Arial"/>
          <w:noProof w:val="0"/>
          <w:lang w:val="en-US" w:eastAsia="es-ES"/>
        </w:rPr>
        <w:footnoteReference w:id="304"/>
      </w:r>
      <w:r w:rsidR="003040F7" w:rsidRPr="00610904">
        <w:rPr>
          <w:rFonts w:cs="Arial"/>
          <w:noProof w:val="0"/>
          <w:lang w:val="en-US" w:eastAsia="es-ES"/>
        </w:rPr>
        <w:t xml:space="preserve"> </w:t>
      </w:r>
      <w:r w:rsidRPr="00610904">
        <w:rPr>
          <w:rFonts w:cs="Arial"/>
          <w:noProof w:val="0"/>
          <w:lang w:val="en-US" w:eastAsia="es-ES"/>
        </w:rPr>
        <w:t xml:space="preserve">the </w:t>
      </w:r>
      <w:r w:rsidR="00512F28" w:rsidRPr="00610904">
        <w:rPr>
          <w:rFonts w:cs="Arial"/>
          <w:noProof w:val="0"/>
          <w:lang w:val="en-US" w:eastAsia="es-ES"/>
        </w:rPr>
        <w:t xml:space="preserve">Supreme </w:t>
      </w:r>
      <w:r w:rsidRPr="00610904">
        <w:rPr>
          <w:rFonts w:cs="Arial"/>
          <w:noProof w:val="0"/>
          <w:lang w:val="en-US" w:eastAsia="es-ES"/>
        </w:rPr>
        <w:t>Court</w:t>
      </w:r>
      <w:r w:rsidR="003040F7" w:rsidRPr="00610904">
        <w:rPr>
          <w:rFonts w:cs="Arial"/>
          <w:noProof w:val="0"/>
          <w:lang w:val="en-US" w:eastAsia="es-ES"/>
        </w:rPr>
        <w:t xml:space="preserve"> </w:t>
      </w:r>
      <w:r w:rsidR="00512F28" w:rsidRPr="00610904">
        <w:rPr>
          <w:rFonts w:cs="Arial"/>
          <w:noProof w:val="0"/>
          <w:lang w:val="en-US" w:eastAsia="es-ES"/>
        </w:rPr>
        <w:t xml:space="preserve">of </w:t>
      </w:r>
      <w:r w:rsidR="003040F7" w:rsidRPr="00610904">
        <w:rPr>
          <w:rFonts w:cs="Arial"/>
          <w:noProof w:val="0"/>
          <w:lang w:val="en-US" w:eastAsia="es-ES"/>
        </w:rPr>
        <w:t>Argentina</w:t>
      </w:r>
      <w:r w:rsidR="00512F28" w:rsidRPr="00610904">
        <w:rPr>
          <w:rFonts w:cs="Arial"/>
          <w:noProof w:val="0"/>
          <w:lang w:val="en-US" w:eastAsia="es-ES"/>
        </w:rPr>
        <w:t>,</w:t>
      </w:r>
      <w:r w:rsidR="003040F7" w:rsidRPr="00610904">
        <w:rPr>
          <w:rStyle w:val="FootnoteReference"/>
          <w:rFonts w:cs="Courier New"/>
          <w:noProof w:val="0"/>
          <w:lang w:val="en-US"/>
        </w:rPr>
        <w:footnoteReference w:id="305"/>
      </w:r>
      <w:r w:rsidRPr="00610904">
        <w:rPr>
          <w:rFonts w:cs="Arial"/>
          <w:noProof w:val="0"/>
          <w:lang w:val="en-US" w:eastAsia="es-ES"/>
        </w:rPr>
        <w:t xml:space="preserve"> and </w:t>
      </w:r>
      <w:r w:rsidR="00512F28" w:rsidRPr="00610904">
        <w:rPr>
          <w:rFonts w:cs="Arial"/>
          <w:noProof w:val="0"/>
          <w:lang w:val="en-US" w:eastAsia="es-ES"/>
        </w:rPr>
        <w:t xml:space="preserve">the Constitutional Chamber of the Supreme Court of Justice </w:t>
      </w:r>
      <w:r w:rsidR="00555783" w:rsidRPr="00610904">
        <w:rPr>
          <w:rFonts w:cs="Arial"/>
          <w:noProof w:val="0"/>
          <w:lang w:val="en-US" w:eastAsia="es-ES"/>
        </w:rPr>
        <w:t xml:space="preserve">of </w:t>
      </w:r>
      <w:r w:rsidR="003040F7" w:rsidRPr="00610904">
        <w:rPr>
          <w:rFonts w:cs="Arial"/>
          <w:noProof w:val="0"/>
          <w:lang w:val="en-US" w:eastAsia="es-ES"/>
        </w:rPr>
        <w:t>Costa Rica</w:t>
      </w:r>
      <w:r w:rsidR="00512F28" w:rsidRPr="00610904">
        <w:rPr>
          <w:rFonts w:cs="Arial"/>
          <w:noProof w:val="0"/>
          <w:lang w:val="en-US" w:eastAsia="es-ES"/>
        </w:rPr>
        <w:t xml:space="preserve"> can be mentioned.</w:t>
      </w:r>
      <w:r w:rsidR="003040F7" w:rsidRPr="00610904">
        <w:rPr>
          <w:rStyle w:val="FootnoteReference"/>
          <w:noProof w:val="0"/>
          <w:lang w:val="en-US" w:eastAsia="es-ES"/>
        </w:rPr>
        <w:footnoteReference w:id="306"/>
      </w:r>
    </w:p>
    <w:p w:rsidR="003040F7" w:rsidRPr="00610904" w:rsidRDefault="003040F7" w:rsidP="00610904">
      <w:pPr>
        <w:pStyle w:val="MediumGrid1-Accent21"/>
        <w:ind w:left="0"/>
        <w:rPr>
          <w:rFonts w:cs="Arial"/>
          <w:noProof w:val="0"/>
          <w:lang w:val="en-US" w:eastAsia="es-ES"/>
        </w:rPr>
      </w:pPr>
    </w:p>
    <w:p w:rsidR="003040F7" w:rsidRPr="00610904" w:rsidRDefault="00512F28" w:rsidP="00610904">
      <w:pPr>
        <w:pStyle w:val="MediumGrid1-Accent21"/>
        <w:numPr>
          <w:ilvl w:val="0"/>
          <w:numId w:val="1"/>
        </w:numPr>
        <w:autoSpaceDE w:val="0"/>
        <w:autoSpaceDN w:val="0"/>
        <w:adjustRightInd w:val="0"/>
        <w:rPr>
          <w:rFonts w:cs="Arial"/>
          <w:noProof w:val="0"/>
          <w:lang w:val="en-US" w:eastAsia="es-ES"/>
        </w:rPr>
      </w:pPr>
      <w:r w:rsidRPr="00610904">
        <w:rPr>
          <w:rFonts w:cs="Arial"/>
          <w:noProof w:val="0"/>
          <w:lang w:val="en-US"/>
        </w:rPr>
        <w:t xml:space="preserve">In this context, the Court stresses that, in the case of the prohibition of discrimination based on one of the protected categories established in </w:t>
      </w:r>
      <w:r w:rsidR="006E502B" w:rsidRPr="00610904">
        <w:rPr>
          <w:rFonts w:cs="Arial"/>
          <w:noProof w:val="0"/>
          <w:lang w:val="en-US"/>
        </w:rPr>
        <w:t>Article 1(1)</w:t>
      </w:r>
      <w:r w:rsidR="009F3D78" w:rsidRPr="00610904">
        <w:rPr>
          <w:rFonts w:cs="Arial"/>
          <w:noProof w:val="0"/>
          <w:lang w:val="en-US"/>
        </w:rPr>
        <w:t xml:space="preserve"> of the Convention</w:t>
      </w:r>
      <w:r w:rsidR="003040F7" w:rsidRPr="00610904">
        <w:rPr>
          <w:rFonts w:cs="Arial"/>
          <w:noProof w:val="0"/>
          <w:lang w:val="en-US"/>
        </w:rPr>
        <w:t xml:space="preserve">, </w:t>
      </w:r>
      <w:r w:rsidRPr="00610904">
        <w:rPr>
          <w:rFonts w:cs="Arial"/>
          <w:noProof w:val="0"/>
          <w:lang w:val="en-US"/>
        </w:rPr>
        <w:t>the possible restriction of a right requires rigorous and substantial justificatio</w:t>
      </w:r>
      <w:r w:rsidR="00555783" w:rsidRPr="00610904">
        <w:rPr>
          <w:rFonts w:cs="Arial"/>
          <w:noProof w:val="0"/>
          <w:lang w:val="en-US"/>
        </w:rPr>
        <w:t>n</w:t>
      </w:r>
      <w:r w:rsidRPr="00610904">
        <w:rPr>
          <w:rFonts w:cs="Arial"/>
          <w:noProof w:val="0"/>
          <w:lang w:val="en-US"/>
        </w:rPr>
        <w:t>, which means that the reasons used by the State t</w:t>
      </w:r>
      <w:r w:rsidR="00555783" w:rsidRPr="00610904">
        <w:rPr>
          <w:rFonts w:cs="Arial"/>
          <w:noProof w:val="0"/>
          <w:lang w:val="en-US"/>
        </w:rPr>
        <w:t>o implement a differentiated</w:t>
      </w:r>
      <w:r w:rsidRPr="00610904">
        <w:rPr>
          <w:rFonts w:cs="Arial"/>
          <w:noProof w:val="0"/>
          <w:lang w:val="en-US"/>
        </w:rPr>
        <w:t xml:space="preserve"> treatment </w:t>
      </w:r>
      <w:r w:rsidR="00555783" w:rsidRPr="00610904">
        <w:rPr>
          <w:rFonts w:cs="Arial"/>
          <w:noProof w:val="0"/>
          <w:lang w:val="en-US"/>
        </w:rPr>
        <w:t>must</w:t>
      </w:r>
      <w:r w:rsidRPr="00610904">
        <w:rPr>
          <w:rFonts w:cs="Arial"/>
          <w:noProof w:val="0"/>
          <w:lang w:val="en-US"/>
        </w:rPr>
        <w:t xml:space="preserve"> be particularly</w:t>
      </w:r>
      <w:r w:rsidR="00555783" w:rsidRPr="00610904">
        <w:rPr>
          <w:rFonts w:cs="Arial"/>
          <w:noProof w:val="0"/>
          <w:lang w:val="en-US"/>
        </w:rPr>
        <w:t xml:space="preserve"> serious and be substantiated by</w:t>
      </w:r>
      <w:r w:rsidRPr="00610904">
        <w:rPr>
          <w:rFonts w:cs="Arial"/>
          <w:noProof w:val="0"/>
          <w:lang w:val="en-US"/>
        </w:rPr>
        <w:t xml:space="preserve"> an exhaustive r</w:t>
      </w:r>
      <w:r w:rsidR="00555783" w:rsidRPr="00610904">
        <w:rPr>
          <w:rFonts w:cs="Arial"/>
          <w:noProof w:val="0"/>
          <w:lang w:val="en-US"/>
        </w:rPr>
        <w:t>e</w:t>
      </w:r>
      <w:r w:rsidRPr="00610904">
        <w:rPr>
          <w:rFonts w:cs="Arial"/>
          <w:noProof w:val="0"/>
          <w:lang w:val="en-US"/>
        </w:rPr>
        <w:t xml:space="preserve">asoning. In addition, the burden of proof is </w:t>
      </w:r>
      <w:r w:rsidR="00396FBB" w:rsidRPr="00610904">
        <w:rPr>
          <w:rFonts w:cs="Arial"/>
          <w:noProof w:val="0"/>
          <w:lang w:val="en-US"/>
        </w:rPr>
        <w:t>revers</w:t>
      </w:r>
      <w:r w:rsidRPr="00610904">
        <w:rPr>
          <w:rFonts w:cs="Arial"/>
          <w:noProof w:val="0"/>
          <w:lang w:val="en-US"/>
        </w:rPr>
        <w:t>ed, which means that it corresponds to the authority to p</w:t>
      </w:r>
      <w:r w:rsidR="00555783" w:rsidRPr="00610904">
        <w:rPr>
          <w:rFonts w:cs="Arial"/>
          <w:noProof w:val="0"/>
          <w:lang w:val="en-US"/>
        </w:rPr>
        <w:t xml:space="preserve">rove that </w:t>
      </w:r>
      <w:r w:rsidR="00856968" w:rsidRPr="00610904">
        <w:rPr>
          <w:rFonts w:cs="Arial"/>
          <w:noProof w:val="0"/>
          <w:lang w:val="en-US"/>
        </w:rPr>
        <w:t>neither the purpose nor</w:t>
      </w:r>
      <w:r w:rsidR="00555783" w:rsidRPr="00610904">
        <w:rPr>
          <w:rFonts w:cs="Arial"/>
          <w:noProof w:val="0"/>
          <w:lang w:val="en-US"/>
        </w:rPr>
        <w:t xml:space="preserve"> the</w:t>
      </w:r>
      <w:r w:rsidRPr="00610904">
        <w:rPr>
          <w:rFonts w:cs="Arial"/>
          <w:noProof w:val="0"/>
          <w:lang w:val="en-US"/>
        </w:rPr>
        <w:t xml:space="preserve"> effe</w:t>
      </w:r>
      <w:r w:rsidR="00555783" w:rsidRPr="00610904">
        <w:rPr>
          <w:rFonts w:cs="Arial"/>
          <w:noProof w:val="0"/>
          <w:lang w:val="en-US"/>
        </w:rPr>
        <w:t>ct of its decision was discrimi</w:t>
      </w:r>
      <w:r w:rsidRPr="00610904">
        <w:rPr>
          <w:rFonts w:cs="Arial"/>
          <w:noProof w:val="0"/>
          <w:lang w:val="en-US"/>
        </w:rPr>
        <w:t>n</w:t>
      </w:r>
      <w:r w:rsidR="00555783" w:rsidRPr="00610904">
        <w:rPr>
          <w:rFonts w:cs="Arial"/>
          <w:noProof w:val="0"/>
          <w:lang w:val="en-US"/>
        </w:rPr>
        <w:t>a</w:t>
      </w:r>
      <w:r w:rsidRPr="00610904">
        <w:rPr>
          <w:rFonts w:cs="Arial"/>
          <w:noProof w:val="0"/>
          <w:lang w:val="en-US"/>
        </w:rPr>
        <w:t>tory</w:t>
      </w:r>
      <w:r w:rsidRPr="00610904">
        <w:rPr>
          <w:rFonts w:cs="Arial"/>
          <w:noProof w:val="0"/>
          <w:lang w:val="en-US" w:eastAsia="es-ES"/>
        </w:rPr>
        <w:t>.</w:t>
      </w:r>
      <w:r w:rsidR="003040F7" w:rsidRPr="00610904">
        <w:rPr>
          <w:rFonts w:cs="Arial"/>
          <w:noProof w:val="0"/>
          <w:vertAlign w:val="superscript"/>
          <w:lang w:val="en-US"/>
        </w:rPr>
        <w:footnoteReference w:id="307"/>
      </w:r>
      <w:r w:rsidR="003040F7" w:rsidRPr="00610904">
        <w:rPr>
          <w:rFonts w:cs="Arial"/>
          <w:noProof w:val="0"/>
          <w:lang w:val="en-US"/>
        </w:rPr>
        <w:t xml:space="preserve"> </w:t>
      </w:r>
      <w:r w:rsidRPr="00610904">
        <w:rPr>
          <w:rFonts w:cs="Arial"/>
          <w:noProof w:val="0"/>
          <w:lang w:val="en-US"/>
        </w:rPr>
        <w:t>In this case</w:t>
      </w:r>
      <w:r w:rsidR="003040F7" w:rsidRPr="00610904">
        <w:rPr>
          <w:rFonts w:cs="Arial"/>
          <w:noProof w:val="0"/>
          <w:lang w:val="en-US"/>
        </w:rPr>
        <w:t xml:space="preserve">, </w:t>
      </w:r>
      <w:r w:rsidRPr="00610904">
        <w:rPr>
          <w:rFonts w:cs="Arial"/>
          <w:noProof w:val="0"/>
          <w:lang w:val="en-US"/>
        </w:rPr>
        <w:t>having realized that the differentiated treatment of</w:t>
      </w:r>
      <w:r w:rsidR="003040F7" w:rsidRPr="00610904">
        <w:rPr>
          <w:rFonts w:cs="Arial"/>
          <w:noProof w:val="0"/>
          <w:lang w:val="en-US"/>
        </w:rPr>
        <w:t xml:space="preserve"> </w:t>
      </w:r>
      <w:r w:rsidR="00CD3738" w:rsidRPr="00610904">
        <w:rPr>
          <w:noProof w:val="0"/>
          <w:lang w:val="en-US"/>
        </w:rPr>
        <w:t>Talía</w:t>
      </w:r>
      <w:r w:rsidR="003040F7" w:rsidRPr="00610904">
        <w:rPr>
          <w:noProof w:val="0"/>
          <w:lang w:val="en-US"/>
        </w:rPr>
        <w:t xml:space="preserve"> </w:t>
      </w:r>
      <w:r w:rsidRPr="00610904">
        <w:rPr>
          <w:noProof w:val="0"/>
          <w:lang w:val="en-US"/>
        </w:rPr>
        <w:t>was based on one of the prohibited categories, the S</w:t>
      </w:r>
      <w:r w:rsidR="00555783" w:rsidRPr="00610904">
        <w:rPr>
          <w:noProof w:val="0"/>
          <w:lang w:val="en-US"/>
        </w:rPr>
        <w:t>tate had the obligation to demo</w:t>
      </w:r>
      <w:r w:rsidRPr="00610904">
        <w:rPr>
          <w:noProof w:val="0"/>
          <w:lang w:val="en-US"/>
        </w:rPr>
        <w:t>n</w:t>
      </w:r>
      <w:r w:rsidR="00555783" w:rsidRPr="00610904">
        <w:rPr>
          <w:noProof w:val="0"/>
          <w:lang w:val="en-US"/>
        </w:rPr>
        <w:t>s</w:t>
      </w:r>
      <w:r w:rsidRPr="00610904">
        <w:rPr>
          <w:noProof w:val="0"/>
          <w:lang w:val="en-US"/>
        </w:rPr>
        <w:t xml:space="preserve">trate that the decision to expel </w:t>
      </w:r>
      <w:r w:rsidR="00CD3738" w:rsidRPr="00610904">
        <w:rPr>
          <w:rFonts w:cs="Arial"/>
          <w:noProof w:val="0"/>
          <w:lang w:val="en-US"/>
        </w:rPr>
        <w:t>Talía</w:t>
      </w:r>
      <w:r w:rsidR="003040F7" w:rsidRPr="00610904">
        <w:rPr>
          <w:rFonts w:cs="Arial"/>
          <w:noProof w:val="0"/>
          <w:lang w:val="en-US"/>
        </w:rPr>
        <w:t xml:space="preserve"> </w:t>
      </w:r>
      <w:r w:rsidR="00555783" w:rsidRPr="00610904">
        <w:rPr>
          <w:rFonts w:cs="Arial"/>
          <w:noProof w:val="0"/>
          <w:lang w:val="en-US"/>
        </w:rPr>
        <w:t>did</w:t>
      </w:r>
      <w:r w:rsidRPr="00610904">
        <w:rPr>
          <w:rFonts w:cs="Arial"/>
          <w:noProof w:val="0"/>
          <w:lang w:val="en-US"/>
        </w:rPr>
        <w:t xml:space="preserve"> not have a discriminatory purpose or effect. In order to examine the justification put forward by the </w:t>
      </w:r>
      <w:r w:rsidR="009F3D78" w:rsidRPr="00610904">
        <w:rPr>
          <w:noProof w:val="0"/>
          <w:lang w:val="en-US"/>
        </w:rPr>
        <w:t>State</w:t>
      </w:r>
      <w:r w:rsidR="003040F7" w:rsidRPr="00610904">
        <w:rPr>
          <w:noProof w:val="0"/>
          <w:lang w:val="en-US"/>
        </w:rPr>
        <w:t xml:space="preserve">, </w:t>
      </w:r>
      <w:r w:rsidR="009F3D78" w:rsidRPr="00610904">
        <w:rPr>
          <w:noProof w:val="0"/>
          <w:lang w:val="en-US"/>
        </w:rPr>
        <w:t>the Court</w:t>
      </w:r>
      <w:r w:rsidR="003040F7" w:rsidRPr="00610904">
        <w:rPr>
          <w:noProof w:val="0"/>
          <w:lang w:val="en-US"/>
        </w:rPr>
        <w:t xml:space="preserve"> </w:t>
      </w:r>
      <w:r w:rsidRPr="00610904">
        <w:rPr>
          <w:noProof w:val="0"/>
          <w:lang w:val="en-US"/>
        </w:rPr>
        <w:t>will use</w:t>
      </w:r>
      <w:r w:rsidR="003040F7" w:rsidRPr="00610904">
        <w:rPr>
          <w:noProof w:val="0"/>
          <w:lang w:val="en-US"/>
        </w:rPr>
        <w:t xml:space="preserve">, </w:t>
      </w:r>
      <w:r w:rsidRPr="00610904">
        <w:rPr>
          <w:noProof w:val="0"/>
          <w:lang w:val="en-US"/>
        </w:rPr>
        <w:t xml:space="preserve">within the framework of the strict </w:t>
      </w:r>
      <w:r w:rsidR="00B4406D" w:rsidRPr="00610904">
        <w:rPr>
          <w:noProof w:val="0"/>
          <w:lang w:val="en-US"/>
        </w:rPr>
        <w:t xml:space="preserve">assessment </w:t>
      </w:r>
      <w:r w:rsidRPr="00610904">
        <w:rPr>
          <w:noProof w:val="0"/>
          <w:lang w:val="en-US"/>
        </w:rPr>
        <w:t xml:space="preserve">of equality, the so-called rule of </w:t>
      </w:r>
      <w:r w:rsidRPr="00610904">
        <w:rPr>
          <w:noProof w:val="0"/>
          <w:lang w:val="en-US"/>
        </w:rPr>
        <w:lastRenderedPageBreak/>
        <w:t>proportionality, which has been used previously to measure whether the limitation of a right is compatible with</w:t>
      </w:r>
      <w:r w:rsidR="003040F7" w:rsidRPr="00610904">
        <w:rPr>
          <w:noProof w:val="0"/>
          <w:lang w:val="en-US"/>
        </w:rPr>
        <w:t xml:space="preserve"> </w:t>
      </w:r>
      <w:r w:rsidR="009F3D78" w:rsidRPr="00610904">
        <w:rPr>
          <w:noProof w:val="0"/>
          <w:lang w:val="en-US"/>
        </w:rPr>
        <w:t>the American Convention</w:t>
      </w:r>
      <w:r w:rsidRPr="00610904">
        <w:rPr>
          <w:noProof w:val="0"/>
          <w:lang w:val="en-US"/>
        </w:rPr>
        <w:t>.</w:t>
      </w:r>
      <w:r w:rsidR="003040F7" w:rsidRPr="00610904">
        <w:rPr>
          <w:rStyle w:val="FootnoteReference"/>
          <w:noProof w:val="0"/>
          <w:lang w:val="en-US"/>
        </w:rPr>
        <w:footnoteReference w:id="308"/>
      </w:r>
    </w:p>
    <w:p w:rsidR="003040F7" w:rsidRPr="00610904" w:rsidRDefault="003040F7" w:rsidP="00610904">
      <w:pPr>
        <w:pStyle w:val="MediumGrid1-Accent21"/>
        <w:autoSpaceDE w:val="0"/>
        <w:autoSpaceDN w:val="0"/>
        <w:adjustRightInd w:val="0"/>
        <w:ind w:left="0"/>
        <w:rPr>
          <w:noProof w:val="0"/>
          <w:lang w:val="en-US"/>
        </w:rPr>
      </w:pPr>
    </w:p>
    <w:p w:rsidR="003040F7" w:rsidRPr="00610904" w:rsidRDefault="00404EE1" w:rsidP="00610904">
      <w:pPr>
        <w:pStyle w:val="MediumGrid1-Accent21"/>
        <w:numPr>
          <w:ilvl w:val="0"/>
          <w:numId w:val="1"/>
        </w:numPr>
        <w:rPr>
          <w:noProof w:val="0"/>
          <w:lang w:val="en-US"/>
        </w:rPr>
      </w:pPr>
      <w:r w:rsidRPr="00610904">
        <w:rPr>
          <w:noProof w:val="0"/>
          <w:lang w:val="en-US"/>
        </w:rPr>
        <w:t xml:space="preserve">It </w:t>
      </w:r>
      <w:r w:rsidR="00555783" w:rsidRPr="00610904">
        <w:rPr>
          <w:noProof w:val="0"/>
          <w:lang w:val="en-US"/>
        </w:rPr>
        <w:t>is for the foregoing reasons</w:t>
      </w:r>
      <w:r w:rsidRPr="00610904">
        <w:rPr>
          <w:noProof w:val="0"/>
          <w:lang w:val="en-US"/>
        </w:rPr>
        <w:t xml:space="preserve"> that, if a difference in treatment is stipulated on the basis of a medical condition or illness, this difference in treatment must be made based on medical crit</w:t>
      </w:r>
      <w:r w:rsidR="00CD79DC" w:rsidRPr="00610904">
        <w:rPr>
          <w:noProof w:val="0"/>
          <w:lang w:val="en-US"/>
        </w:rPr>
        <w:t>e</w:t>
      </w:r>
      <w:r w:rsidRPr="00610904">
        <w:rPr>
          <w:noProof w:val="0"/>
          <w:lang w:val="en-US"/>
        </w:rPr>
        <w:t xml:space="preserve">ria and the real health status, taking into account each specific case, </w:t>
      </w:r>
      <w:r w:rsidR="00555783" w:rsidRPr="00610904">
        <w:rPr>
          <w:noProof w:val="0"/>
          <w:lang w:val="en-US"/>
        </w:rPr>
        <w:t xml:space="preserve">and </w:t>
      </w:r>
      <w:r w:rsidRPr="00610904">
        <w:rPr>
          <w:noProof w:val="0"/>
          <w:lang w:val="en-US"/>
        </w:rPr>
        <w:t>ev</w:t>
      </w:r>
      <w:r w:rsidR="00555783" w:rsidRPr="00610904">
        <w:rPr>
          <w:noProof w:val="0"/>
          <w:lang w:val="en-US"/>
        </w:rPr>
        <w:t>a</w:t>
      </w:r>
      <w:r w:rsidRPr="00610904">
        <w:rPr>
          <w:noProof w:val="0"/>
          <w:lang w:val="en-US"/>
        </w:rPr>
        <w:t>luating the real and proved harm or risks, and not the speculative or imaginary ones. Therefore, speculations, presu</w:t>
      </w:r>
      <w:r w:rsidR="00555783" w:rsidRPr="00610904">
        <w:rPr>
          <w:noProof w:val="0"/>
          <w:lang w:val="en-US"/>
        </w:rPr>
        <w:t>m</w:t>
      </w:r>
      <w:r w:rsidRPr="00610904">
        <w:rPr>
          <w:noProof w:val="0"/>
          <w:lang w:val="en-US"/>
        </w:rPr>
        <w:t xml:space="preserve">ptions, stereotypes or general consideration on persons with HIV/AIDS or any other type of illness cannot be admissible, even if these prejudices are shielded by reasons that appear to be legitimate, such as the protection </w:t>
      </w:r>
      <w:r w:rsidR="00312B9E" w:rsidRPr="00610904">
        <w:rPr>
          <w:noProof w:val="0"/>
          <w:lang w:val="en-US"/>
        </w:rPr>
        <w:t xml:space="preserve">of the </w:t>
      </w:r>
      <w:r w:rsidR="00215C41" w:rsidRPr="00610904">
        <w:rPr>
          <w:noProof w:val="0"/>
          <w:lang w:val="en-US"/>
        </w:rPr>
        <w:t>right to life</w:t>
      </w:r>
      <w:r w:rsidRPr="00610904">
        <w:rPr>
          <w:noProof w:val="0"/>
          <w:lang w:val="en-US"/>
        </w:rPr>
        <w:t xml:space="preserve"> or </w:t>
      </w:r>
      <w:r w:rsidR="00856968" w:rsidRPr="00610904">
        <w:rPr>
          <w:noProof w:val="0"/>
          <w:lang w:val="en-US"/>
        </w:rPr>
        <w:t>public</w:t>
      </w:r>
      <w:r w:rsidRPr="00610904">
        <w:rPr>
          <w:noProof w:val="0"/>
          <w:lang w:val="en-US"/>
        </w:rPr>
        <w:t xml:space="preserve"> health.</w:t>
      </w:r>
      <w:r w:rsidR="003040F7" w:rsidRPr="00610904">
        <w:rPr>
          <w:rStyle w:val="FootnoteReference"/>
          <w:noProof w:val="0"/>
          <w:lang w:val="en-US"/>
        </w:rPr>
        <w:footnoteReference w:id="309"/>
      </w:r>
    </w:p>
    <w:p w:rsidR="003040F7" w:rsidRPr="00610904" w:rsidRDefault="003040F7" w:rsidP="00610904">
      <w:pPr>
        <w:pStyle w:val="MediumGrid1-Accent21"/>
        <w:rPr>
          <w:noProof w:val="0"/>
          <w:lang w:val="en-US"/>
        </w:rPr>
      </w:pPr>
    </w:p>
    <w:p w:rsidR="003040F7" w:rsidRPr="00610904" w:rsidRDefault="00A829BE" w:rsidP="00610904">
      <w:pPr>
        <w:pStyle w:val="MediumGrid1-Accent21"/>
        <w:numPr>
          <w:ilvl w:val="0"/>
          <w:numId w:val="1"/>
        </w:numPr>
        <w:rPr>
          <w:noProof w:val="0"/>
          <w:lang w:val="en-US"/>
        </w:rPr>
      </w:pPr>
      <w:r w:rsidRPr="00610904">
        <w:rPr>
          <w:noProof w:val="0"/>
          <w:lang w:val="en-US"/>
        </w:rPr>
        <w:t>In this regard</w:t>
      </w:r>
      <w:r w:rsidR="003040F7" w:rsidRPr="00610904">
        <w:rPr>
          <w:noProof w:val="0"/>
          <w:lang w:val="en-US"/>
        </w:rPr>
        <w:t xml:space="preserve">, </w:t>
      </w:r>
      <w:r w:rsidRPr="00610904">
        <w:rPr>
          <w:noProof w:val="0"/>
          <w:lang w:val="en-US"/>
        </w:rPr>
        <w:t>in the case of</w:t>
      </w:r>
      <w:r w:rsidR="003040F7" w:rsidRPr="00610904">
        <w:rPr>
          <w:i/>
          <w:noProof w:val="0"/>
          <w:lang w:val="en-US"/>
        </w:rPr>
        <w:t xml:space="preserve"> Kiyutin v. Rus</w:t>
      </w:r>
      <w:r w:rsidRPr="00610904">
        <w:rPr>
          <w:i/>
          <w:noProof w:val="0"/>
          <w:lang w:val="en-US"/>
        </w:rPr>
        <w:t>s</w:t>
      </w:r>
      <w:r w:rsidR="003040F7" w:rsidRPr="00610904">
        <w:rPr>
          <w:i/>
          <w:noProof w:val="0"/>
          <w:lang w:val="en-US"/>
        </w:rPr>
        <w:t>ia</w:t>
      </w:r>
      <w:r w:rsidR="003040F7" w:rsidRPr="00610904">
        <w:rPr>
          <w:noProof w:val="0"/>
          <w:lang w:val="en-US"/>
        </w:rPr>
        <w:t xml:space="preserve">, </w:t>
      </w:r>
      <w:r w:rsidRPr="00610904">
        <w:rPr>
          <w:noProof w:val="0"/>
          <w:lang w:val="en-US"/>
        </w:rPr>
        <w:t>the</w:t>
      </w:r>
      <w:r w:rsidR="00215C41" w:rsidRPr="00610904">
        <w:rPr>
          <w:noProof w:val="0"/>
          <w:lang w:val="en-US"/>
        </w:rPr>
        <w:t xml:space="preserve"> European Court</w:t>
      </w:r>
      <w:r w:rsidR="005F48EF" w:rsidRPr="00610904">
        <w:rPr>
          <w:noProof w:val="0"/>
          <w:lang w:val="en-US"/>
        </w:rPr>
        <w:t xml:space="preserve"> </w:t>
      </w:r>
      <w:r w:rsidR="008A2184" w:rsidRPr="00610904">
        <w:rPr>
          <w:noProof w:val="0"/>
          <w:lang w:val="en-US"/>
        </w:rPr>
        <w:t>considered</w:t>
      </w:r>
      <w:r w:rsidR="003040F7" w:rsidRPr="00610904">
        <w:rPr>
          <w:noProof w:val="0"/>
          <w:lang w:val="en-US"/>
        </w:rPr>
        <w:t xml:space="preserve"> </w:t>
      </w:r>
      <w:r w:rsidR="008A2184" w:rsidRPr="00610904">
        <w:rPr>
          <w:noProof w:val="0"/>
          <w:lang w:val="en-US"/>
        </w:rPr>
        <w:t xml:space="preserve">that the inadequate justification of the restriction of the right to be a resident owing to the fact that the victim </w:t>
      </w:r>
      <w:r w:rsidR="00856968" w:rsidRPr="00610904">
        <w:rPr>
          <w:noProof w:val="0"/>
          <w:lang w:val="en-US"/>
        </w:rPr>
        <w:t>had HIV</w:t>
      </w:r>
      <w:r w:rsidR="008A2184" w:rsidRPr="00610904">
        <w:rPr>
          <w:noProof w:val="0"/>
          <w:lang w:val="en-US"/>
        </w:rPr>
        <w:t xml:space="preserve"> constituted discriminatory treatment. In addition, the European Court observed that the authorities never took the victim’s real </w:t>
      </w:r>
      <w:r w:rsidR="007B2CF5" w:rsidRPr="00610904">
        <w:rPr>
          <w:noProof w:val="0"/>
          <w:lang w:val="en-US"/>
        </w:rPr>
        <w:t xml:space="preserve">health </w:t>
      </w:r>
      <w:r w:rsidR="00555783" w:rsidRPr="00610904">
        <w:rPr>
          <w:noProof w:val="0"/>
          <w:lang w:val="en-US"/>
        </w:rPr>
        <w:t>status</w:t>
      </w:r>
      <w:r w:rsidR="008A2184" w:rsidRPr="00610904">
        <w:rPr>
          <w:noProof w:val="0"/>
          <w:lang w:val="en-US"/>
        </w:rPr>
        <w:t xml:space="preserve"> </w:t>
      </w:r>
      <w:r w:rsidR="007B2CF5" w:rsidRPr="00610904">
        <w:rPr>
          <w:noProof w:val="0"/>
          <w:lang w:val="en-US"/>
        </w:rPr>
        <w:t>into account or the family ties that could connect him to Russia. Consequently, it established the vulnerable s</w:t>
      </w:r>
      <w:r w:rsidR="00555783" w:rsidRPr="00610904">
        <w:rPr>
          <w:noProof w:val="0"/>
          <w:lang w:val="en-US"/>
        </w:rPr>
        <w:t>ituation</w:t>
      </w:r>
      <w:r w:rsidR="007B2CF5" w:rsidRPr="00610904">
        <w:rPr>
          <w:noProof w:val="0"/>
          <w:lang w:val="en-US"/>
        </w:rPr>
        <w:t xml:space="preserve"> </w:t>
      </w:r>
      <w:r w:rsidR="00555783" w:rsidRPr="00610904">
        <w:rPr>
          <w:noProof w:val="0"/>
          <w:lang w:val="en-US"/>
        </w:rPr>
        <w:t>of</w:t>
      </w:r>
      <w:r w:rsidR="007B2CF5" w:rsidRPr="00610904">
        <w:rPr>
          <w:noProof w:val="0"/>
          <w:lang w:val="en-US"/>
        </w:rPr>
        <w:t xml:space="preserve"> persons with </w:t>
      </w:r>
      <w:r w:rsidR="00A8072E" w:rsidRPr="00610904">
        <w:rPr>
          <w:noProof w:val="0"/>
          <w:lang w:val="en-US"/>
        </w:rPr>
        <w:t>HIV</w:t>
      </w:r>
      <w:r w:rsidR="003040F7" w:rsidRPr="00610904">
        <w:rPr>
          <w:noProof w:val="0"/>
          <w:lang w:val="en-US"/>
        </w:rPr>
        <w:t>/</w:t>
      </w:r>
      <w:r w:rsidR="00A8072E" w:rsidRPr="00610904">
        <w:rPr>
          <w:noProof w:val="0"/>
          <w:lang w:val="en-US"/>
        </w:rPr>
        <w:t>AIDS</w:t>
      </w:r>
      <w:r w:rsidR="009F3D78" w:rsidRPr="00610904">
        <w:rPr>
          <w:noProof w:val="0"/>
          <w:lang w:val="en-US"/>
        </w:rPr>
        <w:t xml:space="preserve"> and </w:t>
      </w:r>
      <w:r w:rsidR="007B2CF5" w:rsidRPr="00610904">
        <w:rPr>
          <w:noProof w:val="0"/>
          <w:lang w:val="en-US"/>
        </w:rPr>
        <w:t xml:space="preserve">the prejudices of which they have been victims over </w:t>
      </w:r>
      <w:r w:rsidR="007B2CF5" w:rsidRPr="00610904">
        <w:rPr>
          <w:noProof w:val="0"/>
          <w:lang w:val="en-US"/>
        </w:rPr>
        <w:lastRenderedPageBreak/>
        <w:t>the last three decades.</w:t>
      </w:r>
      <w:r w:rsidR="003040F7" w:rsidRPr="00610904">
        <w:rPr>
          <w:rStyle w:val="FootnoteReference"/>
          <w:noProof w:val="0"/>
          <w:lang w:val="en-US"/>
        </w:rPr>
        <w:footnoteReference w:id="310"/>
      </w:r>
      <w:r w:rsidR="007B2CF5" w:rsidRPr="00610904">
        <w:rPr>
          <w:noProof w:val="0"/>
          <w:lang w:val="en-US"/>
        </w:rPr>
        <w:t xml:space="preserve"> This case is s</w:t>
      </w:r>
      <w:r w:rsidR="00555783" w:rsidRPr="00610904">
        <w:rPr>
          <w:noProof w:val="0"/>
          <w:lang w:val="en-US"/>
        </w:rPr>
        <w:t>ignificant because it emphasized</w:t>
      </w:r>
      <w:r w:rsidR="007B2CF5" w:rsidRPr="00610904">
        <w:rPr>
          <w:noProof w:val="0"/>
          <w:lang w:val="en-US"/>
        </w:rPr>
        <w:t xml:space="preserve"> that the adoption of measure</w:t>
      </w:r>
      <w:r w:rsidR="00555783" w:rsidRPr="00610904">
        <w:rPr>
          <w:noProof w:val="0"/>
          <w:lang w:val="en-US"/>
        </w:rPr>
        <w:t>s</w:t>
      </w:r>
      <w:r w:rsidR="007B2CF5" w:rsidRPr="00610904">
        <w:rPr>
          <w:noProof w:val="0"/>
          <w:lang w:val="en-US"/>
        </w:rPr>
        <w:t xml:space="preserve"> concerning persons with</w:t>
      </w:r>
      <w:r w:rsidR="003040F7" w:rsidRPr="00610904">
        <w:rPr>
          <w:noProof w:val="0"/>
          <w:lang w:val="en-US"/>
        </w:rPr>
        <w:t xml:space="preserve"> </w:t>
      </w:r>
      <w:r w:rsidR="00A8072E" w:rsidRPr="00610904">
        <w:rPr>
          <w:noProof w:val="0"/>
          <w:lang w:val="en-US"/>
        </w:rPr>
        <w:t>HIV</w:t>
      </w:r>
      <w:r w:rsidR="003040F7" w:rsidRPr="00610904">
        <w:rPr>
          <w:noProof w:val="0"/>
          <w:lang w:val="en-US"/>
        </w:rPr>
        <w:t>/</w:t>
      </w:r>
      <w:r w:rsidR="00A8072E" w:rsidRPr="00610904">
        <w:rPr>
          <w:noProof w:val="0"/>
          <w:lang w:val="en-US"/>
        </w:rPr>
        <w:t>AIDS</w:t>
      </w:r>
      <w:r w:rsidR="003040F7" w:rsidRPr="00610904">
        <w:rPr>
          <w:noProof w:val="0"/>
          <w:lang w:val="en-US"/>
        </w:rPr>
        <w:t xml:space="preserve"> </w:t>
      </w:r>
      <w:r w:rsidR="007B2CF5" w:rsidRPr="00610904">
        <w:rPr>
          <w:noProof w:val="0"/>
          <w:lang w:val="en-US"/>
        </w:rPr>
        <w:t>must be ba</w:t>
      </w:r>
      <w:r w:rsidR="00396FBB" w:rsidRPr="00610904">
        <w:rPr>
          <w:noProof w:val="0"/>
          <w:lang w:val="en-US"/>
        </w:rPr>
        <w:t>s</w:t>
      </w:r>
      <w:r w:rsidR="007B2CF5" w:rsidRPr="00610904">
        <w:rPr>
          <w:noProof w:val="0"/>
          <w:lang w:val="en-US"/>
        </w:rPr>
        <w:t>ed on their real health status.</w:t>
      </w:r>
      <w:r w:rsidR="003040F7" w:rsidRPr="00610904">
        <w:rPr>
          <w:rStyle w:val="FootnoteReference"/>
          <w:noProof w:val="0"/>
          <w:lang w:val="en-US"/>
        </w:rPr>
        <w:footnoteReference w:id="311"/>
      </w:r>
      <w:r w:rsidR="003040F7" w:rsidRPr="00610904">
        <w:rPr>
          <w:noProof w:val="0"/>
          <w:lang w:val="en-US"/>
        </w:rPr>
        <w:t xml:space="preserve">  </w:t>
      </w:r>
    </w:p>
    <w:p w:rsidR="003040F7" w:rsidRPr="00610904" w:rsidRDefault="003040F7" w:rsidP="00610904">
      <w:pPr>
        <w:pStyle w:val="MediumGrid1-Accent21"/>
        <w:ind w:left="0"/>
        <w:rPr>
          <w:noProof w:val="0"/>
          <w:lang w:val="en-US"/>
        </w:rPr>
      </w:pPr>
    </w:p>
    <w:p w:rsidR="00C0500D" w:rsidRPr="00610904" w:rsidRDefault="00C0500D" w:rsidP="00610904">
      <w:pPr>
        <w:pStyle w:val="Heading3"/>
        <w:rPr>
          <w:noProof w:val="0"/>
          <w:lang w:val="en-US"/>
        </w:rPr>
      </w:pPr>
      <w:bookmarkStart w:id="115" w:name="_Toc429519508"/>
      <w:bookmarkStart w:id="116" w:name="_Toc443399107"/>
      <w:r w:rsidRPr="00610904">
        <w:rPr>
          <w:noProof w:val="0"/>
          <w:lang w:val="en-US"/>
        </w:rPr>
        <w:t xml:space="preserve">B.3. </w:t>
      </w:r>
      <w:r w:rsidR="00396FBB" w:rsidRPr="00610904">
        <w:rPr>
          <w:noProof w:val="0"/>
          <w:lang w:val="en-US"/>
        </w:rPr>
        <w:t>Reversal of the burden of proof, suitability and strict necessity of the measure used to implement the differentiation of treatment</w:t>
      </w:r>
      <w:bookmarkEnd w:id="115"/>
      <w:bookmarkEnd w:id="116"/>
    </w:p>
    <w:p w:rsidR="00C0500D" w:rsidRPr="00610904" w:rsidRDefault="00C0500D" w:rsidP="00610904">
      <w:pPr>
        <w:rPr>
          <w:noProof w:val="0"/>
          <w:lang w:val="en-US"/>
        </w:rPr>
      </w:pPr>
    </w:p>
    <w:p w:rsidR="00C0500D" w:rsidRPr="00610904" w:rsidRDefault="00396FBB" w:rsidP="00610904">
      <w:pPr>
        <w:numPr>
          <w:ilvl w:val="0"/>
          <w:numId w:val="1"/>
        </w:numPr>
        <w:contextualSpacing/>
        <w:rPr>
          <w:noProof w:val="0"/>
          <w:lang w:val="en-US"/>
        </w:rPr>
      </w:pPr>
      <w:r w:rsidRPr="00610904">
        <w:rPr>
          <w:noProof w:val="0"/>
          <w:lang w:val="en-US"/>
        </w:rPr>
        <w:t xml:space="preserve">As can be seen, the analysis of whether </w:t>
      </w:r>
      <w:r w:rsidR="00046307" w:rsidRPr="00610904">
        <w:rPr>
          <w:noProof w:val="0"/>
          <w:lang w:val="en-US"/>
        </w:rPr>
        <w:t xml:space="preserve">or not </w:t>
      </w:r>
      <w:r w:rsidRPr="00610904">
        <w:rPr>
          <w:noProof w:val="0"/>
          <w:lang w:val="en-US"/>
        </w:rPr>
        <w:t xml:space="preserve">a child with HIV, owing to a hematological condition, should be dismissed from an educational establishment should be made strictly and rigorously </w:t>
      </w:r>
      <w:r w:rsidR="00082A6E" w:rsidRPr="00610904">
        <w:rPr>
          <w:noProof w:val="0"/>
          <w:lang w:val="en-US"/>
        </w:rPr>
        <w:t xml:space="preserve">in order </w:t>
      </w:r>
      <w:r w:rsidRPr="00610904">
        <w:rPr>
          <w:noProof w:val="0"/>
          <w:lang w:val="en-US"/>
        </w:rPr>
        <w:t xml:space="preserve">to ensure that this differentiation is not considered discrimination. It is the State’s responsibility to determine whether there is, indeed, a reasonable and objective </w:t>
      </w:r>
      <w:r w:rsidR="00046307" w:rsidRPr="00610904">
        <w:rPr>
          <w:noProof w:val="0"/>
          <w:lang w:val="en-US"/>
        </w:rPr>
        <w:t>justification</w:t>
      </w:r>
      <w:r w:rsidRPr="00610904">
        <w:rPr>
          <w:noProof w:val="0"/>
          <w:lang w:val="en-US"/>
        </w:rPr>
        <w:t xml:space="preserve"> for </w:t>
      </w:r>
      <w:r w:rsidR="00046307" w:rsidRPr="00610904">
        <w:rPr>
          <w:noProof w:val="0"/>
          <w:lang w:val="en-US"/>
        </w:rPr>
        <w:t>making</w:t>
      </w:r>
      <w:r w:rsidRPr="00610904">
        <w:rPr>
          <w:noProof w:val="0"/>
          <w:lang w:val="en-US"/>
        </w:rPr>
        <w:t xml:space="preserve"> the distinction. In this regard, in order to establish whether a difference in treatment was based on a </w:t>
      </w:r>
      <w:r w:rsidR="00046307" w:rsidRPr="00610904">
        <w:rPr>
          <w:noProof w:val="0"/>
          <w:lang w:val="en-US"/>
        </w:rPr>
        <w:t>questionable</w:t>
      </w:r>
      <w:r w:rsidRPr="00610904">
        <w:rPr>
          <w:noProof w:val="0"/>
          <w:lang w:val="en-US"/>
        </w:rPr>
        <w:t xml:space="preserve"> category and to determine whether it constitutes discrimination, it is necessary to examine the arguments of the domestic authorities, their conduct, the language used, and the context in which the decision was taken.</w:t>
      </w:r>
      <w:r w:rsidR="00C0500D" w:rsidRPr="00610904">
        <w:rPr>
          <w:rStyle w:val="FootnoteReference"/>
          <w:noProof w:val="0"/>
          <w:lang w:val="en-US"/>
        </w:rPr>
        <w:footnoteReference w:id="312"/>
      </w:r>
      <w:r w:rsidR="00C0500D" w:rsidRPr="00610904">
        <w:rPr>
          <w:noProof w:val="0"/>
          <w:lang w:val="en-US"/>
        </w:rPr>
        <w:t xml:space="preserve"> </w:t>
      </w:r>
    </w:p>
    <w:p w:rsidR="00C0500D" w:rsidRPr="00610904" w:rsidRDefault="00C0500D" w:rsidP="00610904">
      <w:pPr>
        <w:rPr>
          <w:noProof w:val="0"/>
          <w:lang w:val="en-US"/>
        </w:rPr>
      </w:pPr>
    </w:p>
    <w:p w:rsidR="00C0500D" w:rsidRPr="00610904" w:rsidRDefault="009F3D78" w:rsidP="00610904">
      <w:pPr>
        <w:numPr>
          <w:ilvl w:val="0"/>
          <w:numId w:val="1"/>
        </w:numPr>
        <w:contextualSpacing/>
        <w:rPr>
          <w:noProof w:val="0"/>
          <w:lang w:val="en-US"/>
        </w:rPr>
      </w:pPr>
      <w:r w:rsidRPr="00610904">
        <w:rPr>
          <w:noProof w:val="0"/>
          <w:lang w:val="en-US"/>
        </w:rPr>
        <w:t>The Court</w:t>
      </w:r>
      <w:r w:rsidR="00396FBB" w:rsidRPr="00610904">
        <w:rPr>
          <w:noProof w:val="0"/>
          <w:lang w:val="en-US"/>
        </w:rPr>
        <w:t xml:space="preserve"> notes that,</w:t>
      </w:r>
      <w:r w:rsidR="00C0500D" w:rsidRPr="00610904">
        <w:rPr>
          <w:noProof w:val="0"/>
          <w:lang w:val="en-US"/>
        </w:rPr>
        <w:t xml:space="preserve"> </w:t>
      </w:r>
      <w:r w:rsidR="00396FBB" w:rsidRPr="00610904">
        <w:rPr>
          <w:noProof w:val="0"/>
          <w:lang w:val="en-US"/>
        </w:rPr>
        <w:t>in this case, initially, the restriction</w:t>
      </w:r>
      <w:r w:rsidR="00C0500D" w:rsidRPr="00610904">
        <w:rPr>
          <w:noProof w:val="0"/>
          <w:lang w:val="en-US"/>
        </w:rPr>
        <w:t xml:space="preserve"> </w:t>
      </w:r>
      <w:r w:rsidR="00396FBB" w:rsidRPr="00610904">
        <w:rPr>
          <w:noProof w:val="0"/>
          <w:lang w:val="en-US"/>
        </w:rPr>
        <w:t>of Talía’s</w:t>
      </w:r>
      <w:r w:rsidR="00D80BC2" w:rsidRPr="00610904">
        <w:rPr>
          <w:noProof w:val="0"/>
          <w:lang w:val="en-US"/>
        </w:rPr>
        <w:t xml:space="preserve"> </w:t>
      </w:r>
      <w:r w:rsidR="0013395A" w:rsidRPr="00610904">
        <w:rPr>
          <w:noProof w:val="0"/>
          <w:lang w:val="en-US"/>
        </w:rPr>
        <w:t>right to education</w:t>
      </w:r>
      <w:r w:rsidR="00396FBB" w:rsidRPr="00610904">
        <w:rPr>
          <w:noProof w:val="0"/>
          <w:lang w:val="en-US"/>
        </w:rPr>
        <w:t xml:space="preserve"> was based on the decision of the educational authorities to expel her from the </w:t>
      </w:r>
      <w:r w:rsidR="00535633" w:rsidRPr="00610904">
        <w:rPr>
          <w:noProof w:val="0"/>
          <w:lang w:val="en-US"/>
        </w:rPr>
        <w:t>Zoila Aurora Palacios</w:t>
      </w:r>
      <w:r w:rsidR="00396FBB" w:rsidRPr="00610904">
        <w:rPr>
          <w:noProof w:val="0"/>
          <w:lang w:val="en-US"/>
        </w:rPr>
        <w:t xml:space="preserve"> School, a decision that was subsequently endorsed by the decision of the </w:t>
      </w:r>
      <w:r w:rsidR="00836BA0" w:rsidRPr="00610904">
        <w:rPr>
          <w:noProof w:val="0"/>
          <w:lang w:val="en-US"/>
        </w:rPr>
        <w:t>Third Contentious Court</w:t>
      </w:r>
      <w:r w:rsidR="0088750E" w:rsidRPr="00610904">
        <w:rPr>
          <w:noProof w:val="0"/>
          <w:lang w:val="en-US"/>
        </w:rPr>
        <w:t xml:space="preserve"> of Cuenca</w:t>
      </w:r>
      <w:r w:rsidR="00C0500D" w:rsidRPr="00610904">
        <w:rPr>
          <w:noProof w:val="0"/>
          <w:lang w:val="en-US"/>
        </w:rPr>
        <w:t>.</w:t>
      </w:r>
    </w:p>
    <w:p w:rsidR="00C0500D" w:rsidRPr="00610904" w:rsidRDefault="00C0500D" w:rsidP="00610904">
      <w:pPr>
        <w:rPr>
          <w:noProof w:val="0"/>
          <w:lang w:val="en-US"/>
        </w:rPr>
      </w:pPr>
    </w:p>
    <w:p w:rsidR="00C0500D" w:rsidRPr="00610904" w:rsidRDefault="00396FBB" w:rsidP="00610904">
      <w:pPr>
        <w:numPr>
          <w:ilvl w:val="0"/>
          <w:numId w:val="1"/>
        </w:numPr>
        <w:autoSpaceDE w:val="0"/>
        <w:autoSpaceDN w:val="0"/>
        <w:adjustRightInd w:val="0"/>
        <w:contextualSpacing/>
        <w:rPr>
          <w:noProof w:val="0"/>
          <w:lang w:val="en-US"/>
        </w:rPr>
      </w:pPr>
      <w:r w:rsidRPr="00610904">
        <w:rPr>
          <w:noProof w:val="0"/>
          <w:lang w:val="en-US"/>
        </w:rPr>
        <w:t>In this case,</w:t>
      </w:r>
      <w:r w:rsidR="00C0500D" w:rsidRPr="00610904">
        <w:rPr>
          <w:noProof w:val="0"/>
          <w:lang w:val="en-US"/>
        </w:rPr>
        <w:t xml:space="preserve"> </w:t>
      </w:r>
      <w:r w:rsidR="009F3D78" w:rsidRPr="00610904">
        <w:rPr>
          <w:noProof w:val="0"/>
          <w:lang w:val="en-US"/>
        </w:rPr>
        <w:t>the Court</w:t>
      </w:r>
      <w:r w:rsidRPr="00610904">
        <w:rPr>
          <w:noProof w:val="0"/>
          <w:lang w:val="en-US"/>
        </w:rPr>
        <w:t xml:space="preserve"> observes that </w:t>
      </w:r>
      <w:r w:rsidR="00C0500D" w:rsidRPr="00610904">
        <w:rPr>
          <w:noProof w:val="0"/>
          <w:lang w:val="en-US"/>
        </w:rPr>
        <w:t xml:space="preserve">Talía </w:t>
      </w:r>
      <w:r w:rsidRPr="00610904">
        <w:rPr>
          <w:noProof w:val="0"/>
          <w:lang w:val="en-US"/>
        </w:rPr>
        <w:t xml:space="preserve">attended the school normally until her teacher found out about her condition as a child with HIV. The educational authorities – her teacher, the director of the school, and the Deputy </w:t>
      </w:r>
      <w:r w:rsidR="009F3D78" w:rsidRPr="00610904">
        <w:rPr>
          <w:noProof w:val="0"/>
          <w:lang w:val="en-US"/>
        </w:rPr>
        <w:t>Secretary</w:t>
      </w:r>
      <w:r w:rsidR="001F48DA" w:rsidRPr="00610904">
        <w:rPr>
          <w:noProof w:val="0"/>
          <w:lang w:val="en-US"/>
        </w:rPr>
        <w:t xml:space="preserve"> </w:t>
      </w:r>
      <w:r w:rsidR="00046307" w:rsidRPr="00610904">
        <w:rPr>
          <w:noProof w:val="0"/>
          <w:lang w:val="en-US"/>
        </w:rPr>
        <w:t>of E</w:t>
      </w:r>
      <w:r w:rsidRPr="00610904">
        <w:rPr>
          <w:noProof w:val="0"/>
          <w:lang w:val="en-US"/>
        </w:rPr>
        <w:t>ducation – instead of providing her with specialized attention, in view of her vulnerable situation, assumed that she represented a risk for the other children and suspended her, before subsequently expelling her.</w:t>
      </w:r>
      <w:r w:rsidR="00C0500D" w:rsidRPr="00610904">
        <w:rPr>
          <w:rStyle w:val="FootnoteReference"/>
          <w:noProof w:val="0"/>
          <w:lang w:val="en-US"/>
        </w:rPr>
        <w:footnoteReference w:id="313"/>
      </w:r>
      <w:r w:rsidRPr="00610904">
        <w:rPr>
          <w:noProof w:val="0"/>
          <w:lang w:val="en-US"/>
        </w:rPr>
        <w:t xml:space="preserve"> In this regard, the best interests of the children, both</w:t>
      </w:r>
      <w:r w:rsidR="00C0500D" w:rsidRPr="00610904">
        <w:rPr>
          <w:noProof w:val="0"/>
          <w:lang w:val="en-US"/>
        </w:rPr>
        <w:t xml:space="preserve"> Talía </w:t>
      </w:r>
      <w:r w:rsidRPr="00610904">
        <w:rPr>
          <w:noProof w:val="0"/>
          <w:lang w:val="en-US"/>
        </w:rPr>
        <w:t xml:space="preserve">and her class companions, </w:t>
      </w:r>
      <w:r w:rsidRPr="00610904">
        <w:rPr>
          <w:noProof w:val="0"/>
          <w:lang w:val="en-US"/>
        </w:rPr>
        <w:lastRenderedPageBreak/>
        <w:t xml:space="preserve">required the </w:t>
      </w:r>
      <w:r w:rsidRPr="00610904">
        <w:rPr>
          <w:i/>
          <w:noProof w:val="0"/>
          <w:lang w:val="en-US"/>
        </w:rPr>
        <w:t>adaptability</w:t>
      </w:r>
      <w:r w:rsidRPr="00610904">
        <w:rPr>
          <w:noProof w:val="0"/>
          <w:lang w:val="en-US"/>
        </w:rPr>
        <w:t xml:space="preserve"> of the educational environment to her condition as a child with HIV, As already mentioned </w:t>
      </w:r>
      <w:r w:rsidR="00C0500D" w:rsidRPr="00610904">
        <w:rPr>
          <w:noProof w:val="0"/>
          <w:lang w:val="en-US"/>
        </w:rPr>
        <w:t>(</w:t>
      </w:r>
      <w:r w:rsidR="00C0500D" w:rsidRPr="00610904">
        <w:rPr>
          <w:i/>
          <w:noProof w:val="0"/>
          <w:lang w:val="en-US"/>
        </w:rPr>
        <w:t xml:space="preserve">supra </w:t>
      </w:r>
      <w:r w:rsidR="006E502B" w:rsidRPr="00610904">
        <w:rPr>
          <w:noProof w:val="0"/>
          <w:lang w:val="en-US"/>
        </w:rPr>
        <w:t>para.</w:t>
      </w:r>
      <w:r w:rsidR="00CD5C58" w:rsidRPr="00610904">
        <w:rPr>
          <w:noProof w:val="0"/>
          <w:lang w:val="en-US"/>
        </w:rPr>
        <w:t xml:space="preserve"> 235</w:t>
      </w:r>
      <w:r w:rsidR="00C0500D" w:rsidRPr="00610904">
        <w:rPr>
          <w:noProof w:val="0"/>
          <w:lang w:val="en-US"/>
        </w:rPr>
        <w:t xml:space="preserve">) </w:t>
      </w:r>
      <w:r w:rsidRPr="00610904">
        <w:rPr>
          <w:noProof w:val="0"/>
          <w:lang w:val="en-US"/>
        </w:rPr>
        <w:t>according to</w:t>
      </w:r>
      <w:r w:rsidR="00C0500D" w:rsidRPr="00610904">
        <w:rPr>
          <w:noProof w:val="0"/>
          <w:lang w:val="en-US"/>
        </w:rPr>
        <w:t xml:space="preserve"> </w:t>
      </w:r>
      <w:r w:rsidR="0013395A" w:rsidRPr="00610904">
        <w:rPr>
          <w:noProof w:val="0"/>
          <w:lang w:val="en-US"/>
        </w:rPr>
        <w:t>the Committee on Economic, Social and Cultural Rights</w:t>
      </w:r>
      <w:r w:rsidR="00C0500D" w:rsidRPr="00610904">
        <w:rPr>
          <w:noProof w:val="0"/>
          <w:lang w:val="en-US"/>
        </w:rPr>
        <w:t>, “</w:t>
      </w:r>
      <w:r w:rsidRPr="00610904">
        <w:rPr>
          <w:noProof w:val="0"/>
          <w:lang w:val="en-US"/>
        </w:rPr>
        <w:t>education has to be flexible so it can adapt to the needs of changing societies and communities and respond to the needs of students within their diverse social and cultural settings.</w:t>
      </w:r>
      <w:r w:rsidR="00C0500D" w:rsidRPr="00610904">
        <w:rPr>
          <w:noProof w:val="0"/>
          <w:lang w:val="en-US"/>
        </w:rPr>
        <w:t>”</w:t>
      </w:r>
      <w:r w:rsidR="00C0500D" w:rsidRPr="00610904">
        <w:rPr>
          <w:rStyle w:val="FootnoteReference"/>
          <w:noProof w:val="0"/>
          <w:lang w:val="en-US"/>
        </w:rPr>
        <w:footnoteReference w:id="314"/>
      </w:r>
      <w:r w:rsidRPr="00610904">
        <w:rPr>
          <w:noProof w:val="0"/>
          <w:lang w:val="en-US"/>
        </w:rPr>
        <w:t xml:space="preserve"> Meanwhile,</w:t>
      </w:r>
      <w:r w:rsidR="00C0500D" w:rsidRPr="00610904">
        <w:rPr>
          <w:noProof w:val="0"/>
          <w:lang w:val="en-US"/>
        </w:rPr>
        <w:t xml:space="preserve"> </w:t>
      </w:r>
      <w:r w:rsidR="003E08F4" w:rsidRPr="00610904">
        <w:rPr>
          <w:noProof w:val="0"/>
          <w:lang w:val="en-US"/>
        </w:rPr>
        <w:t>the Committee on the Rights of the Child</w:t>
      </w:r>
      <w:r w:rsidR="00C0500D" w:rsidRPr="00610904">
        <w:rPr>
          <w:noProof w:val="0"/>
          <w:lang w:val="en-US"/>
        </w:rPr>
        <w:t xml:space="preserve">, </w:t>
      </w:r>
      <w:r w:rsidRPr="00610904">
        <w:rPr>
          <w:noProof w:val="0"/>
          <w:lang w:val="en-US"/>
        </w:rPr>
        <w:t>in its</w:t>
      </w:r>
      <w:r w:rsidR="00C0500D" w:rsidRPr="00610904">
        <w:rPr>
          <w:noProof w:val="0"/>
          <w:lang w:val="en-US"/>
        </w:rPr>
        <w:t xml:space="preserve"> </w:t>
      </w:r>
      <w:r w:rsidR="007B3443" w:rsidRPr="00610904">
        <w:rPr>
          <w:noProof w:val="0"/>
          <w:lang w:val="en-US"/>
        </w:rPr>
        <w:t>General Comment</w:t>
      </w:r>
      <w:r w:rsidR="00C0500D" w:rsidRPr="00610904">
        <w:rPr>
          <w:noProof w:val="0"/>
          <w:lang w:val="en-US"/>
        </w:rPr>
        <w:t xml:space="preserve"> No. 1 </w:t>
      </w:r>
      <w:r w:rsidRPr="00610904">
        <w:rPr>
          <w:noProof w:val="0"/>
          <w:lang w:val="en-US"/>
        </w:rPr>
        <w:t>on the Aims of Education, indicated that “teaching methods should be tailored to the different needs of different children.</w:t>
      </w:r>
      <w:r w:rsidR="00C0500D" w:rsidRPr="00610904">
        <w:rPr>
          <w:noProof w:val="0"/>
          <w:lang w:val="en-US"/>
        </w:rPr>
        <w:t>”</w:t>
      </w:r>
      <w:r w:rsidR="00C0500D" w:rsidRPr="00610904">
        <w:rPr>
          <w:rStyle w:val="FootnoteReference"/>
          <w:noProof w:val="0"/>
          <w:lang w:val="en-US"/>
        </w:rPr>
        <w:footnoteReference w:id="315"/>
      </w:r>
      <w:r w:rsidR="00C0500D" w:rsidRPr="00610904">
        <w:rPr>
          <w:noProof w:val="0"/>
          <w:lang w:val="en-US"/>
        </w:rPr>
        <w:t xml:space="preserve">  </w:t>
      </w:r>
    </w:p>
    <w:p w:rsidR="00C0500D" w:rsidRPr="00610904" w:rsidRDefault="00C0500D" w:rsidP="00610904">
      <w:pPr>
        <w:rPr>
          <w:noProof w:val="0"/>
          <w:lang w:val="en-US"/>
        </w:rPr>
      </w:pPr>
    </w:p>
    <w:p w:rsidR="00C0500D" w:rsidRPr="00610904" w:rsidRDefault="009F3D78" w:rsidP="00610904">
      <w:pPr>
        <w:numPr>
          <w:ilvl w:val="0"/>
          <w:numId w:val="1"/>
        </w:numPr>
        <w:contextualSpacing/>
        <w:rPr>
          <w:noProof w:val="0"/>
          <w:lang w:val="en-US"/>
        </w:rPr>
      </w:pPr>
      <w:r w:rsidRPr="00610904">
        <w:rPr>
          <w:noProof w:val="0"/>
          <w:lang w:val="en-US"/>
        </w:rPr>
        <w:t>The Court</w:t>
      </w:r>
      <w:r w:rsidR="00396FBB" w:rsidRPr="00610904">
        <w:rPr>
          <w:noProof w:val="0"/>
          <w:lang w:val="en-US"/>
        </w:rPr>
        <w:t xml:space="preserve"> observes that the educational authorities did not take measures to combat the prejudice concerning Talía’s illness. Regarding the right to timely and prejudice-free information, the former United Nations Commission on Human Rights indicated that State must </w:t>
      </w:r>
      <w:r w:rsidR="00F52988" w:rsidRPr="00610904">
        <w:rPr>
          <w:noProof w:val="0"/>
          <w:lang w:val="en-US"/>
        </w:rPr>
        <w:t>“</w:t>
      </w:r>
      <w:r w:rsidR="00396FBB" w:rsidRPr="00610904">
        <w:rPr>
          <w:noProof w:val="0"/>
          <w:lang w:val="en-US"/>
        </w:rPr>
        <w:t xml:space="preserve">take all </w:t>
      </w:r>
      <w:r w:rsidR="00F52988" w:rsidRPr="00610904">
        <w:rPr>
          <w:noProof w:val="0"/>
          <w:lang w:val="en-US"/>
        </w:rPr>
        <w:t xml:space="preserve">the </w:t>
      </w:r>
      <w:r w:rsidR="00396FBB" w:rsidRPr="00610904">
        <w:rPr>
          <w:noProof w:val="0"/>
          <w:lang w:val="en-US"/>
        </w:rPr>
        <w:t>necessary steps</w:t>
      </w:r>
      <w:r w:rsidR="00F52988" w:rsidRPr="00610904">
        <w:rPr>
          <w:noProof w:val="0"/>
          <w:lang w:val="en-US"/>
        </w:rPr>
        <w:t>,</w:t>
      </w:r>
      <w:r w:rsidR="00396FBB" w:rsidRPr="00610904">
        <w:rPr>
          <w:noProof w:val="0"/>
          <w:lang w:val="en-US"/>
        </w:rPr>
        <w:t xml:space="preserve"> in</w:t>
      </w:r>
      <w:r w:rsidR="00F52988" w:rsidRPr="00610904">
        <w:rPr>
          <w:noProof w:val="0"/>
          <w:lang w:val="en-US"/>
        </w:rPr>
        <w:t xml:space="preserve">cluding appropriate </w:t>
      </w:r>
      <w:r w:rsidR="00396FBB" w:rsidRPr="00610904">
        <w:rPr>
          <w:noProof w:val="0"/>
          <w:lang w:val="en-US"/>
        </w:rPr>
        <w:t>education, training and media program</w:t>
      </w:r>
      <w:r w:rsidR="00F52988" w:rsidRPr="00610904">
        <w:rPr>
          <w:noProof w:val="0"/>
          <w:lang w:val="en-US"/>
        </w:rPr>
        <w:t>me</w:t>
      </w:r>
      <w:r w:rsidR="00396FBB" w:rsidRPr="00610904">
        <w:rPr>
          <w:noProof w:val="0"/>
          <w:lang w:val="en-US"/>
        </w:rPr>
        <w:t>s</w:t>
      </w:r>
      <w:r w:rsidR="00F52988" w:rsidRPr="00610904">
        <w:rPr>
          <w:noProof w:val="0"/>
          <w:lang w:val="en-US"/>
        </w:rPr>
        <w:t>,</w:t>
      </w:r>
      <w:r w:rsidR="00396FBB" w:rsidRPr="00610904">
        <w:rPr>
          <w:noProof w:val="0"/>
          <w:lang w:val="en-US"/>
        </w:rPr>
        <w:t xml:space="preserve"> to combat </w:t>
      </w:r>
      <w:r w:rsidR="00F52988" w:rsidRPr="00610904">
        <w:rPr>
          <w:noProof w:val="0"/>
          <w:lang w:val="en-US"/>
        </w:rPr>
        <w:t xml:space="preserve">any type of </w:t>
      </w:r>
      <w:r w:rsidR="00396FBB" w:rsidRPr="00610904">
        <w:rPr>
          <w:noProof w:val="0"/>
          <w:lang w:val="en-US"/>
        </w:rPr>
        <w:t>discrimination, prejudice and stigma</w:t>
      </w:r>
      <w:r w:rsidR="00F52988" w:rsidRPr="00610904">
        <w:rPr>
          <w:noProof w:val="0"/>
          <w:lang w:val="en-US"/>
        </w:rPr>
        <w:t>”</w:t>
      </w:r>
      <w:r w:rsidR="00396FBB" w:rsidRPr="00610904">
        <w:rPr>
          <w:noProof w:val="0"/>
          <w:lang w:val="en-US"/>
        </w:rPr>
        <w:t xml:space="preserve"> against persons suffering from </w:t>
      </w:r>
      <w:r w:rsidR="00A8072E" w:rsidRPr="00610904">
        <w:rPr>
          <w:noProof w:val="0"/>
          <w:lang w:val="en-US"/>
        </w:rPr>
        <w:t>HIV</w:t>
      </w:r>
      <w:r w:rsidR="00C0500D" w:rsidRPr="00610904">
        <w:rPr>
          <w:noProof w:val="0"/>
          <w:lang w:val="en-US"/>
        </w:rPr>
        <w:t>/</w:t>
      </w:r>
      <w:r w:rsidR="00A8072E" w:rsidRPr="00610904">
        <w:rPr>
          <w:noProof w:val="0"/>
          <w:lang w:val="en-US"/>
        </w:rPr>
        <w:t>AIDS</w:t>
      </w:r>
      <w:r w:rsidR="00396FBB" w:rsidRPr="00610904">
        <w:rPr>
          <w:noProof w:val="0"/>
          <w:lang w:val="en-US"/>
        </w:rPr>
        <w:t>.</w:t>
      </w:r>
      <w:r w:rsidR="00C0500D" w:rsidRPr="00610904">
        <w:rPr>
          <w:rStyle w:val="FootnoteReference"/>
          <w:noProof w:val="0"/>
          <w:lang w:val="en-US"/>
        </w:rPr>
        <w:footnoteReference w:id="316"/>
      </w:r>
      <w:r w:rsidR="00C0500D" w:rsidRPr="00610904">
        <w:rPr>
          <w:noProof w:val="0"/>
          <w:lang w:val="en-US"/>
        </w:rPr>
        <w:t xml:space="preserve">  </w:t>
      </w:r>
    </w:p>
    <w:p w:rsidR="00C0500D" w:rsidRPr="00610904" w:rsidRDefault="00C0500D" w:rsidP="00610904">
      <w:pPr>
        <w:tabs>
          <w:tab w:val="num" w:pos="720"/>
        </w:tabs>
        <w:autoSpaceDE w:val="0"/>
        <w:autoSpaceDN w:val="0"/>
        <w:adjustRightInd w:val="0"/>
        <w:rPr>
          <w:noProof w:val="0"/>
          <w:lang w:val="en-US"/>
        </w:rPr>
      </w:pPr>
    </w:p>
    <w:p w:rsidR="00C0500D" w:rsidRPr="00610904" w:rsidRDefault="00396FBB" w:rsidP="00610904">
      <w:pPr>
        <w:numPr>
          <w:ilvl w:val="0"/>
          <w:numId w:val="1"/>
        </w:numPr>
        <w:autoSpaceDE w:val="0"/>
        <w:autoSpaceDN w:val="0"/>
        <w:adjustRightInd w:val="0"/>
        <w:contextualSpacing/>
        <w:rPr>
          <w:noProof w:val="0"/>
          <w:lang w:val="en-US" w:eastAsia="es-ES"/>
        </w:rPr>
      </w:pPr>
      <w:r w:rsidRPr="00610904">
        <w:rPr>
          <w:noProof w:val="0"/>
          <w:lang w:val="en-US"/>
        </w:rPr>
        <w:t xml:space="preserve">Also, the Court underlines that the protection of essential or important interests such as </w:t>
      </w:r>
      <w:r w:rsidR="00082A6E" w:rsidRPr="00610904">
        <w:rPr>
          <w:noProof w:val="0"/>
          <w:lang w:val="en-US"/>
        </w:rPr>
        <w:t xml:space="preserve">the </w:t>
      </w:r>
      <w:r w:rsidR="008956E2" w:rsidRPr="00610904">
        <w:rPr>
          <w:noProof w:val="0"/>
          <w:lang w:val="en-US" w:eastAsia="es-ES"/>
        </w:rPr>
        <w:t>personal integrity</w:t>
      </w:r>
      <w:r w:rsidR="00C0500D" w:rsidRPr="00610904">
        <w:rPr>
          <w:noProof w:val="0"/>
          <w:lang w:val="en-US" w:eastAsia="es-ES"/>
        </w:rPr>
        <w:t xml:space="preserve"> </w:t>
      </w:r>
      <w:r w:rsidRPr="00610904">
        <w:rPr>
          <w:noProof w:val="0"/>
          <w:lang w:val="en-US" w:eastAsia="es-ES"/>
        </w:rPr>
        <w:t>of</w:t>
      </w:r>
      <w:r w:rsidR="00082A6E" w:rsidRPr="00610904">
        <w:rPr>
          <w:noProof w:val="0"/>
          <w:lang w:val="en-US" w:eastAsia="es-ES"/>
        </w:rPr>
        <w:t xml:space="preserve"> the individual, owing to supposed risks to</w:t>
      </w:r>
      <w:r w:rsidRPr="00610904">
        <w:rPr>
          <w:noProof w:val="0"/>
          <w:lang w:val="en-US" w:eastAsia="es-ES"/>
        </w:rPr>
        <w:t xml:space="preserve"> the health </w:t>
      </w:r>
      <w:r w:rsidR="00082A6E" w:rsidRPr="00610904">
        <w:rPr>
          <w:noProof w:val="0"/>
          <w:lang w:val="en-US" w:eastAsia="es-ES"/>
        </w:rPr>
        <w:t>of other</w:t>
      </w:r>
      <w:r w:rsidRPr="00610904">
        <w:rPr>
          <w:noProof w:val="0"/>
          <w:lang w:val="en-US" w:eastAsia="es-ES"/>
        </w:rPr>
        <w:t xml:space="preserve">s, should be </w:t>
      </w:r>
      <w:r w:rsidR="00F52988" w:rsidRPr="00610904">
        <w:rPr>
          <w:noProof w:val="0"/>
          <w:lang w:val="en-US" w:eastAsia="es-ES"/>
        </w:rPr>
        <w:t>implemented</w:t>
      </w:r>
      <w:r w:rsidRPr="00610904">
        <w:rPr>
          <w:noProof w:val="0"/>
          <w:lang w:val="en-US" w:eastAsia="es-ES"/>
        </w:rPr>
        <w:t xml:space="preserve"> based on the specific evaluation of the said health status and the real and proven risks, and not the speculative or imaginary ones that it could give rise to. It has alr</w:t>
      </w:r>
      <w:r w:rsidR="00F52988" w:rsidRPr="00610904">
        <w:rPr>
          <w:noProof w:val="0"/>
          <w:lang w:val="en-US" w:eastAsia="es-ES"/>
        </w:rPr>
        <w:t>e</w:t>
      </w:r>
      <w:r w:rsidRPr="00610904">
        <w:rPr>
          <w:noProof w:val="0"/>
          <w:lang w:val="en-US" w:eastAsia="es-ES"/>
        </w:rPr>
        <w:t>ady been mentioned</w:t>
      </w:r>
      <w:r w:rsidR="00C0500D" w:rsidRPr="00610904">
        <w:rPr>
          <w:noProof w:val="0"/>
          <w:lang w:val="en-US" w:eastAsia="es-ES"/>
        </w:rPr>
        <w:t xml:space="preserve"> </w:t>
      </w:r>
      <w:r w:rsidR="00E97A0A" w:rsidRPr="00610904">
        <w:rPr>
          <w:noProof w:val="0"/>
          <w:lang w:val="en-US"/>
        </w:rPr>
        <w:t>(</w:t>
      </w:r>
      <w:r w:rsidR="00E97A0A" w:rsidRPr="00610904">
        <w:rPr>
          <w:i/>
          <w:noProof w:val="0"/>
          <w:lang w:val="en-US"/>
        </w:rPr>
        <w:t xml:space="preserve">supra </w:t>
      </w:r>
      <w:r w:rsidR="006E502B" w:rsidRPr="00610904">
        <w:rPr>
          <w:noProof w:val="0"/>
          <w:lang w:val="en-US"/>
        </w:rPr>
        <w:t>para.</w:t>
      </w:r>
      <w:r w:rsidR="00E97A0A" w:rsidRPr="00610904">
        <w:rPr>
          <w:noProof w:val="0"/>
          <w:lang w:val="en-US"/>
        </w:rPr>
        <w:t xml:space="preserve"> 260) </w:t>
      </w:r>
      <w:r w:rsidRPr="00610904">
        <w:rPr>
          <w:noProof w:val="0"/>
          <w:lang w:val="en-US"/>
        </w:rPr>
        <w:t xml:space="preserve">that speculations, presumptions and stereotypes concerning the risks of certain illnesses are inadmissible, particularly when they reproduce the stigma </w:t>
      </w:r>
      <w:r w:rsidR="00082A6E" w:rsidRPr="00610904">
        <w:rPr>
          <w:noProof w:val="0"/>
          <w:lang w:val="en-US"/>
        </w:rPr>
        <w:t>surrounding</w:t>
      </w:r>
      <w:r w:rsidRPr="00610904">
        <w:rPr>
          <w:noProof w:val="0"/>
          <w:lang w:val="en-US"/>
        </w:rPr>
        <w:t xml:space="preserve"> such illnesses.</w:t>
      </w:r>
      <w:r w:rsidR="00C0500D" w:rsidRPr="00610904">
        <w:rPr>
          <w:rStyle w:val="FootnoteReference"/>
          <w:noProof w:val="0"/>
          <w:lang w:val="en-US" w:eastAsia="es-ES"/>
        </w:rPr>
        <w:footnoteReference w:id="317"/>
      </w:r>
    </w:p>
    <w:p w:rsidR="00C0500D" w:rsidRPr="00610904" w:rsidRDefault="00C0500D" w:rsidP="00610904">
      <w:pPr>
        <w:tabs>
          <w:tab w:val="num" w:pos="720"/>
        </w:tabs>
        <w:autoSpaceDE w:val="0"/>
        <w:autoSpaceDN w:val="0"/>
        <w:adjustRightInd w:val="0"/>
        <w:rPr>
          <w:noProof w:val="0"/>
          <w:lang w:val="en-US"/>
        </w:rPr>
      </w:pPr>
    </w:p>
    <w:p w:rsidR="00A86EA4" w:rsidRPr="00610904" w:rsidRDefault="00A86EA4" w:rsidP="00610904">
      <w:pPr>
        <w:numPr>
          <w:ilvl w:val="0"/>
          <w:numId w:val="1"/>
        </w:numPr>
        <w:autoSpaceDE w:val="0"/>
        <w:autoSpaceDN w:val="0"/>
        <w:adjustRightInd w:val="0"/>
        <w:contextualSpacing/>
        <w:rPr>
          <w:noProof w:val="0"/>
          <w:lang w:val="en-US"/>
        </w:rPr>
      </w:pPr>
      <w:r w:rsidRPr="00610904">
        <w:rPr>
          <w:noProof w:val="0"/>
          <w:lang w:val="en-US"/>
        </w:rPr>
        <w:t xml:space="preserve">In conclusion, </w:t>
      </w:r>
      <w:r w:rsidR="009F3D78" w:rsidRPr="00610904">
        <w:rPr>
          <w:noProof w:val="0"/>
          <w:lang w:val="en-US"/>
        </w:rPr>
        <w:t>the Inter-American Court</w:t>
      </w:r>
      <w:r w:rsidR="00C0500D" w:rsidRPr="00610904">
        <w:rPr>
          <w:noProof w:val="0"/>
          <w:lang w:val="en-US"/>
        </w:rPr>
        <w:t xml:space="preserve"> observ</w:t>
      </w:r>
      <w:r w:rsidRPr="00610904">
        <w:rPr>
          <w:noProof w:val="0"/>
          <w:lang w:val="en-US"/>
        </w:rPr>
        <w:t xml:space="preserve">es that since, in abstract, the “collective interest” and </w:t>
      </w:r>
      <w:r w:rsidR="00F52988" w:rsidRPr="00610904">
        <w:rPr>
          <w:noProof w:val="0"/>
          <w:lang w:val="en-US"/>
        </w:rPr>
        <w:t xml:space="preserve">the “integrity and life” of </w:t>
      </w:r>
      <w:r w:rsidRPr="00610904">
        <w:rPr>
          <w:noProof w:val="0"/>
          <w:lang w:val="en-US"/>
        </w:rPr>
        <w:t>children is a legitimate objective, merely referring to this without specifically proving the risks and harm that could be caused by the health status of a child who is in school with other children, cannot be an a</w:t>
      </w:r>
      <w:r w:rsidR="000505D7" w:rsidRPr="00610904">
        <w:rPr>
          <w:noProof w:val="0"/>
          <w:lang w:val="en-US"/>
        </w:rPr>
        <w:t>dequate</w:t>
      </w:r>
      <w:r w:rsidRPr="00610904">
        <w:rPr>
          <w:noProof w:val="0"/>
          <w:lang w:val="en-US"/>
        </w:rPr>
        <w:t xml:space="preserve"> reason to restrict a protected right, which is to be able to exercise all human rights without any discrimination owing to a medical condition.</w:t>
      </w:r>
      <w:r w:rsidRPr="00610904">
        <w:rPr>
          <w:rStyle w:val="FootnoteReference"/>
          <w:noProof w:val="0"/>
          <w:lang w:val="en-US" w:eastAsia="es-ES"/>
        </w:rPr>
        <w:footnoteReference w:id="318"/>
      </w:r>
      <w:r w:rsidRPr="00610904">
        <w:rPr>
          <w:noProof w:val="0"/>
          <w:lang w:val="en-US"/>
        </w:rPr>
        <w:t xml:space="preserve"> The best intere</w:t>
      </w:r>
      <w:r w:rsidR="00A217D7" w:rsidRPr="00610904">
        <w:rPr>
          <w:noProof w:val="0"/>
          <w:lang w:val="en-US"/>
        </w:rPr>
        <w:t>s</w:t>
      </w:r>
      <w:r w:rsidRPr="00610904">
        <w:rPr>
          <w:noProof w:val="0"/>
          <w:lang w:val="en-US"/>
        </w:rPr>
        <w:t>ts of the child cannot be used to protect discrimination against a child owing to her health status.</w:t>
      </w:r>
      <w:r w:rsidRPr="00610904">
        <w:rPr>
          <w:rStyle w:val="FootnoteReference"/>
          <w:noProof w:val="0"/>
          <w:lang w:val="en-US"/>
        </w:rPr>
        <w:footnoteReference w:id="319"/>
      </w:r>
    </w:p>
    <w:p w:rsidR="00C0500D" w:rsidRPr="00610904" w:rsidRDefault="00C0500D" w:rsidP="00610904">
      <w:pPr>
        <w:autoSpaceDE w:val="0"/>
        <w:autoSpaceDN w:val="0"/>
        <w:adjustRightInd w:val="0"/>
        <w:rPr>
          <w:noProof w:val="0"/>
          <w:lang w:val="en-US"/>
        </w:rPr>
      </w:pPr>
    </w:p>
    <w:p w:rsidR="00C0500D" w:rsidRPr="00610904" w:rsidRDefault="007C0734" w:rsidP="00610904">
      <w:pPr>
        <w:numPr>
          <w:ilvl w:val="0"/>
          <w:numId w:val="1"/>
        </w:numPr>
        <w:autoSpaceDE w:val="0"/>
        <w:autoSpaceDN w:val="0"/>
        <w:adjustRightInd w:val="0"/>
        <w:contextualSpacing/>
        <w:rPr>
          <w:noProof w:val="0"/>
          <w:lang w:val="en-US" w:eastAsia="es-ES"/>
        </w:rPr>
      </w:pPr>
      <w:r w:rsidRPr="00610904">
        <w:rPr>
          <w:noProof w:val="0"/>
          <w:lang w:val="en-US" w:eastAsia="es-ES"/>
        </w:rPr>
        <w:lastRenderedPageBreak/>
        <w:t>In this case</w:t>
      </w:r>
      <w:r w:rsidR="00C0500D" w:rsidRPr="00610904">
        <w:rPr>
          <w:noProof w:val="0"/>
          <w:lang w:val="en-US" w:eastAsia="es-ES"/>
        </w:rPr>
        <w:t xml:space="preserve">, </w:t>
      </w:r>
      <w:r w:rsidRPr="00610904">
        <w:rPr>
          <w:noProof w:val="0"/>
          <w:lang w:val="en-US" w:eastAsia="es-ES"/>
        </w:rPr>
        <w:t xml:space="preserve">a decision made based on unfounded and stereotypical presumptions concerning the possible risks related to HIV is not appropriate to ensure the legitimate objective of protecting the best interests of the child. The Court considers inadmissible considerations based on </w:t>
      </w:r>
      <w:r w:rsidR="00856968" w:rsidRPr="00610904">
        <w:rPr>
          <w:noProof w:val="0"/>
          <w:lang w:val="en-US" w:eastAsia="es-ES"/>
        </w:rPr>
        <w:t>stereotypes</w:t>
      </w:r>
      <w:r w:rsidRPr="00610904">
        <w:rPr>
          <w:noProof w:val="0"/>
          <w:lang w:val="en-US" w:eastAsia="es-ES"/>
        </w:rPr>
        <w:t xml:space="preserve"> owing to the health status of an individual; that is, preconceptions of attributes, conducts or characteristics of those living with a certain illness or the risk that this illness may have for others.</w:t>
      </w:r>
      <w:r w:rsidR="00C0500D" w:rsidRPr="00610904">
        <w:rPr>
          <w:rStyle w:val="FootnoteReference"/>
          <w:noProof w:val="0"/>
          <w:lang w:val="en-US"/>
        </w:rPr>
        <w:footnoteReference w:id="320"/>
      </w:r>
      <w:r w:rsidR="00C0500D" w:rsidRPr="00610904">
        <w:rPr>
          <w:noProof w:val="0"/>
          <w:lang w:val="en-US"/>
        </w:rPr>
        <w:t xml:space="preserve"> </w:t>
      </w:r>
      <w:r w:rsidRPr="00610904">
        <w:rPr>
          <w:noProof w:val="0"/>
          <w:lang w:val="en-US"/>
        </w:rPr>
        <w:t>In this case, the measure</w:t>
      </w:r>
      <w:r w:rsidR="00F52988" w:rsidRPr="00610904">
        <w:rPr>
          <w:noProof w:val="0"/>
          <w:lang w:val="en-US"/>
        </w:rPr>
        <w:t xml:space="preserve"> adopted was related to the prejudices and </w:t>
      </w:r>
      <w:r w:rsidRPr="00610904">
        <w:rPr>
          <w:noProof w:val="0"/>
          <w:lang w:val="en-US"/>
        </w:rPr>
        <w:t>stigma to which those living with HIV are subjected.</w:t>
      </w:r>
    </w:p>
    <w:p w:rsidR="00C0500D" w:rsidRPr="00610904" w:rsidRDefault="00C0500D" w:rsidP="00610904">
      <w:pPr>
        <w:rPr>
          <w:noProof w:val="0"/>
          <w:lang w:val="en-US"/>
        </w:rPr>
      </w:pPr>
    </w:p>
    <w:p w:rsidR="00C0500D" w:rsidRPr="00610904" w:rsidRDefault="007C0734" w:rsidP="00610904">
      <w:pPr>
        <w:numPr>
          <w:ilvl w:val="0"/>
          <w:numId w:val="1"/>
        </w:numPr>
        <w:contextualSpacing/>
        <w:rPr>
          <w:noProof w:val="0"/>
          <w:lang w:val="en-US"/>
        </w:rPr>
      </w:pPr>
      <w:r w:rsidRPr="00610904">
        <w:rPr>
          <w:noProof w:val="0"/>
          <w:lang w:val="en-US"/>
        </w:rPr>
        <w:t>The restriction of the</w:t>
      </w:r>
      <w:r w:rsidR="00C0500D" w:rsidRPr="00610904">
        <w:rPr>
          <w:noProof w:val="0"/>
          <w:lang w:val="en-US"/>
        </w:rPr>
        <w:t xml:space="preserve"> </w:t>
      </w:r>
      <w:r w:rsidR="007D72DC" w:rsidRPr="00610904">
        <w:rPr>
          <w:noProof w:val="0"/>
          <w:lang w:val="en-US"/>
        </w:rPr>
        <w:t>right to education</w:t>
      </w:r>
      <w:r w:rsidR="00C0500D" w:rsidRPr="00610904">
        <w:rPr>
          <w:noProof w:val="0"/>
          <w:lang w:val="en-US"/>
        </w:rPr>
        <w:t xml:space="preserve"> </w:t>
      </w:r>
      <w:r w:rsidRPr="00610904">
        <w:rPr>
          <w:noProof w:val="0"/>
          <w:lang w:val="en-US"/>
        </w:rPr>
        <w:t>was established on the basis of three reasons given in the decision of the</w:t>
      </w:r>
      <w:r w:rsidR="00C0500D" w:rsidRPr="00610904">
        <w:rPr>
          <w:noProof w:val="0"/>
          <w:lang w:val="en-US"/>
        </w:rPr>
        <w:t xml:space="preserve"> </w:t>
      </w:r>
      <w:r w:rsidR="00836BA0" w:rsidRPr="00610904">
        <w:rPr>
          <w:noProof w:val="0"/>
          <w:lang w:val="en-US"/>
        </w:rPr>
        <w:t>Third Contentious Court</w:t>
      </w:r>
      <w:r w:rsidR="0088750E" w:rsidRPr="00610904">
        <w:rPr>
          <w:noProof w:val="0"/>
          <w:lang w:val="en-US"/>
        </w:rPr>
        <w:t xml:space="preserve"> of Cuenca</w:t>
      </w:r>
      <w:r w:rsidR="00314F9B" w:rsidRPr="00610904">
        <w:rPr>
          <w:noProof w:val="0"/>
          <w:lang w:val="en-US"/>
        </w:rPr>
        <w:t xml:space="preserve">: </w:t>
      </w:r>
      <w:r w:rsidRPr="00610904">
        <w:rPr>
          <w:noProof w:val="0"/>
          <w:lang w:val="en-US"/>
        </w:rPr>
        <w:t>(</w:t>
      </w:r>
      <w:r w:rsidR="00314F9B" w:rsidRPr="00610904">
        <w:rPr>
          <w:noProof w:val="0"/>
          <w:lang w:val="en-US"/>
        </w:rPr>
        <w:t xml:space="preserve">1) </w:t>
      </w:r>
      <w:r w:rsidRPr="00610904">
        <w:rPr>
          <w:noProof w:val="0"/>
          <w:lang w:val="en-US"/>
        </w:rPr>
        <w:t>the diagnosis that Talía had HIV; (2) Talía’s hemorrhages as possible sources of infection, and (3) the conflict of interests between the li</w:t>
      </w:r>
      <w:r w:rsidR="00F52988" w:rsidRPr="00610904">
        <w:rPr>
          <w:noProof w:val="0"/>
          <w:lang w:val="en-US"/>
        </w:rPr>
        <w:t>f</w:t>
      </w:r>
      <w:r w:rsidRPr="00610904">
        <w:rPr>
          <w:noProof w:val="0"/>
          <w:lang w:val="en-US"/>
        </w:rPr>
        <w:t xml:space="preserve">e and integrity of Talía’s companions and the right to education of </w:t>
      </w:r>
      <w:r w:rsidR="00C0500D" w:rsidRPr="00610904">
        <w:rPr>
          <w:noProof w:val="0"/>
          <w:lang w:val="en-US"/>
        </w:rPr>
        <w:t>Talía.</w:t>
      </w:r>
    </w:p>
    <w:p w:rsidR="00C0500D" w:rsidRPr="00610904" w:rsidRDefault="00C0500D" w:rsidP="00610904">
      <w:pPr>
        <w:rPr>
          <w:noProof w:val="0"/>
          <w:lang w:val="en-US"/>
        </w:rPr>
      </w:pPr>
    </w:p>
    <w:p w:rsidR="00C0500D" w:rsidRPr="00610904" w:rsidRDefault="007C0734" w:rsidP="00610904">
      <w:pPr>
        <w:numPr>
          <w:ilvl w:val="0"/>
          <w:numId w:val="1"/>
        </w:numPr>
        <w:autoSpaceDE w:val="0"/>
        <w:autoSpaceDN w:val="0"/>
        <w:adjustRightInd w:val="0"/>
        <w:contextualSpacing/>
        <w:rPr>
          <w:iCs/>
          <w:noProof w:val="0"/>
          <w:lang w:val="en-US" w:eastAsia="es-PE"/>
        </w:rPr>
      </w:pPr>
      <w:bookmarkStart w:id="117" w:name="_Ref319669676"/>
      <w:r w:rsidRPr="00610904">
        <w:rPr>
          <w:noProof w:val="0"/>
          <w:lang w:val="en-US"/>
        </w:rPr>
        <w:t>In this regard, the Court emphasizes that the general objective of protecting</w:t>
      </w:r>
      <w:r w:rsidR="00C0500D" w:rsidRPr="00610904">
        <w:rPr>
          <w:noProof w:val="0"/>
          <w:lang w:val="en-US"/>
        </w:rPr>
        <w:t xml:space="preserve"> </w:t>
      </w:r>
      <w:r w:rsidRPr="00610904">
        <w:rPr>
          <w:noProof w:val="0"/>
          <w:lang w:val="en-US"/>
        </w:rPr>
        <w:t>the life and personal integrity</w:t>
      </w:r>
      <w:r w:rsidR="00C0500D" w:rsidRPr="00610904">
        <w:rPr>
          <w:noProof w:val="0"/>
          <w:lang w:val="en-US"/>
        </w:rPr>
        <w:t xml:space="preserve"> </w:t>
      </w:r>
      <w:r w:rsidRPr="00610904">
        <w:rPr>
          <w:noProof w:val="0"/>
          <w:lang w:val="en-US"/>
        </w:rPr>
        <w:t>of the children who attended school with</w:t>
      </w:r>
      <w:r w:rsidR="00C0500D" w:rsidRPr="00610904">
        <w:rPr>
          <w:noProof w:val="0"/>
          <w:lang w:val="en-US"/>
        </w:rPr>
        <w:t xml:space="preserve"> Talía </w:t>
      </w:r>
      <w:r w:rsidRPr="00610904">
        <w:rPr>
          <w:noProof w:val="0"/>
          <w:lang w:val="en-US"/>
        </w:rPr>
        <w:t>was a legitimate objective and was also essential. As regards the best interests of the child</w:t>
      </w:r>
      <w:r w:rsidR="00C0500D" w:rsidRPr="00610904">
        <w:rPr>
          <w:noProof w:val="0"/>
          <w:lang w:val="en-US"/>
        </w:rPr>
        <w:t xml:space="preserve">, </w:t>
      </w:r>
      <w:r w:rsidR="009F3D78" w:rsidRPr="00610904">
        <w:rPr>
          <w:noProof w:val="0"/>
          <w:lang w:val="en-US"/>
        </w:rPr>
        <w:t>the Court</w:t>
      </w:r>
      <w:r w:rsidR="00C0500D" w:rsidRPr="00610904">
        <w:rPr>
          <w:noProof w:val="0"/>
          <w:lang w:val="en-US"/>
        </w:rPr>
        <w:t xml:space="preserve"> reitera</w:t>
      </w:r>
      <w:r w:rsidRPr="00610904">
        <w:rPr>
          <w:noProof w:val="0"/>
          <w:lang w:val="en-US"/>
        </w:rPr>
        <w:t>tes that this principle</w:t>
      </w:r>
      <w:r w:rsidR="00F52988" w:rsidRPr="00610904">
        <w:rPr>
          <w:noProof w:val="0"/>
          <w:lang w:val="en-US"/>
        </w:rPr>
        <w:t xml:space="preserve">, which </w:t>
      </w:r>
      <w:r w:rsidRPr="00610904">
        <w:rPr>
          <w:noProof w:val="0"/>
          <w:lang w:val="en-US"/>
        </w:rPr>
        <w:t>governs the norms on the rights of the child</w:t>
      </w:r>
      <w:r w:rsidR="00F52988" w:rsidRPr="00610904">
        <w:rPr>
          <w:noProof w:val="0"/>
          <w:lang w:val="en-US"/>
        </w:rPr>
        <w:t>,</w:t>
      </w:r>
      <w:r w:rsidRPr="00610904">
        <w:rPr>
          <w:noProof w:val="0"/>
          <w:lang w:val="en-US"/>
        </w:rPr>
        <w:t xml:space="preserve"> is based on the dignity of the human being, on the characteristics of children, and on the need to foster their development, taking full advantage of their potential.</w:t>
      </w:r>
      <w:bookmarkStart w:id="118" w:name="_Ref318188725"/>
      <w:r w:rsidR="00C0500D" w:rsidRPr="00610904">
        <w:rPr>
          <w:rStyle w:val="FootnoteReference"/>
          <w:noProof w:val="0"/>
          <w:lang w:val="en-US"/>
        </w:rPr>
        <w:footnoteReference w:id="321"/>
      </w:r>
      <w:bookmarkEnd w:id="118"/>
      <w:r w:rsidRPr="00610904">
        <w:rPr>
          <w:noProof w:val="0"/>
          <w:lang w:val="en-US"/>
        </w:rPr>
        <w:t xml:space="preserve"> Similarly, it should be noted that, in order to ensure, insofar as possible, that</w:t>
      </w:r>
      <w:r w:rsidR="00C0500D" w:rsidRPr="00610904">
        <w:rPr>
          <w:noProof w:val="0"/>
          <w:lang w:val="en-US"/>
        </w:rPr>
        <w:t xml:space="preserve"> </w:t>
      </w:r>
      <w:r w:rsidRPr="00610904">
        <w:rPr>
          <w:noProof w:val="0"/>
          <w:lang w:val="en-US"/>
        </w:rPr>
        <w:t>the best interests of the child prevail</w:t>
      </w:r>
      <w:r w:rsidR="00C0500D" w:rsidRPr="00610904">
        <w:rPr>
          <w:noProof w:val="0"/>
          <w:lang w:val="en-US"/>
        </w:rPr>
        <w:t xml:space="preserve">, </w:t>
      </w:r>
      <w:r w:rsidRPr="00610904">
        <w:rPr>
          <w:noProof w:val="0"/>
          <w:lang w:val="en-US"/>
        </w:rPr>
        <w:t xml:space="preserve">the preamble to </w:t>
      </w:r>
      <w:r w:rsidR="009F3D78" w:rsidRPr="00610904">
        <w:rPr>
          <w:noProof w:val="0"/>
          <w:lang w:val="en-US"/>
        </w:rPr>
        <w:t xml:space="preserve">the </w:t>
      </w:r>
      <w:r w:rsidR="00C33211" w:rsidRPr="00610904">
        <w:rPr>
          <w:noProof w:val="0"/>
          <w:lang w:val="en-US"/>
        </w:rPr>
        <w:t>Convention on the Rights of the Child</w:t>
      </w:r>
      <w:r w:rsidR="00C0500D" w:rsidRPr="00610904">
        <w:rPr>
          <w:noProof w:val="0"/>
          <w:lang w:val="en-US"/>
        </w:rPr>
        <w:t xml:space="preserve"> establ</w:t>
      </w:r>
      <w:r w:rsidRPr="00610904">
        <w:rPr>
          <w:noProof w:val="0"/>
          <w:lang w:val="en-US"/>
        </w:rPr>
        <w:t xml:space="preserve">ishes that children require </w:t>
      </w:r>
      <w:r w:rsidR="00C0500D" w:rsidRPr="00610904">
        <w:rPr>
          <w:noProof w:val="0"/>
          <w:lang w:val="en-US"/>
        </w:rPr>
        <w:t>“</w:t>
      </w:r>
      <w:r w:rsidRPr="00610904">
        <w:rPr>
          <w:noProof w:val="0"/>
          <w:lang w:val="en-US"/>
        </w:rPr>
        <w:t>special care,”</w:t>
      </w:r>
      <w:r w:rsidR="009F3D78" w:rsidRPr="00610904">
        <w:rPr>
          <w:noProof w:val="0"/>
          <w:lang w:val="en-US"/>
        </w:rPr>
        <w:t xml:space="preserve"> and Article</w:t>
      </w:r>
      <w:r w:rsidR="00C0500D" w:rsidRPr="00610904">
        <w:rPr>
          <w:noProof w:val="0"/>
          <w:lang w:val="en-US"/>
        </w:rPr>
        <w:t xml:space="preserve"> 19</w:t>
      </w:r>
      <w:r w:rsidR="009F3D78" w:rsidRPr="00610904">
        <w:rPr>
          <w:noProof w:val="0"/>
          <w:lang w:val="en-US"/>
        </w:rPr>
        <w:t xml:space="preserve"> of the American Convention</w:t>
      </w:r>
      <w:r w:rsidR="00C0500D" w:rsidRPr="00610904">
        <w:rPr>
          <w:noProof w:val="0"/>
          <w:lang w:val="en-US"/>
        </w:rPr>
        <w:t xml:space="preserve"> </w:t>
      </w:r>
      <w:r w:rsidRPr="00610904">
        <w:rPr>
          <w:noProof w:val="0"/>
          <w:lang w:val="en-US"/>
        </w:rPr>
        <w:t>indicates that every child should receive special “measures of protection.</w:t>
      </w:r>
      <w:r w:rsidR="00C0500D" w:rsidRPr="00610904">
        <w:rPr>
          <w:noProof w:val="0"/>
          <w:lang w:val="en-US"/>
        </w:rPr>
        <w:t>”</w:t>
      </w:r>
      <w:r w:rsidR="00C0500D" w:rsidRPr="00610904">
        <w:rPr>
          <w:rStyle w:val="FootnoteReference"/>
          <w:noProof w:val="0"/>
          <w:lang w:val="en-US"/>
        </w:rPr>
        <w:footnoteReference w:id="322"/>
      </w:r>
      <w:bookmarkEnd w:id="117"/>
    </w:p>
    <w:p w:rsidR="00C0500D" w:rsidRPr="00610904" w:rsidRDefault="00C0500D" w:rsidP="00610904">
      <w:pPr>
        <w:rPr>
          <w:noProof w:val="0"/>
          <w:lang w:val="en-US"/>
        </w:rPr>
      </w:pPr>
    </w:p>
    <w:p w:rsidR="007C0734" w:rsidRPr="00610904" w:rsidRDefault="009F3D78"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 xml:space="preserve">The </w:t>
      </w:r>
      <w:r w:rsidR="007C0734" w:rsidRPr="00610904">
        <w:rPr>
          <w:rFonts w:ascii="Verdana" w:hAnsi="Verdana"/>
          <w:noProof w:val="0"/>
          <w:sz w:val="20"/>
          <w:szCs w:val="20"/>
          <w:lang w:val="en-US"/>
        </w:rPr>
        <w:t>domestic c</w:t>
      </w:r>
      <w:r w:rsidRPr="00610904">
        <w:rPr>
          <w:rFonts w:ascii="Verdana" w:hAnsi="Verdana"/>
          <w:noProof w:val="0"/>
          <w:sz w:val="20"/>
          <w:szCs w:val="20"/>
          <w:lang w:val="en-US"/>
        </w:rPr>
        <w:t>ourt</w:t>
      </w:r>
      <w:r w:rsidR="00C0500D" w:rsidRPr="00610904">
        <w:rPr>
          <w:rFonts w:ascii="Verdana" w:hAnsi="Verdana"/>
          <w:noProof w:val="0"/>
          <w:sz w:val="20"/>
          <w:szCs w:val="20"/>
          <w:lang w:val="en-US"/>
        </w:rPr>
        <w:t xml:space="preserve"> </w:t>
      </w:r>
      <w:r w:rsidR="007C0734" w:rsidRPr="00610904">
        <w:rPr>
          <w:rFonts w:ascii="Verdana" w:hAnsi="Verdana"/>
          <w:noProof w:val="0"/>
          <w:sz w:val="20"/>
          <w:szCs w:val="20"/>
          <w:lang w:val="en-US"/>
        </w:rPr>
        <w:t xml:space="preserve">based its decision on a supposed conflict between rights – namely, </w:t>
      </w:r>
      <w:r w:rsidR="00215C41" w:rsidRPr="00610904">
        <w:rPr>
          <w:rFonts w:ascii="Verdana" w:hAnsi="Verdana"/>
          <w:noProof w:val="0"/>
          <w:sz w:val="20"/>
          <w:szCs w:val="20"/>
          <w:lang w:val="en-US"/>
        </w:rPr>
        <w:t>the right to life</w:t>
      </w:r>
      <w:r w:rsidR="00C0500D" w:rsidRPr="00610904">
        <w:rPr>
          <w:rFonts w:ascii="Verdana" w:hAnsi="Verdana"/>
          <w:noProof w:val="0"/>
          <w:sz w:val="20"/>
          <w:szCs w:val="20"/>
          <w:lang w:val="en-US"/>
        </w:rPr>
        <w:t xml:space="preserve"> </w:t>
      </w:r>
      <w:r w:rsidR="007C0734" w:rsidRPr="00610904">
        <w:rPr>
          <w:rFonts w:ascii="Verdana" w:hAnsi="Verdana"/>
          <w:noProof w:val="0"/>
          <w:sz w:val="20"/>
          <w:szCs w:val="20"/>
          <w:lang w:val="en-US"/>
        </w:rPr>
        <w:t xml:space="preserve">of the students </w:t>
      </w:r>
      <w:r w:rsidRPr="00610904">
        <w:rPr>
          <w:rFonts w:ascii="Verdana" w:hAnsi="Verdana"/>
          <w:noProof w:val="0"/>
          <w:sz w:val="20"/>
          <w:szCs w:val="20"/>
          <w:lang w:val="en-US"/>
        </w:rPr>
        <w:t xml:space="preserve">and </w:t>
      </w:r>
      <w:r w:rsidR="0013395A" w:rsidRPr="00610904">
        <w:rPr>
          <w:rFonts w:ascii="Verdana" w:hAnsi="Verdana"/>
          <w:noProof w:val="0"/>
          <w:sz w:val="20"/>
          <w:szCs w:val="20"/>
          <w:lang w:val="en-US"/>
        </w:rPr>
        <w:t>the right to education</w:t>
      </w:r>
      <w:r w:rsidR="007C0734" w:rsidRPr="00610904">
        <w:rPr>
          <w:rFonts w:ascii="Verdana" w:hAnsi="Verdana"/>
          <w:noProof w:val="0"/>
          <w:sz w:val="20"/>
          <w:szCs w:val="20"/>
          <w:lang w:val="en-US"/>
        </w:rPr>
        <w:t xml:space="preserve"> of</w:t>
      </w:r>
      <w:r w:rsidR="00C0500D" w:rsidRPr="00610904">
        <w:rPr>
          <w:rFonts w:ascii="Verdana" w:hAnsi="Verdana"/>
          <w:noProof w:val="0"/>
          <w:sz w:val="20"/>
          <w:szCs w:val="20"/>
          <w:lang w:val="en-US"/>
        </w:rPr>
        <w:t xml:space="preserve"> Talía</w:t>
      </w:r>
      <w:r w:rsidR="007C0734" w:rsidRPr="00610904">
        <w:rPr>
          <w:rFonts w:ascii="Verdana" w:hAnsi="Verdana"/>
          <w:noProof w:val="0"/>
          <w:sz w:val="20"/>
          <w:szCs w:val="20"/>
          <w:lang w:val="en-US"/>
        </w:rPr>
        <w:t xml:space="preserve"> – taking into consideration </w:t>
      </w:r>
      <w:proofErr w:type="gramStart"/>
      <w:r w:rsidR="007C0734" w:rsidRPr="00610904">
        <w:rPr>
          <w:rFonts w:ascii="Verdana" w:hAnsi="Verdana"/>
          <w:noProof w:val="0"/>
          <w:sz w:val="20"/>
          <w:szCs w:val="20"/>
          <w:lang w:val="en-US"/>
        </w:rPr>
        <w:t>Talía’s</w:t>
      </w:r>
      <w:proofErr w:type="gramEnd"/>
      <w:r w:rsidR="007C0734" w:rsidRPr="00610904">
        <w:rPr>
          <w:rFonts w:ascii="Verdana" w:hAnsi="Verdana"/>
          <w:noProof w:val="0"/>
          <w:sz w:val="20"/>
          <w:szCs w:val="20"/>
          <w:lang w:val="en-US"/>
        </w:rPr>
        <w:t xml:space="preserve"> alleged hemorrhages</w:t>
      </w:r>
      <w:r w:rsidR="00C0500D" w:rsidRPr="00610904">
        <w:rPr>
          <w:rFonts w:ascii="Verdana" w:hAnsi="Verdana"/>
          <w:noProof w:val="0"/>
          <w:sz w:val="20"/>
          <w:szCs w:val="20"/>
          <w:lang w:val="en-US"/>
        </w:rPr>
        <w:t xml:space="preserve">. </w:t>
      </w:r>
      <w:r w:rsidR="007C0734" w:rsidRPr="00610904">
        <w:rPr>
          <w:rFonts w:ascii="Verdana" w:hAnsi="Verdana"/>
          <w:noProof w:val="0"/>
          <w:sz w:val="20"/>
          <w:szCs w:val="20"/>
          <w:lang w:val="en-US"/>
        </w:rPr>
        <w:t>However, the determination of the risk and, on this basis, deciding that the right to life and integrity of the students was the right that should prevail, was an erroneous decision based on presump</w:t>
      </w:r>
      <w:r w:rsidR="00F52988" w:rsidRPr="00610904">
        <w:rPr>
          <w:rFonts w:ascii="Verdana" w:hAnsi="Verdana"/>
          <w:noProof w:val="0"/>
          <w:sz w:val="20"/>
          <w:szCs w:val="20"/>
          <w:lang w:val="en-US"/>
        </w:rPr>
        <w:t>tions about the implications</w:t>
      </w:r>
      <w:r w:rsidR="007C0734" w:rsidRPr="00610904">
        <w:rPr>
          <w:rFonts w:ascii="Verdana" w:hAnsi="Verdana"/>
          <w:noProof w:val="0"/>
          <w:sz w:val="20"/>
          <w:szCs w:val="20"/>
          <w:lang w:val="en-US"/>
        </w:rPr>
        <w:t xml:space="preserve"> of Talía’s hematological ailment, its symptoms, and its possibility of infecting the other children with the HIV virus.</w:t>
      </w:r>
    </w:p>
    <w:p w:rsidR="00C0500D" w:rsidRPr="00610904" w:rsidRDefault="00C0500D" w:rsidP="00610904">
      <w:pPr>
        <w:pStyle w:val="PlainText"/>
        <w:jc w:val="both"/>
        <w:rPr>
          <w:rFonts w:ascii="Verdana" w:hAnsi="Verdana"/>
          <w:noProof w:val="0"/>
          <w:sz w:val="20"/>
          <w:szCs w:val="20"/>
          <w:lang w:val="en-US"/>
        </w:rPr>
      </w:pPr>
    </w:p>
    <w:p w:rsidR="00C0500D" w:rsidRPr="00610904" w:rsidRDefault="009F3D78" w:rsidP="00610904">
      <w:pPr>
        <w:numPr>
          <w:ilvl w:val="0"/>
          <w:numId w:val="1"/>
        </w:numPr>
        <w:contextualSpacing/>
        <w:rPr>
          <w:noProof w:val="0"/>
          <w:lang w:val="en-US"/>
        </w:rPr>
      </w:pPr>
      <w:r w:rsidRPr="00610904">
        <w:rPr>
          <w:noProof w:val="0"/>
          <w:lang w:val="en-US"/>
        </w:rPr>
        <w:t>The Court</w:t>
      </w:r>
      <w:r w:rsidR="00C0500D" w:rsidRPr="00610904">
        <w:rPr>
          <w:noProof w:val="0"/>
          <w:lang w:val="en-US"/>
        </w:rPr>
        <w:t xml:space="preserve"> consider</w:t>
      </w:r>
      <w:r w:rsidR="007C0734" w:rsidRPr="00610904">
        <w:rPr>
          <w:noProof w:val="0"/>
          <w:lang w:val="en-US"/>
        </w:rPr>
        <w:t xml:space="preserve">s that </w:t>
      </w:r>
      <w:r w:rsidR="00F52988" w:rsidRPr="00610904">
        <w:rPr>
          <w:noProof w:val="0"/>
          <w:lang w:val="en-US"/>
        </w:rPr>
        <w:t xml:space="preserve">when the evidence in the case was assessed </w:t>
      </w:r>
      <w:r w:rsidR="007C0734" w:rsidRPr="00610904">
        <w:rPr>
          <w:noProof w:val="0"/>
          <w:lang w:val="en-US"/>
        </w:rPr>
        <w:t>in order to establish the imminence of the supposed risk</w:t>
      </w:r>
      <w:r w:rsidR="00F52988" w:rsidRPr="00610904">
        <w:rPr>
          <w:noProof w:val="0"/>
          <w:lang w:val="en-US"/>
        </w:rPr>
        <w:t>,</w:t>
      </w:r>
      <w:r w:rsidR="007C0734" w:rsidRPr="00610904">
        <w:rPr>
          <w:noProof w:val="0"/>
          <w:lang w:val="en-US"/>
        </w:rPr>
        <w:t xml:space="preserve"> the medical e</w:t>
      </w:r>
      <w:r w:rsidR="00F52988" w:rsidRPr="00610904">
        <w:rPr>
          <w:noProof w:val="0"/>
          <w:lang w:val="en-US"/>
        </w:rPr>
        <w:t xml:space="preserve">vidence </w:t>
      </w:r>
      <w:r w:rsidR="007C0734" w:rsidRPr="00610904">
        <w:rPr>
          <w:noProof w:val="0"/>
          <w:lang w:val="en-US"/>
        </w:rPr>
        <w:t>provided</w:t>
      </w:r>
      <w:r w:rsidR="00F52988" w:rsidRPr="00610904">
        <w:rPr>
          <w:noProof w:val="0"/>
          <w:lang w:val="en-US"/>
        </w:rPr>
        <w:t xml:space="preserve"> was not taken into account</w:t>
      </w:r>
      <w:r w:rsidR="007C0734" w:rsidRPr="00610904">
        <w:rPr>
          <w:noProof w:val="0"/>
          <w:lang w:val="en-US"/>
        </w:rPr>
        <w:t>, and preference</w:t>
      </w:r>
      <w:r w:rsidR="00F52988" w:rsidRPr="00610904">
        <w:rPr>
          <w:noProof w:val="0"/>
          <w:lang w:val="en-US"/>
        </w:rPr>
        <w:t xml:space="preserve"> was accorded</w:t>
      </w:r>
      <w:r w:rsidR="007C0734" w:rsidRPr="00610904">
        <w:rPr>
          <w:noProof w:val="0"/>
          <w:lang w:val="en-US"/>
        </w:rPr>
        <w:t xml:space="preserve">, based on prejudices concerning the illness, </w:t>
      </w:r>
      <w:r w:rsidR="00F52988" w:rsidRPr="00610904">
        <w:rPr>
          <w:noProof w:val="0"/>
          <w:lang w:val="en-US"/>
        </w:rPr>
        <w:t xml:space="preserve">to </w:t>
      </w:r>
      <w:r w:rsidR="007C0734" w:rsidRPr="00610904">
        <w:rPr>
          <w:noProof w:val="0"/>
          <w:lang w:val="en-US"/>
        </w:rPr>
        <w:t>the general testimony on the hemorrhages. Indeed, the Court observes that there was a doctor’s report that gave assurances that Talía’s hematological conditions were good.</w:t>
      </w:r>
      <w:r w:rsidR="00C0500D" w:rsidRPr="00610904">
        <w:rPr>
          <w:rStyle w:val="FootnoteReference"/>
          <w:noProof w:val="0"/>
          <w:lang w:val="en-US"/>
        </w:rPr>
        <w:footnoteReference w:id="323"/>
      </w:r>
      <w:r w:rsidR="00F52988" w:rsidRPr="00610904">
        <w:rPr>
          <w:noProof w:val="0"/>
          <w:lang w:val="en-US"/>
        </w:rPr>
        <w:t xml:space="preserve"> In addition, the school was</w:t>
      </w:r>
      <w:r w:rsidR="007C0734" w:rsidRPr="00610904">
        <w:rPr>
          <w:noProof w:val="0"/>
          <w:lang w:val="en-US"/>
        </w:rPr>
        <w:t xml:space="preserve"> aware of the diagnosis of</w:t>
      </w:r>
      <w:r w:rsidR="0050058C" w:rsidRPr="00610904">
        <w:rPr>
          <w:noProof w:val="0"/>
          <w:lang w:val="en-US"/>
        </w:rPr>
        <w:t xml:space="preserve"> </w:t>
      </w:r>
      <w:r w:rsidR="00B22AB5" w:rsidRPr="00610904">
        <w:rPr>
          <w:noProof w:val="0"/>
          <w:lang w:val="en-US"/>
        </w:rPr>
        <w:t>idiopathic thrombocytopenic purpura</w:t>
      </w:r>
      <w:r w:rsidR="00C0500D" w:rsidRPr="00610904">
        <w:rPr>
          <w:noProof w:val="0"/>
          <w:lang w:val="en-US"/>
        </w:rPr>
        <w:t xml:space="preserve"> </w:t>
      </w:r>
      <w:r w:rsidR="007C0734" w:rsidRPr="00610904">
        <w:rPr>
          <w:noProof w:val="0"/>
          <w:lang w:val="en-US"/>
        </w:rPr>
        <w:t xml:space="preserve">following an </w:t>
      </w:r>
      <w:r w:rsidR="007C0734" w:rsidRPr="00610904">
        <w:rPr>
          <w:noProof w:val="0"/>
          <w:lang w:val="en-US"/>
        </w:rPr>
        <w:lastRenderedPageBreak/>
        <w:t xml:space="preserve">interview with </w:t>
      </w:r>
      <w:r w:rsidR="00C0500D" w:rsidRPr="00610904">
        <w:rPr>
          <w:noProof w:val="0"/>
          <w:lang w:val="en-US"/>
        </w:rPr>
        <w:t>Teresa Lluy</w:t>
      </w:r>
      <w:r w:rsidR="00F52988" w:rsidRPr="00610904">
        <w:rPr>
          <w:noProof w:val="0"/>
          <w:lang w:val="en-US"/>
        </w:rPr>
        <w:t>,</w:t>
      </w:r>
      <w:r w:rsidR="00C0500D" w:rsidRPr="00610904">
        <w:rPr>
          <w:rStyle w:val="FootnoteReference"/>
          <w:noProof w:val="0"/>
          <w:lang w:val="en-US"/>
        </w:rPr>
        <w:footnoteReference w:id="324"/>
      </w:r>
      <w:r w:rsidR="00F52988" w:rsidRPr="00610904">
        <w:rPr>
          <w:noProof w:val="0"/>
          <w:lang w:val="en-US"/>
        </w:rPr>
        <w:t xml:space="preserve"> when she</w:t>
      </w:r>
      <w:r w:rsidR="007C0734" w:rsidRPr="00610904">
        <w:rPr>
          <w:noProof w:val="0"/>
          <w:lang w:val="en-US"/>
        </w:rPr>
        <w:t xml:space="preserve"> explained that</w:t>
      </w:r>
      <w:r w:rsidR="00C0500D" w:rsidRPr="00610904">
        <w:rPr>
          <w:noProof w:val="0"/>
          <w:lang w:val="en-US"/>
        </w:rPr>
        <w:t xml:space="preserve"> Talía </w:t>
      </w:r>
      <w:r w:rsidR="007C0734" w:rsidRPr="00610904">
        <w:rPr>
          <w:noProof w:val="0"/>
          <w:lang w:val="en-US"/>
        </w:rPr>
        <w:t xml:space="preserve">suffered from </w:t>
      </w:r>
      <w:r w:rsidR="00A8072E" w:rsidRPr="00610904">
        <w:rPr>
          <w:noProof w:val="0"/>
          <w:lang w:val="en-US"/>
        </w:rPr>
        <w:t>HIV</w:t>
      </w:r>
      <w:r w:rsidR="007C0734" w:rsidRPr="00610904">
        <w:rPr>
          <w:noProof w:val="0"/>
          <w:lang w:val="en-US"/>
        </w:rPr>
        <w:t>, although at that time she was asymptomatic.</w:t>
      </w:r>
      <w:r w:rsidR="00C0500D" w:rsidRPr="00610904">
        <w:rPr>
          <w:rStyle w:val="FootnoteReference"/>
          <w:noProof w:val="0"/>
          <w:lang w:val="en-US"/>
        </w:rPr>
        <w:footnoteReference w:id="325"/>
      </w:r>
    </w:p>
    <w:p w:rsidR="00C0500D" w:rsidRPr="00610904" w:rsidRDefault="00C0500D" w:rsidP="00610904">
      <w:pPr>
        <w:pStyle w:val="PlainText"/>
        <w:rPr>
          <w:rFonts w:ascii="Verdana" w:hAnsi="Verdana"/>
          <w:noProof w:val="0"/>
          <w:szCs w:val="20"/>
          <w:lang w:val="en-US"/>
        </w:rPr>
      </w:pPr>
    </w:p>
    <w:p w:rsidR="00C0500D" w:rsidRPr="00610904" w:rsidRDefault="007C0734"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In this regard, the decision of the domestic judge does not reveal a strict assessment of the need for the measure, inasmuch as he did not determine whether there were measures other than withdrawing her from the school and confining her to “individualized distance education.” The argume</w:t>
      </w:r>
      <w:r w:rsidR="00F52988" w:rsidRPr="00610904">
        <w:rPr>
          <w:rFonts w:ascii="Verdana" w:hAnsi="Verdana"/>
          <w:noProof w:val="0"/>
          <w:sz w:val="20"/>
          <w:szCs w:val="20"/>
          <w:lang w:val="en-US"/>
        </w:rPr>
        <w:t>nts on the evidence provided were</w:t>
      </w:r>
      <w:r w:rsidRPr="00610904">
        <w:rPr>
          <w:rFonts w:ascii="Verdana" w:hAnsi="Verdana"/>
          <w:noProof w:val="0"/>
          <w:sz w:val="20"/>
          <w:szCs w:val="20"/>
          <w:lang w:val="en-US"/>
        </w:rPr>
        <w:t xml:space="preserve"> based on prejudices concerning the danger that HIV or </w:t>
      </w:r>
      <w:r w:rsidR="00B22AB5" w:rsidRPr="00610904">
        <w:rPr>
          <w:rFonts w:ascii="Verdana" w:hAnsi="Verdana"/>
          <w:noProof w:val="0"/>
          <w:sz w:val="20"/>
          <w:szCs w:val="20"/>
          <w:lang w:val="en-US"/>
        </w:rPr>
        <w:t>idiopathic thrombocytopenic purpura</w:t>
      </w:r>
      <w:r w:rsidR="00F52988" w:rsidRPr="00610904">
        <w:rPr>
          <w:rFonts w:ascii="Verdana" w:hAnsi="Verdana"/>
          <w:noProof w:val="0"/>
          <w:sz w:val="20"/>
          <w:szCs w:val="20"/>
          <w:lang w:val="en-US"/>
        </w:rPr>
        <w:t xml:space="preserve"> might entail, but this was</w:t>
      </w:r>
      <w:r w:rsidRPr="00610904">
        <w:rPr>
          <w:rFonts w:ascii="Verdana" w:hAnsi="Verdana"/>
          <w:noProof w:val="0"/>
          <w:sz w:val="20"/>
          <w:szCs w:val="20"/>
          <w:lang w:val="en-US"/>
        </w:rPr>
        <w:t xml:space="preserve"> not </w:t>
      </w:r>
      <w:r w:rsidR="00F52988" w:rsidRPr="00610904">
        <w:rPr>
          <w:rFonts w:ascii="Verdana" w:hAnsi="Verdana"/>
          <w:noProof w:val="0"/>
          <w:sz w:val="20"/>
          <w:szCs w:val="20"/>
          <w:lang w:val="en-US"/>
        </w:rPr>
        <w:t>apparent from</w:t>
      </w:r>
      <w:r w:rsidRPr="00610904">
        <w:rPr>
          <w:rFonts w:ascii="Verdana" w:hAnsi="Verdana"/>
          <w:noProof w:val="0"/>
          <w:sz w:val="20"/>
          <w:szCs w:val="20"/>
          <w:lang w:val="en-US"/>
        </w:rPr>
        <w:t xml:space="preserve"> any of the evidence provided to the proceeding</w:t>
      </w:r>
      <w:r w:rsidR="00F52988" w:rsidRPr="00610904">
        <w:rPr>
          <w:rFonts w:ascii="Verdana" w:hAnsi="Verdana"/>
          <w:noProof w:val="0"/>
          <w:sz w:val="20"/>
          <w:szCs w:val="20"/>
          <w:lang w:val="en-US"/>
        </w:rPr>
        <w:t>s</w:t>
      </w:r>
      <w:r w:rsidRPr="00610904">
        <w:rPr>
          <w:rFonts w:ascii="Verdana" w:hAnsi="Verdana"/>
          <w:noProof w:val="0"/>
          <w:sz w:val="20"/>
          <w:szCs w:val="20"/>
          <w:lang w:val="en-US"/>
        </w:rPr>
        <w:t xml:space="preserve">, and that the domestic court found reliable when establishing that the </w:t>
      </w:r>
      <w:r w:rsidR="00F52988" w:rsidRPr="00610904">
        <w:rPr>
          <w:rFonts w:ascii="Verdana" w:hAnsi="Verdana"/>
          <w:noProof w:val="0"/>
          <w:sz w:val="20"/>
          <w:szCs w:val="20"/>
          <w:lang w:val="en-US"/>
        </w:rPr>
        <w:t>testimony concerning</w:t>
      </w:r>
      <w:r w:rsidRPr="00610904">
        <w:rPr>
          <w:rFonts w:ascii="Verdana" w:hAnsi="Verdana"/>
          <w:noProof w:val="0"/>
          <w:sz w:val="20"/>
          <w:szCs w:val="20"/>
          <w:lang w:val="en-US"/>
        </w:rPr>
        <w:t xml:space="preserve"> the evidence had “not [been] contested or denounced as false.</w:t>
      </w:r>
      <w:r w:rsidR="00C0500D" w:rsidRPr="00610904">
        <w:rPr>
          <w:rFonts w:ascii="Verdana" w:hAnsi="Verdana"/>
          <w:noProof w:val="0"/>
          <w:sz w:val="20"/>
          <w:szCs w:val="20"/>
          <w:lang w:val="en-US"/>
        </w:rPr>
        <w:t>”</w:t>
      </w:r>
      <w:r w:rsidR="00C0500D" w:rsidRPr="00610904">
        <w:rPr>
          <w:rStyle w:val="FootnoteReference"/>
          <w:rFonts w:ascii="Verdana" w:hAnsi="Verdana"/>
          <w:noProof w:val="0"/>
          <w:sz w:val="20"/>
          <w:lang w:val="en-US"/>
        </w:rPr>
        <w:footnoteReference w:id="326"/>
      </w:r>
      <w:r w:rsidRPr="00610904">
        <w:rPr>
          <w:rFonts w:ascii="Verdana" w:hAnsi="Verdana"/>
          <w:noProof w:val="0"/>
          <w:sz w:val="20"/>
          <w:szCs w:val="20"/>
          <w:lang w:val="en-US"/>
        </w:rPr>
        <w:t xml:space="preserve"> This consideration did not take into account the </w:t>
      </w:r>
      <w:r w:rsidRPr="00610904">
        <w:rPr>
          <w:rFonts w:ascii="Verdana" w:hAnsi="Verdana"/>
          <w:bCs/>
          <w:noProof w:val="0"/>
          <w:sz w:val="20"/>
          <w:szCs w:val="20"/>
          <w:lang w:val="en-US"/>
        </w:rPr>
        <w:t>infinitesimal percentage</w:t>
      </w:r>
      <w:r w:rsidRPr="00610904">
        <w:rPr>
          <w:b/>
          <w:bCs/>
          <w:noProof w:val="0"/>
          <w:lang w:val="en-US"/>
        </w:rPr>
        <w:t xml:space="preserve"> </w:t>
      </w:r>
      <w:r w:rsidRPr="00610904">
        <w:rPr>
          <w:rFonts w:ascii="Verdana" w:hAnsi="Verdana"/>
          <w:noProof w:val="0"/>
          <w:sz w:val="20"/>
          <w:szCs w:val="20"/>
          <w:lang w:val="en-US"/>
        </w:rPr>
        <w:t>of risk of infection mentioned by both the medical experts and the teacher who gave testimony during the proceeding.</w:t>
      </w:r>
    </w:p>
    <w:p w:rsidR="00C0500D" w:rsidRPr="00610904" w:rsidRDefault="00C0500D" w:rsidP="00610904">
      <w:pPr>
        <w:rPr>
          <w:noProof w:val="0"/>
          <w:lang w:val="en-US"/>
        </w:rPr>
      </w:pPr>
    </w:p>
    <w:p w:rsidR="007C0734" w:rsidRPr="00610904" w:rsidRDefault="007C0734" w:rsidP="00610904">
      <w:pPr>
        <w:numPr>
          <w:ilvl w:val="0"/>
          <w:numId w:val="1"/>
        </w:numPr>
        <w:contextualSpacing/>
        <w:rPr>
          <w:noProof w:val="0"/>
          <w:lang w:val="en-US"/>
        </w:rPr>
      </w:pPr>
      <w:r w:rsidRPr="00610904">
        <w:rPr>
          <w:noProof w:val="0"/>
          <w:lang w:val="en-US"/>
        </w:rPr>
        <w:t xml:space="preserve">Considering that the criterion used to determine whether </w:t>
      </w:r>
      <w:r w:rsidR="00C0500D" w:rsidRPr="00610904">
        <w:rPr>
          <w:noProof w:val="0"/>
          <w:lang w:val="en-US"/>
        </w:rPr>
        <w:t>Talía</w:t>
      </w:r>
      <w:r w:rsidRPr="00610904">
        <w:rPr>
          <w:noProof w:val="0"/>
          <w:lang w:val="en-US"/>
        </w:rPr>
        <w:t xml:space="preserve"> represented a risk to the health of the other students at the school was her health status, it is evident that the judge should hav</w:t>
      </w:r>
      <w:r w:rsidR="00F52988" w:rsidRPr="00610904">
        <w:rPr>
          <w:noProof w:val="0"/>
          <w:lang w:val="en-US"/>
        </w:rPr>
        <w:t xml:space="preserve">e provided weightier arguments </w:t>
      </w:r>
      <w:r w:rsidRPr="00610904">
        <w:rPr>
          <w:noProof w:val="0"/>
          <w:lang w:val="en-US"/>
        </w:rPr>
        <w:t xml:space="preserve">determining rational and objective reasons that </w:t>
      </w:r>
      <w:r w:rsidR="00F52988" w:rsidRPr="00610904">
        <w:rPr>
          <w:noProof w:val="0"/>
          <w:lang w:val="en-US"/>
        </w:rPr>
        <w:t>could</w:t>
      </w:r>
      <w:r w:rsidRPr="00610904">
        <w:rPr>
          <w:noProof w:val="0"/>
          <w:lang w:val="en-US"/>
        </w:rPr>
        <w:t xml:space="preserve"> lead to a restriction of Talía’s right to education. These reasons, supported by the evidence obtained, should have been based on medical criteria in view of the specialized nature of the analysis to establish the supposed danger or risk to the students at the school.</w:t>
      </w:r>
    </w:p>
    <w:p w:rsidR="00C0500D" w:rsidRPr="00610904" w:rsidRDefault="00C0500D" w:rsidP="00610904">
      <w:pPr>
        <w:rPr>
          <w:noProof w:val="0"/>
          <w:lang w:val="en-US"/>
        </w:rPr>
      </w:pPr>
    </w:p>
    <w:p w:rsidR="00C0500D" w:rsidRPr="00610904" w:rsidRDefault="007C0734"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The burden that Talía ha</w:t>
      </w:r>
      <w:r w:rsidR="00F52988" w:rsidRPr="00610904">
        <w:rPr>
          <w:rFonts w:ascii="Verdana" w:hAnsi="Verdana"/>
          <w:noProof w:val="0"/>
          <w:sz w:val="20"/>
          <w:szCs w:val="20"/>
          <w:lang w:val="en-US"/>
        </w:rPr>
        <w:t xml:space="preserve">d to </w:t>
      </w:r>
      <w:r w:rsidR="00856968" w:rsidRPr="00610904">
        <w:rPr>
          <w:rFonts w:ascii="Verdana" w:hAnsi="Verdana"/>
          <w:noProof w:val="0"/>
          <w:sz w:val="20"/>
          <w:szCs w:val="20"/>
          <w:lang w:val="en-US"/>
        </w:rPr>
        <w:t>assume</w:t>
      </w:r>
      <w:r w:rsidR="00F52988" w:rsidRPr="00610904">
        <w:rPr>
          <w:rFonts w:ascii="Verdana" w:hAnsi="Verdana"/>
          <w:noProof w:val="0"/>
          <w:sz w:val="20"/>
          <w:szCs w:val="20"/>
          <w:lang w:val="en-US"/>
        </w:rPr>
        <w:t xml:space="preserve"> a</w:t>
      </w:r>
      <w:r w:rsidRPr="00610904">
        <w:rPr>
          <w:rFonts w:ascii="Verdana" w:hAnsi="Verdana"/>
          <w:noProof w:val="0"/>
          <w:sz w:val="20"/>
          <w:szCs w:val="20"/>
          <w:lang w:val="en-US"/>
        </w:rPr>
        <w:t>s a</w:t>
      </w:r>
      <w:r w:rsidR="00F52988"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result of the stigma and stereotypes surrounding HIV accompanied her at different times. According to the testimony of the Lluy family and of Talía, which has not been contested by the State, they had to hide the HIV and the expulsion from the school in order to </w:t>
      </w:r>
      <w:r w:rsidR="00F52988" w:rsidRPr="00610904">
        <w:rPr>
          <w:rFonts w:ascii="Verdana" w:hAnsi="Verdana"/>
          <w:noProof w:val="0"/>
          <w:sz w:val="20"/>
          <w:szCs w:val="20"/>
          <w:lang w:val="en-US"/>
        </w:rPr>
        <w:t>register her</w:t>
      </w:r>
      <w:r w:rsidRPr="00610904">
        <w:rPr>
          <w:rFonts w:ascii="Verdana" w:hAnsi="Verdana"/>
          <w:noProof w:val="0"/>
          <w:sz w:val="20"/>
          <w:szCs w:val="20"/>
          <w:lang w:val="en-US"/>
        </w:rPr>
        <w:t xml:space="preserve"> in other establishments. Talía was enrolled in the</w:t>
      </w:r>
      <w:r w:rsidR="00926AF0" w:rsidRPr="00610904">
        <w:rPr>
          <w:rFonts w:ascii="Verdana" w:hAnsi="Verdana"/>
          <w:noProof w:val="0"/>
          <w:sz w:val="20"/>
          <w:szCs w:val="20"/>
          <w:lang w:val="en-US"/>
        </w:rPr>
        <w:t xml:space="preserve"> </w:t>
      </w:r>
      <w:r w:rsidR="00C0500D" w:rsidRPr="00610904">
        <w:rPr>
          <w:rFonts w:ascii="Verdana" w:hAnsi="Verdana"/>
          <w:noProof w:val="0"/>
          <w:sz w:val="20"/>
          <w:szCs w:val="20"/>
          <w:lang w:val="en-US"/>
        </w:rPr>
        <w:t>El Cebollar</w:t>
      </w:r>
      <w:r w:rsidRPr="00610904">
        <w:rPr>
          <w:rFonts w:ascii="Verdana" w:hAnsi="Verdana"/>
          <w:noProof w:val="0"/>
          <w:sz w:val="20"/>
          <w:szCs w:val="20"/>
          <w:lang w:val="en-US"/>
        </w:rPr>
        <w:t xml:space="preserve"> kindergarten,</w:t>
      </w:r>
      <w:r w:rsidR="00DB1D4F" w:rsidRPr="00610904">
        <w:rPr>
          <w:rFonts w:ascii="Verdana" w:hAnsi="Verdana"/>
          <w:noProof w:val="0"/>
          <w:sz w:val="20"/>
          <w:szCs w:val="20"/>
          <w:lang w:val="en-US"/>
        </w:rPr>
        <w:t xml:space="preserve"> </w:t>
      </w:r>
      <w:r w:rsidRPr="00610904">
        <w:rPr>
          <w:rFonts w:ascii="Verdana" w:hAnsi="Verdana"/>
          <w:noProof w:val="0"/>
          <w:sz w:val="20"/>
          <w:szCs w:val="20"/>
          <w:lang w:val="en-US"/>
        </w:rPr>
        <w:t>the</w:t>
      </w:r>
      <w:r w:rsidR="00C0500D" w:rsidRPr="00610904">
        <w:rPr>
          <w:rFonts w:ascii="Verdana" w:hAnsi="Verdana"/>
          <w:noProof w:val="0"/>
          <w:sz w:val="20"/>
          <w:szCs w:val="20"/>
          <w:lang w:val="en-US"/>
        </w:rPr>
        <w:t xml:space="preserve"> Brumel</w:t>
      </w:r>
      <w:r w:rsidRPr="00610904">
        <w:rPr>
          <w:rFonts w:ascii="Verdana" w:hAnsi="Verdana"/>
          <w:noProof w:val="0"/>
          <w:sz w:val="20"/>
          <w:szCs w:val="20"/>
          <w:lang w:val="en-US"/>
        </w:rPr>
        <w:t xml:space="preserve"> School</w:t>
      </w:r>
      <w:r w:rsidR="00F52988" w:rsidRPr="00610904">
        <w:rPr>
          <w:rFonts w:ascii="Verdana" w:hAnsi="Verdana"/>
          <w:noProof w:val="0"/>
          <w:sz w:val="20"/>
          <w:szCs w:val="20"/>
          <w:lang w:val="en-US"/>
        </w:rPr>
        <w:t>,</w:t>
      </w:r>
      <w:r w:rsidRPr="00610904">
        <w:rPr>
          <w:rFonts w:ascii="Verdana" w:hAnsi="Verdana"/>
          <w:noProof w:val="0"/>
          <w:sz w:val="20"/>
          <w:szCs w:val="20"/>
          <w:lang w:val="en-US"/>
        </w:rPr>
        <w:t xml:space="preserve"> the </w:t>
      </w:r>
      <w:r w:rsidR="00C0500D" w:rsidRPr="00610904">
        <w:rPr>
          <w:rFonts w:ascii="Verdana" w:hAnsi="Verdana"/>
          <w:noProof w:val="0"/>
          <w:sz w:val="20"/>
          <w:szCs w:val="20"/>
          <w:lang w:val="en-US"/>
        </w:rPr>
        <w:t>12 de Abril</w:t>
      </w:r>
      <w:r w:rsidR="009F3D78"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School </w:t>
      </w:r>
      <w:r w:rsidR="009F3D78" w:rsidRPr="00610904">
        <w:rPr>
          <w:rFonts w:ascii="Verdana" w:hAnsi="Verdana"/>
          <w:noProof w:val="0"/>
          <w:sz w:val="20"/>
          <w:szCs w:val="20"/>
          <w:lang w:val="en-US"/>
        </w:rPr>
        <w:t>and</w:t>
      </w:r>
      <w:r w:rsidRPr="00610904">
        <w:rPr>
          <w:rFonts w:ascii="Verdana" w:hAnsi="Verdana"/>
          <w:noProof w:val="0"/>
          <w:sz w:val="20"/>
          <w:szCs w:val="20"/>
          <w:lang w:val="en-US"/>
        </w:rPr>
        <w:t xml:space="preserve"> the</w:t>
      </w:r>
      <w:r w:rsidR="009F3D78" w:rsidRPr="00610904">
        <w:rPr>
          <w:rFonts w:ascii="Verdana" w:hAnsi="Verdana"/>
          <w:noProof w:val="0"/>
          <w:sz w:val="20"/>
          <w:szCs w:val="20"/>
          <w:lang w:val="en-US"/>
        </w:rPr>
        <w:t xml:space="preserve"> </w:t>
      </w:r>
      <w:r w:rsidR="00C0500D" w:rsidRPr="00610904">
        <w:rPr>
          <w:rFonts w:ascii="Verdana" w:hAnsi="Verdana"/>
          <w:noProof w:val="0"/>
          <w:sz w:val="20"/>
          <w:szCs w:val="20"/>
          <w:lang w:val="en-US"/>
        </w:rPr>
        <w:t>Ángel Polibio Chávez</w:t>
      </w:r>
      <w:r w:rsidRPr="00610904">
        <w:rPr>
          <w:rFonts w:ascii="Verdana" w:hAnsi="Verdana"/>
          <w:noProof w:val="0"/>
          <w:sz w:val="20"/>
          <w:szCs w:val="20"/>
          <w:lang w:val="en-US"/>
        </w:rPr>
        <w:t xml:space="preserve"> School</w:t>
      </w:r>
      <w:r w:rsidR="00C0500D"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According to </w:t>
      </w:r>
      <w:r w:rsidR="00C0500D" w:rsidRPr="00610904">
        <w:rPr>
          <w:rFonts w:ascii="Verdana" w:hAnsi="Verdana"/>
          <w:noProof w:val="0"/>
          <w:sz w:val="20"/>
          <w:szCs w:val="20"/>
          <w:lang w:val="en-US"/>
        </w:rPr>
        <w:t>Teresa Lluy</w:t>
      </w:r>
      <w:r w:rsidR="00F52988" w:rsidRPr="00610904">
        <w:rPr>
          <w:rFonts w:ascii="Verdana" w:hAnsi="Verdana"/>
          <w:noProof w:val="0"/>
          <w:sz w:val="20"/>
          <w:szCs w:val="20"/>
          <w:lang w:val="en-US"/>
        </w:rPr>
        <w:t xml:space="preserve">’s testimony, “each time </w:t>
      </w:r>
      <w:r w:rsidRPr="00610904">
        <w:rPr>
          <w:rFonts w:ascii="Verdana" w:hAnsi="Verdana"/>
          <w:noProof w:val="0"/>
          <w:sz w:val="20"/>
          <w:szCs w:val="20"/>
          <w:lang w:val="en-US"/>
        </w:rPr>
        <w:t xml:space="preserve">they found out who [they] were, [her] </w:t>
      </w:r>
      <w:r w:rsidR="00856968" w:rsidRPr="00610904">
        <w:rPr>
          <w:rFonts w:ascii="Verdana" w:hAnsi="Verdana"/>
          <w:noProof w:val="0"/>
          <w:sz w:val="20"/>
          <w:szCs w:val="20"/>
          <w:lang w:val="en-US"/>
        </w:rPr>
        <w:t>daughter</w:t>
      </w:r>
      <w:r w:rsidRPr="00610904">
        <w:rPr>
          <w:rFonts w:ascii="Verdana" w:hAnsi="Verdana"/>
          <w:noProof w:val="0"/>
          <w:sz w:val="20"/>
          <w:szCs w:val="20"/>
          <w:lang w:val="en-US"/>
        </w:rPr>
        <w:t xml:space="preserve"> was </w:t>
      </w:r>
      <w:r w:rsidR="00F52988" w:rsidRPr="00610904">
        <w:rPr>
          <w:rFonts w:ascii="Verdana" w:hAnsi="Verdana"/>
          <w:bCs/>
          <w:noProof w:val="0"/>
          <w:sz w:val="20"/>
          <w:szCs w:val="20"/>
          <w:lang w:val="en-US"/>
        </w:rPr>
        <w:t>ostraciz</w:t>
      </w:r>
      <w:r w:rsidRPr="00610904">
        <w:rPr>
          <w:rFonts w:ascii="Verdana" w:hAnsi="Verdana"/>
          <w:bCs/>
          <w:noProof w:val="0"/>
          <w:sz w:val="20"/>
          <w:szCs w:val="20"/>
          <w:lang w:val="en-US"/>
        </w:rPr>
        <w:t>ed in some educational establishments […] alleging that they could not accept a child with HIV, because it was a risk for all the other students. Both the teachers and the parents, discriminated against [them], isolated [them], and insulted [them].</w:t>
      </w:r>
      <w:r w:rsidR="00C0500D" w:rsidRPr="00610904">
        <w:rPr>
          <w:rFonts w:ascii="Verdana" w:hAnsi="Verdana"/>
          <w:noProof w:val="0"/>
          <w:sz w:val="20"/>
          <w:szCs w:val="20"/>
          <w:lang w:val="en-US"/>
        </w:rPr>
        <w:t>”</w:t>
      </w:r>
      <w:r w:rsidR="00F73E8A" w:rsidRPr="00610904">
        <w:rPr>
          <w:rStyle w:val="FootnoteReference"/>
          <w:rFonts w:ascii="Verdana" w:hAnsi="Verdana"/>
          <w:noProof w:val="0"/>
          <w:sz w:val="20"/>
          <w:lang w:val="en-US"/>
        </w:rPr>
        <w:footnoteReference w:id="327"/>
      </w:r>
    </w:p>
    <w:p w:rsidR="00C0500D" w:rsidRPr="00610904" w:rsidRDefault="00C0500D" w:rsidP="00610904">
      <w:pPr>
        <w:pStyle w:val="PlainText"/>
        <w:rPr>
          <w:rFonts w:ascii="Verdana" w:hAnsi="Verdana"/>
          <w:noProof w:val="0"/>
          <w:sz w:val="20"/>
          <w:szCs w:val="20"/>
          <w:lang w:val="en-US"/>
        </w:rPr>
      </w:pPr>
    </w:p>
    <w:p w:rsidR="003040F7" w:rsidRPr="00610904" w:rsidRDefault="009F3D78"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The Court</w:t>
      </w:r>
      <w:r w:rsidR="00C0500D" w:rsidRPr="00610904">
        <w:rPr>
          <w:rFonts w:ascii="Verdana" w:hAnsi="Verdana"/>
          <w:noProof w:val="0"/>
          <w:sz w:val="20"/>
          <w:szCs w:val="20"/>
          <w:lang w:val="en-US"/>
        </w:rPr>
        <w:t xml:space="preserve"> conclu</w:t>
      </w:r>
      <w:r w:rsidR="007C0734" w:rsidRPr="00610904">
        <w:rPr>
          <w:rFonts w:ascii="Verdana" w:hAnsi="Verdana"/>
          <w:noProof w:val="0"/>
          <w:sz w:val="20"/>
          <w:szCs w:val="20"/>
          <w:lang w:val="en-US"/>
        </w:rPr>
        <w:t xml:space="preserve">des that the real and significant risk of infection that would </w:t>
      </w:r>
      <w:r w:rsidR="00F52988" w:rsidRPr="00610904">
        <w:rPr>
          <w:rFonts w:ascii="Verdana" w:hAnsi="Verdana"/>
          <w:noProof w:val="0"/>
          <w:sz w:val="20"/>
          <w:szCs w:val="20"/>
          <w:lang w:val="en-US"/>
        </w:rPr>
        <w:t>have jeopardized</w:t>
      </w:r>
      <w:r w:rsidR="007C0734" w:rsidRPr="00610904">
        <w:rPr>
          <w:rFonts w:ascii="Verdana" w:hAnsi="Verdana"/>
          <w:noProof w:val="0"/>
          <w:sz w:val="20"/>
          <w:szCs w:val="20"/>
          <w:lang w:val="en-US"/>
        </w:rPr>
        <w:t xml:space="preserve"> the health of Talía’s companions was extremely small. In the context of an assessment of the need and strict proportionality</w:t>
      </w:r>
      <w:r w:rsidR="00F52988" w:rsidRPr="00610904">
        <w:rPr>
          <w:rFonts w:ascii="Verdana" w:hAnsi="Verdana"/>
          <w:noProof w:val="0"/>
          <w:sz w:val="20"/>
          <w:szCs w:val="20"/>
          <w:lang w:val="en-US"/>
        </w:rPr>
        <w:t xml:space="preserve"> of the measure</w:t>
      </w:r>
      <w:r w:rsidR="007C0734" w:rsidRPr="00610904">
        <w:rPr>
          <w:rFonts w:ascii="Verdana" w:hAnsi="Verdana"/>
          <w:noProof w:val="0"/>
          <w:sz w:val="20"/>
          <w:szCs w:val="20"/>
          <w:lang w:val="en-US"/>
        </w:rPr>
        <w:t>, the Court empha</w:t>
      </w:r>
      <w:r w:rsidR="00F52988" w:rsidRPr="00610904">
        <w:rPr>
          <w:rFonts w:ascii="Verdana" w:hAnsi="Verdana"/>
          <w:noProof w:val="0"/>
          <w:sz w:val="20"/>
          <w:szCs w:val="20"/>
          <w:lang w:val="en-US"/>
        </w:rPr>
        <w:t>s</w:t>
      </w:r>
      <w:r w:rsidR="007C0734" w:rsidRPr="00610904">
        <w:rPr>
          <w:rFonts w:ascii="Verdana" w:hAnsi="Verdana"/>
          <w:noProof w:val="0"/>
          <w:sz w:val="20"/>
          <w:szCs w:val="20"/>
          <w:lang w:val="en-US"/>
        </w:rPr>
        <w:t>izes that the means chosen constituted the most harmful and disproportionate of those av</w:t>
      </w:r>
      <w:r w:rsidR="00F52988" w:rsidRPr="00610904">
        <w:rPr>
          <w:rFonts w:ascii="Verdana" w:hAnsi="Verdana"/>
          <w:noProof w:val="0"/>
          <w:sz w:val="20"/>
          <w:szCs w:val="20"/>
          <w:lang w:val="en-US"/>
        </w:rPr>
        <w:t>a</w:t>
      </w:r>
      <w:r w:rsidR="007C0734" w:rsidRPr="00610904">
        <w:rPr>
          <w:rFonts w:ascii="Verdana" w:hAnsi="Verdana"/>
          <w:noProof w:val="0"/>
          <w:sz w:val="20"/>
          <w:szCs w:val="20"/>
          <w:lang w:val="en-US"/>
        </w:rPr>
        <w:t>ilable to meet the objective of protecting the integrity of the other children at the school. Although the judgment of the domestic court</w:t>
      </w:r>
      <w:r w:rsidR="00F52988" w:rsidRPr="00610904">
        <w:rPr>
          <w:rFonts w:ascii="Verdana" w:hAnsi="Verdana"/>
          <w:noProof w:val="0"/>
          <w:sz w:val="20"/>
          <w:szCs w:val="20"/>
          <w:lang w:val="en-US"/>
        </w:rPr>
        <w:t xml:space="preserve"> was</w:t>
      </w:r>
      <w:r w:rsidR="007C0734" w:rsidRPr="00610904">
        <w:rPr>
          <w:rFonts w:ascii="Verdana" w:hAnsi="Verdana"/>
          <w:noProof w:val="0"/>
          <w:sz w:val="20"/>
          <w:szCs w:val="20"/>
          <w:lang w:val="en-US"/>
        </w:rPr>
        <w:t xml:space="preserve"> intended to protect Talía’s classmates, the reasoning provided in the decision </w:t>
      </w:r>
      <w:r w:rsidR="00F52988" w:rsidRPr="00610904">
        <w:rPr>
          <w:rFonts w:ascii="Verdana" w:hAnsi="Verdana"/>
          <w:noProof w:val="0"/>
          <w:sz w:val="20"/>
          <w:szCs w:val="20"/>
          <w:lang w:val="en-US"/>
        </w:rPr>
        <w:t xml:space="preserve">did not prove that the decision </w:t>
      </w:r>
      <w:r w:rsidR="007C0734" w:rsidRPr="00610904">
        <w:rPr>
          <w:rFonts w:ascii="Verdana" w:hAnsi="Verdana"/>
          <w:noProof w:val="0"/>
          <w:sz w:val="20"/>
          <w:szCs w:val="20"/>
          <w:lang w:val="en-US"/>
        </w:rPr>
        <w:t xml:space="preserve">was appropriate to achieve this objective. Thus, the assessment by the domestic authority should have included sufficient evidence that the reasons </w:t>
      </w:r>
      <w:r w:rsidR="00F52988" w:rsidRPr="00610904">
        <w:rPr>
          <w:rFonts w:ascii="Verdana" w:hAnsi="Verdana"/>
          <w:noProof w:val="0"/>
          <w:sz w:val="20"/>
          <w:szCs w:val="20"/>
          <w:lang w:val="en-US"/>
        </w:rPr>
        <w:t>which</w:t>
      </w:r>
      <w:r w:rsidR="007C0734" w:rsidRPr="00610904">
        <w:rPr>
          <w:rFonts w:ascii="Verdana" w:hAnsi="Verdana"/>
          <w:noProof w:val="0"/>
          <w:sz w:val="20"/>
          <w:szCs w:val="20"/>
          <w:lang w:val="en-US"/>
        </w:rPr>
        <w:t xml:space="preserve"> justified the difference in treatment were not based on stereotypes and suppositions. In this case, the decision used abstract, stereotyped arguments to justify a decision that was extreme and unnecessary, so that the decision constituted discriminatory treatment against Talía. This </w:t>
      </w:r>
      <w:r w:rsidR="00F52988" w:rsidRPr="00610904">
        <w:rPr>
          <w:rFonts w:ascii="Verdana" w:hAnsi="Verdana"/>
          <w:noProof w:val="0"/>
          <w:sz w:val="20"/>
          <w:szCs w:val="20"/>
          <w:lang w:val="en-US"/>
        </w:rPr>
        <w:t xml:space="preserve">treatment also reveals that </w:t>
      </w:r>
      <w:r w:rsidR="007C0734" w:rsidRPr="00610904">
        <w:rPr>
          <w:rFonts w:ascii="Verdana" w:hAnsi="Verdana"/>
          <w:noProof w:val="0"/>
          <w:sz w:val="20"/>
          <w:szCs w:val="20"/>
          <w:lang w:val="en-US"/>
        </w:rPr>
        <w:t>the educational environment did not</w:t>
      </w:r>
      <w:r w:rsidR="00173F82" w:rsidRPr="00610904">
        <w:rPr>
          <w:rFonts w:ascii="Verdana" w:hAnsi="Verdana"/>
          <w:noProof w:val="0"/>
          <w:sz w:val="20"/>
          <w:szCs w:val="20"/>
          <w:lang w:val="en-US"/>
        </w:rPr>
        <w:t xml:space="preserve"> demonstrate any adaptability to Ta</w:t>
      </w:r>
      <w:r w:rsidR="00F52988" w:rsidRPr="00610904">
        <w:rPr>
          <w:rFonts w:ascii="Verdana" w:hAnsi="Verdana"/>
          <w:noProof w:val="0"/>
          <w:sz w:val="20"/>
          <w:szCs w:val="20"/>
          <w:lang w:val="en-US"/>
        </w:rPr>
        <w:t xml:space="preserve">lía’s situation by adopting the biosafety or similar </w:t>
      </w:r>
      <w:r w:rsidR="00173F82" w:rsidRPr="00610904">
        <w:rPr>
          <w:rFonts w:ascii="Verdana" w:hAnsi="Verdana"/>
          <w:noProof w:val="0"/>
          <w:sz w:val="20"/>
          <w:szCs w:val="20"/>
          <w:lang w:val="en-US"/>
        </w:rPr>
        <w:t>measures that should exist in any educational establishment for the general prevention of the transmission of illnesses</w:t>
      </w:r>
      <w:r w:rsidR="00C0500D" w:rsidRPr="00610904">
        <w:rPr>
          <w:rFonts w:ascii="Verdana" w:hAnsi="Verdana"/>
          <w:noProof w:val="0"/>
          <w:sz w:val="20"/>
          <w:szCs w:val="20"/>
          <w:lang w:val="en-US"/>
        </w:rPr>
        <w:t>.</w:t>
      </w:r>
      <w:r w:rsidR="003040F7" w:rsidRPr="00610904">
        <w:rPr>
          <w:rFonts w:ascii="Verdana" w:hAnsi="Verdana"/>
          <w:noProof w:val="0"/>
          <w:sz w:val="20"/>
          <w:szCs w:val="20"/>
          <w:lang w:val="en-US"/>
        </w:rPr>
        <w:t xml:space="preserve"> </w:t>
      </w:r>
    </w:p>
    <w:p w:rsidR="003040F7" w:rsidRPr="00610904" w:rsidRDefault="003040F7" w:rsidP="00610904">
      <w:pPr>
        <w:pStyle w:val="PlainText"/>
        <w:jc w:val="both"/>
        <w:rPr>
          <w:rFonts w:ascii="Verdana" w:hAnsi="Verdana"/>
          <w:noProof w:val="0"/>
          <w:sz w:val="20"/>
          <w:szCs w:val="20"/>
          <w:lang w:val="en-US"/>
        </w:rPr>
      </w:pPr>
    </w:p>
    <w:p w:rsidR="003040F7" w:rsidRPr="00610904" w:rsidRDefault="003040F7" w:rsidP="00610904">
      <w:pPr>
        <w:pStyle w:val="Heading3"/>
        <w:rPr>
          <w:noProof w:val="0"/>
          <w:lang w:val="en-US"/>
        </w:rPr>
      </w:pPr>
      <w:bookmarkStart w:id="119" w:name="_Toc443399108"/>
      <w:r w:rsidRPr="00610904">
        <w:rPr>
          <w:noProof w:val="0"/>
          <w:lang w:val="en-US"/>
        </w:rPr>
        <w:t xml:space="preserve">B.4. </w:t>
      </w:r>
      <w:r w:rsidR="00173F82" w:rsidRPr="00610904">
        <w:rPr>
          <w:noProof w:val="0"/>
          <w:lang w:val="en-US"/>
        </w:rPr>
        <w:t>Attitudinal barriers associated with the stigma suffered by Talía and her family following her expulsion from school</w:t>
      </w:r>
      <w:bookmarkEnd w:id="119"/>
    </w:p>
    <w:p w:rsidR="003040F7" w:rsidRPr="00610904" w:rsidRDefault="003040F7" w:rsidP="00610904">
      <w:pPr>
        <w:pStyle w:val="PlainText"/>
        <w:jc w:val="both"/>
        <w:rPr>
          <w:rFonts w:ascii="Verdana" w:hAnsi="Verdana"/>
          <w:noProof w:val="0"/>
          <w:sz w:val="20"/>
          <w:szCs w:val="20"/>
          <w:lang w:val="en-US"/>
        </w:rPr>
      </w:pPr>
    </w:p>
    <w:p w:rsidR="003040F7" w:rsidRPr="00610904" w:rsidRDefault="00173F82"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According to the</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United Nations</w:t>
      </w:r>
      <w:r w:rsidRPr="00610904">
        <w:rPr>
          <w:rFonts w:ascii="Verdana" w:hAnsi="Verdana"/>
          <w:noProof w:val="0"/>
          <w:sz w:val="20"/>
          <w:szCs w:val="20"/>
          <w:lang w:val="en-US"/>
        </w:rPr>
        <w:t xml:space="preserve">, discrimination resulting from being a person living with HIV “is not only wrong in itself but also creates and sustains conditions leading to societal vulnerability to infection by HIV, including lack of access to an enabling environment that will promote </w:t>
      </w:r>
      <w:r w:rsidR="00856968" w:rsidRPr="00610904">
        <w:rPr>
          <w:rFonts w:ascii="Verdana" w:hAnsi="Verdana"/>
          <w:noProof w:val="0"/>
          <w:sz w:val="20"/>
          <w:szCs w:val="20"/>
          <w:lang w:val="en-US"/>
        </w:rPr>
        <w:t>behavioral</w:t>
      </w:r>
      <w:r w:rsidRPr="00610904">
        <w:rPr>
          <w:rFonts w:ascii="Verdana" w:hAnsi="Verdana"/>
          <w:noProof w:val="0"/>
          <w:sz w:val="20"/>
          <w:szCs w:val="20"/>
          <w:lang w:val="en-US"/>
        </w:rPr>
        <w:t xml:space="preserve"> change and enable people to cope with HIV.”</w:t>
      </w:r>
      <w:r w:rsidR="003040F7" w:rsidRPr="00610904">
        <w:rPr>
          <w:rStyle w:val="FootnoteReference"/>
          <w:rFonts w:ascii="Verdana" w:hAnsi="Verdana"/>
          <w:noProof w:val="0"/>
          <w:sz w:val="20"/>
          <w:lang w:val="en-US"/>
        </w:rPr>
        <w:footnoteReference w:id="328"/>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On this point, the </w:t>
      </w:r>
      <w:r w:rsidR="004150B2" w:rsidRPr="00610904">
        <w:rPr>
          <w:rFonts w:ascii="Verdana" w:hAnsi="Verdana"/>
          <w:i/>
          <w:iCs/>
          <w:noProof w:val="0"/>
          <w:sz w:val="20"/>
          <w:szCs w:val="20"/>
          <w:lang w:val="en-US"/>
        </w:rPr>
        <w:t>Internatio</w:t>
      </w:r>
      <w:r w:rsidRPr="00610904">
        <w:rPr>
          <w:rFonts w:ascii="Verdana" w:hAnsi="Verdana"/>
          <w:i/>
          <w:iCs/>
          <w:noProof w:val="0"/>
          <w:sz w:val="20"/>
          <w:szCs w:val="20"/>
          <w:lang w:val="en-US"/>
        </w:rPr>
        <w:t xml:space="preserve">nal Guidelines on HIV/AIDS and </w:t>
      </w:r>
      <w:r w:rsidR="004150B2" w:rsidRPr="00610904">
        <w:rPr>
          <w:rFonts w:ascii="Verdana" w:hAnsi="Verdana"/>
          <w:i/>
          <w:iCs/>
          <w:noProof w:val="0"/>
          <w:sz w:val="20"/>
          <w:szCs w:val="20"/>
          <w:lang w:val="en-US"/>
        </w:rPr>
        <w:t>Human Rights</w:t>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of the</w:t>
      </w:r>
      <w:r w:rsidR="003040F7" w:rsidRPr="00610904">
        <w:rPr>
          <w:rFonts w:ascii="Verdana" w:hAnsi="Verdana"/>
          <w:noProof w:val="0"/>
          <w:sz w:val="20"/>
          <w:szCs w:val="20"/>
          <w:lang w:val="en-US"/>
        </w:rPr>
        <w:t xml:space="preserve"> </w:t>
      </w:r>
      <w:r w:rsidR="008357AC" w:rsidRPr="00610904">
        <w:rPr>
          <w:rFonts w:ascii="Verdana" w:hAnsi="Verdana"/>
          <w:noProof w:val="0"/>
          <w:sz w:val="20"/>
          <w:szCs w:val="20"/>
          <w:lang w:val="en-US"/>
        </w:rPr>
        <w:t>OHCHR</w:t>
      </w:r>
      <w:r w:rsidR="009F3D78" w:rsidRPr="00610904">
        <w:rPr>
          <w:rFonts w:ascii="Verdana" w:hAnsi="Verdana"/>
          <w:noProof w:val="0"/>
          <w:sz w:val="20"/>
          <w:szCs w:val="20"/>
          <w:lang w:val="en-US"/>
        </w:rPr>
        <w:t xml:space="preserve"> and </w:t>
      </w:r>
      <w:r w:rsidR="008357AC" w:rsidRPr="00610904">
        <w:rPr>
          <w:rFonts w:ascii="Verdana" w:hAnsi="Verdana"/>
          <w:noProof w:val="0"/>
          <w:sz w:val="20"/>
          <w:szCs w:val="20"/>
          <w:lang w:val="en-US"/>
        </w:rPr>
        <w:t>UNAIDS</w:t>
      </w:r>
      <w:r w:rsidRPr="00610904">
        <w:rPr>
          <w:rFonts w:ascii="Verdana" w:hAnsi="Verdana"/>
          <w:noProof w:val="0"/>
          <w:sz w:val="20"/>
          <w:szCs w:val="20"/>
          <w:lang w:val="en-US"/>
        </w:rPr>
        <w:t xml:space="preserve"> mention the promotion of a supportive and enabling environments for people living with</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HIV</w:t>
      </w:r>
      <w:r w:rsidRPr="00610904">
        <w:rPr>
          <w:rFonts w:ascii="Verdana" w:hAnsi="Verdana"/>
          <w:noProof w:val="0"/>
          <w:sz w:val="20"/>
          <w:szCs w:val="20"/>
          <w:lang w:val="en-US"/>
        </w:rPr>
        <w:t>.</w:t>
      </w:r>
      <w:r w:rsidR="003040F7" w:rsidRPr="00610904">
        <w:rPr>
          <w:rFonts w:ascii="Verdana" w:hAnsi="Verdana"/>
          <w:noProof w:val="0"/>
          <w:sz w:val="20"/>
          <w:szCs w:val="20"/>
          <w:vertAlign w:val="superscript"/>
          <w:lang w:val="en-US"/>
        </w:rPr>
        <w:footnoteReference w:id="329"/>
      </w:r>
      <w:r w:rsidR="003040F7" w:rsidRPr="00610904">
        <w:rPr>
          <w:rFonts w:ascii="Verdana" w:hAnsi="Verdana"/>
          <w:noProof w:val="0"/>
          <w:sz w:val="20"/>
          <w:szCs w:val="20"/>
          <w:lang w:val="en-US"/>
        </w:rPr>
        <w:t xml:space="preserve"> </w:t>
      </w:r>
    </w:p>
    <w:p w:rsidR="003040F7" w:rsidRPr="00610904" w:rsidRDefault="003040F7" w:rsidP="00610904">
      <w:pPr>
        <w:pStyle w:val="PlainText"/>
        <w:jc w:val="both"/>
        <w:rPr>
          <w:rFonts w:ascii="Verdana" w:hAnsi="Verdana"/>
          <w:noProof w:val="0"/>
          <w:sz w:val="20"/>
          <w:szCs w:val="20"/>
          <w:lang w:val="en-US"/>
        </w:rPr>
      </w:pPr>
    </w:p>
    <w:p w:rsidR="003040F7" w:rsidRPr="00610904" w:rsidRDefault="00173F82" w:rsidP="00610904">
      <w:pPr>
        <w:pStyle w:val="PlainText"/>
        <w:numPr>
          <w:ilvl w:val="0"/>
          <w:numId w:val="1"/>
        </w:numPr>
        <w:jc w:val="both"/>
        <w:rPr>
          <w:noProof w:val="0"/>
          <w:lang w:val="en-US"/>
        </w:rPr>
      </w:pPr>
      <w:r w:rsidRPr="00610904">
        <w:rPr>
          <w:rFonts w:ascii="Verdana" w:hAnsi="Verdana"/>
          <w:noProof w:val="0"/>
          <w:sz w:val="20"/>
          <w:szCs w:val="20"/>
          <w:lang w:val="en-US"/>
        </w:rPr>
        <w:t xml:space="preserve">In this case, the problems of </w:t>
      </w:r>
      <w:r w:rsidR="008872FD" w:rsidRPr="00610904">
        <w:rPr>
          <w:rFonts w:ascii="Verdana" w:hAnsi="Verdana"/>
          <w:noProof w:val="0"/>
          <w:sz w:val="20"/>
          <w:szCs w:val="20"/>
          <w:lang w:val="en-US"/>
        </w:rPr>
        <w:t xml:space="preserve">the </w:t>
      </w:r>
      <w:r w:rsidRPr="00610904">
        <w:rPr>
          <w:rFonts w:ascii="Verdana" w:hAnsi="Verdana"/>
          <w:noProof w:val="0"/>
          <w:sz w:val="20"/>
          <w:szCs w:val="20"/>
          <w:lang w:val="en-US"/>
        </w:rPr>
        <w:t xml:space="preserve">adaptability of the environment are revealed, among other matters, by the problems face by </w:t>
      </w:r>
      <w:r w:rsidR="00CD3738" w:rsidRPr="00610904">
        <w:rPr>
          <w:rFonts w:ascii="Verdana" w:hAnsi="Verdana"/>
          <w:noProof w:val="0"/>
          <w:sz w:val="20"/>
          <w:szCs w:val="20"/>
          <w:lang w:val="en-US"/>
        </w:rPr>
        <w:t>Talía</w:t>
      </w:r>
      <w:r w:rsidR="003040F7" w:rsidRPr="00610904">
        <w:rPr>
          <w:rFonts w:ascii="Verdana" w:hAnsi="Verdana"/>
          <w:noProof w:val="0"/>
          <w:sz w:val="20"/>
          <w:szCs w:val="20"/>
          <w:lang w:val="en-US"/>
        </w:rPr>
        <w:t xml:space="preserve"> </w:t>
      </w:r>
      <w:r w:rsidRPr="00610904">
        <w:rPr>
          <w:rFonts w:ascii="Verdana" w:hAnsi="Verdana"/>
          <w:noProof w:val="0"/>
          <w:sz w:val="20"/>
          <w:szCs w:val="20"/>
          <w:lang w:val="en-US"/>
        </w:rPr>
        <w:t xml:space="preserve">after </w:t>
      </w:r>
      <w:r w:rsidR="008872FD" w:rsidRPr="00610904">
        <w:rPr>
          <w:rFonts w:ascii="Verdana" w:hAnsi="Verdana"/>
          <w:noProof w:val="0"/>
          <w:sz w:val="20"/>
          <w:szCs w:val="20"/>
          <w:lang w:val="en-US"/>
        </w:rPr>
        <w:t>her expulsion</w:t>
      </w:r>
      <w:r w:rsidRPr="00610904">
        <w:rPr>
          <w:rFonts w:ascii="Verdana" w:hAnsi="Verdana"/>
          <w:noProof w:val="0"/>
          <w:sz w:val="20"/>
          <w:szCs w:val="20"/>
          <w:lang w:val="en-US"/>
        </w:rPr>
        <w:t xml:space="preserve"> from the </w:t>
      </w:r>
      <w:r w:rsidR="00535633" w:rsidRPr="00610904">
        <w:rPr>
          <w:rFonts w:ascii="Verdana" w:hAnsi="Verdana"/>
          <w:noProof w:val="0"/>
          <w:sz w:val="20"/>
          <w:szCs w:val="20"/>
          <w:lang w:val="en-US"/>
        </w:rPr>
        <w:t>Zoila Aurora Palacios</w:t>
      </w:r>
      <w:r w:rsidRPr="00610904">
        <w:rPr>
          <w:rFonts w:ascii="Verdana" w:hAnsi="Verdana"/>
          <w:noProof w:val="0"/>
          <w:sz w:val="20"/>
          <w:szCs w:val="20"/>
          <w:lang w:val="en-US"/>
        </w:rPr>
        <w:t xml:space="preserve"> School</w:t>
      </w:r>
      <w:r w:rsidR="003040F7" w:rsidRPr="00610904">
        <w:rPr>
          <w:rFonts w:ascii="Verdana" w:hAnsi="Verdana"/>
          <w:noProof w:val="0"/>
          <w:sz w:val="20"/>
          <w:szCs w:val="20"/>
          <w:lang w:val="en-US"/>
        </w:rPr>
        <w:t xml:space="preserve">. </w:t>
      </w:r>
      <w:r w:rsidRPr="00610904">
        <w:rPr>
          <w:rFonts w:ascii="Verdana" w:hAnsi="Verdana" w:cs="Arial"/>
          <w:noProof w:val="0"/>
          <w:sz w:val="20"/>
          <w:szCs w:val="20"/>
          <w:lang w:val="en-US"/>
        </w:rPr>
        <w:t>The</w:t>
      </w:r>
      <w:r w:rsidR="003040F7" w:rsidRPr="00610904">
        <w:rPr>
          <w:rFonts w:ascii="Verdana" w:hAnsi="Verdana" w:cs="Arial"/>
          <w:noProof w:val="0"/>
          <w:sz w:val="20"/>
          <w:szCs w:val="20"/>
          <w:lang w:val="en-US"/>
        </w:rPr>
        <w:t xml:space="preserve"> Lluy </w:t>
      </w:r>
      <w:r w:rsidRPr="00610904">
        <w:rPr>
          <w:rFonts w:ascii="Verdana" w:hAnsi="Verdana" w:cs="Arial"/>
          <w:noProof w:val="0"/>
          <w:sz w:val="20"/>
          <w:szCs w:val="20"/>
          <w:lang w:val="en-US"/>
        </w:rPr>
        <w:t>family had to look for schools</w:t>
      </w:r>
      <w:r w:rsidR="008872FD" w:rsidRPr="00610904">
        <w:rPr>
          <w:rFonts w:ascii="Verdana" w:hAnsi="Verdana" w:cs="Arial"/>
          <w:noProof w:val="0"/>
          <w:sz w:val="20"/>
          <w:szCs w:val="20"/>
          <w:lang w:val="en-US"/>
        </w:rPr>
        <w:t xml:space="preserve"> that were far away</w:t>
      </w:r>
      <w:r w:rsidRPr="00610904">
        <w:rPr>
          <w:rFonts w:ascii="Verdana" w:hAnsi="Verdana" w:cs="Arial"/>
          <w:noProof w:val="0"/>
          <w:sz w:val="20"/>
          <w:szCs w:val="20"/>
          <w:lang w:val="en-US"/>
        </w:rPr>
        <w:t xml:space="preserve"> to avoid the treatment that was harming Talía, who stated with regard to the time of her expulsion that she</w:t>
      </w:r>
      <w:r w:rsidR="003040F7" w:rsidRPr="00610904">
        <w:rPr>
          <w:rFonts w:ascii="Verdana" w:hAnsi="Verdana" w:cs="Arial"/>
          <w:noProof w:val="0"/>
          <w:sz w:val="20"/>
          <w:szCs w:val="20"/>
          <w:lang w:val="en-US"/>
        </w:rPr>
        <w:t>:</w:t>
      </w:r>
    </w:p>
    <w:p w:rsidR="003040F7" w:rsidRPr="00610904" w:rsidRDefault="003040F7" w:rsidP="00610904">
      <w:pPr>
        <w:pStyle w:val="PlainText"/>
        <w:jc w:val="both"/>
        <w:rPr>
          <w:noProof w:val="0"/>
          <w:lang w:val="en-US"/>
        </w:rPr>
      </w:pPr>
      <w:r w:rsidRPr="00610904">
        <w:rPr>
          <w:noProof w:val="0"/>
          <w:lang w:val="en-US"/>
        </w:rPr>
        <w:t xml:space="preserve"> </w:t>
      </w:r>
    </w:p>
    <w:p w:rsidR="00173F82" w:rsidRPr="00610904" w:rsidRDefault="003040F7" w:rsidP="00F62045">
      <w:pPr>
        <w:tabs>
          <w:tab w:val="right" w:leader="dot" w:pos="7797"/>
        </w:tabs>
        <w:ind w:left="567" w:right="475"/>
        <w:rPr>
          <w:noProof w:val="0"/>
          <w:sz w:val="16"/>
          <w:szCs w:val="20"/>
          <w:lang w:val="en-US"/>
        </w:rPr>
      </w:pPr>
      <w:r w:rsidRPr="00610904">
        <w:rPr>
          <w:noProof w:val="0"/>
          <w:sz w:val="16"/>
          <w:szCs w:val="20"/>
          <w:lang w:val="en-US"/>
        </w:rPr>
        <w:t>“</w:t>
      </w:r>
      <w:proofErr w:type="gramStart"/>
      <w:r w:rsidR="00173F82" w:rsidRPr="00610904">
        <w:rPr>
          <w:noProof w:val="0"/>
          <w:sz w:val="16"/>
          <w:szCs w:val="20"/>
          <w:lang w:val="en-US"/>
        </w:rPr>
        <w:t>had</w:t>
      </w:r>
      <w:proofErr w:type="gramEnd"/>
      <w:r w:rsidR="00173F82" w:rsidRPr="00610904">
        <w:rPr>
          <w:noProof w:val="0"/>
          <w:sz w:val="16"/>
          <w:szCs w:val="20"/>
          <w:lang w:val="en-US"/>
        </w:rPr>
        <w:t xml:space="preserve"> many friends, but after [her] illness, their parents did not let them play with [her]. They gave her dirty looks; they did not want to say hello to [her] or look at [her]. They moved away, as if they were afraid of [her]. [She] felt very lonely, and didn’t understand why.”</w:t>
      </w:r>
    </w:p>
    <w:p w:rsidR="003040F7" w:rsidRPr="00610904" w:rsidRDefault="003040F7" w:rsidP="00610904">
      <w:pPr>
        <w:pStyle w:val="MediumGrid1-Accent21"/>
        <w:ind w:left="0"/>
        <w:rPr>
          <w:rFonts w:cs="Arial"/>
          <w:noProof w:val="0"/>
          <w:szCs w:val="20"/>
          <w:lang w:val="en-US"/>
        </w:rPr>
      </w:pPr>
    </w:p>
    <w:p w:rsidR="003040F7" w:rsidRPr="00610904" w:rsidRDefault="003040F7" w:rsidP="00610904">
      <w:pPr>
        <w:pStyle w:val="PlainText"/>
        <w:numPr>
          <w:ilvl w:val="0"/>
          <w:numId w:val="1"/>
        </w:numPr>
        <w:jc w:val="both"/>
        <w:rPr>
          <w:rFonts w:ascii="Verdana" w:hAnsi="Verdana"/>
          <w:noProof w:val="0"/>
          <w:sz w:val="20"/>
          <w:szCs w:val="20"/>
          <w:lang w:val="en-US"/>
        </w:rPr>
      </w:pPr>
      <w:r w:rsidRPr="00610904">
        <w:rPr>
          <w:rFonts w:ascii="Verdana" w:hAnsi="Verdana" w:cs="Arial"/>
          <w:noProof w:val="0"/>
          <w:sz w:val="20"/>
          <w:szCs w:val="20"/>
          <w:lang w:val="en-US"/>
        </w:rPr>
        <w:t xml:space="preserve"> </w:t>
      </w:r>
      <w:r w:rsidR="00173F82" w:rsidRPr="00610904">
        <w:rPr>
          <w:rFonts w:ascii="Verdana" w:hAnsi="Verdana" w:cs="Arial"/>
          <w:noProof w:val="0"/>
          <w:sz w:val="20"/>
          <w:szCs w:val="20"/>
          <w:lang w:val="en-US"/>
        </w:rPr>
        <w:t xml:space="preserve">Looking for schools so that </w:t>
      </w:r>
      <w:r w:rsidR="00CD3738" w:rsidRPr="00610904">
        <w:rPr>
          <w:rFonts w:ascii="Verdana" w:hAnsi="Verdana" w:cs="Arial"/>
          <w:noProof w:val="0"/>
          <w:sz w:val="20"/>
          <w:szCs w:val="20"/>
          <w:lang w:val="en-US"/>
        </w:rPr>
        <w:t>Talía</w:t>
      </w:r>
      <w:r w:rsidRPr="00610904">
        <w:rPr>
          <w:rFonts w:ascii="Verdana" w:hAnsi="Verdana" w:cs="Arial"/>
          <w:noProof w:val="0"/>
          <w:sz w:val="20"/>
          <w:szCs w:val="20"/>
          <w:lang w:val="en-US"/>
        </w:rPr>
        <w:t xml:space="preserve"> </w:t>
      </w:r>
      <w:r w:rsidR="00173F82" w:rsidRPr="00610904">
        <w:rPr>
          <w:rFonts w:ascii="Verdana" w:hAnsi="Verdana" w:cs="Arial"/>
          <w:noProof w:val="0"/>
          <w:sz w:val="20"/>
          <w:szCs w:val="20"/>
          <w:lang w:val="en-US"/>
        </w:rPr>
        <w:t>could complete her education was very complicated, because the different schools advised each other of the child’s medical condition.</w:t>
      </w:r>
      <w:r w:rsidR="00854AEC" w:rsidRPr="00610904">
        <w:rPr>
          <w:rFonts w:ascii="Verdana" w:hAnsi="Verdana" w:cs="Arial"/>
          <w:noProof w:val="0"/>
          <w:sz w:val="20"/>
          <w:szCs w:val="20"/>
          <w:lang w:val="en-US"/>
        </w:rPr>
        <w:t xml:space="preserve"> Teresa Lluy </w:t>
      </w:r>
      <w:r w:rsidR="00173F82" w:rsidRPr="00610904">
        <w:rPr>
          <w:rFonts w:ascii="Verdana" w:hAnsi="Verdana" w:cs="Arial"/>
          <w:noProof w:val="0"/>
          <w:sz w:val="20"/>
          <w:szCs w:val="20"/>
          <w:lang w:val="en-US"/>
        </w:rPr>
        <w:t xml:space="preserve">indicated that when she went to a new school to </w:t>
      </w:r>
      <w:r w:rsidR="00856968" w:rsidRPr="00610904">
        <w:rPr>
          <w:rFonts w:ascii="Verdana" w:hAnsi="Verdana" w:cs="Arial"/>
          <w:noProof w:val="0"/>
          <w:sz w:val="20"/>
          <w:szCs w:val="20"/>
          <w:lang w:val="en-US"/>
        </w:rPr>
        <w:t>enroll</w:t>
      </w:r>
      <w:r w:rsidR="00173F82" w:rsidRPr="00610904">
        <w:rPr>
          <w:rFonts w:ascii="Verdana" w:hAnsi="Verdana" w:cs="Arial"/>
          <w:noProof w:val="0"/>
          <w:sz w:val="20"/>
          <w:szCs w:val="20"/>
          <w:lang w:val="en-US"/>
        </w:rPr>
        <w:t xml:space="preserve"> </w:t>
      </w:r>
      <w:r w:rsidR="00CD3738" w:rsidRPr="00610904">
        <w:rPr>
          <w:rFonts w:ascii="Verdana" w:hAnsi="Verdana" w:cs="Arial"/>
          <w:noProof w:val="0"/>
          <w:sz w:val="20"/>
          <w:szCs w:val="20"/>
          <w:lang w:val="en-US"/>
        </w:rPr>
        <w:t>Talía</w:t>
      </w:r>
      <w:r w:rsidRPr="00610904">
        <w:rPr>
          <w:rFonts w:ascii="Verdana" w:hAnsi="Verdana" w:cs="Arial"/>
          <w:noProof w:val="0"/>
          <w:sz w:val="20"/>
          <w:szCs w:val="20"/>
          <w:lang w:val="en-US"/>
        </w:rPr>
        <w:t xml:space="preserve"> “</w:t>
      </w:r>
      <w:r w:rsidR="00173F82" w:rsidRPr="00610904">
        <w:rPr>
          <w:rFonts w:ascii="Verdana" w:hAnsi="Verdana" w:cs="Arial"/>
          <w:noProof w:val="0"/>
          <w:sz w:val="20"/>
          <w:szCs w:val="20"/>
          <w:lang w:val="en-US"/>
        </w:rPr>
        <w:t>they already knew about [Talía and they] were not even allowed to enter [before the</w:t>
      </w:r>
      <w:r w:rsidR="008872FD" w:rsidRPr="00610904">
        <w:rPr>
          <w:rFonts w:ascii="Verdana" w:hAnsi="Verdana" w:cs="Arial"/>
          <w:noProof w:val="0"/>
          <w:sz w:val="20"/>
          <w:szCs w:val="20"/>
          <w:lang w:val="en-US"/>
        </w:rPr>
        <w:t>y] were told that there were no</w:t>
      </w:r>
      <w:r w:rsidR="00173F82" w:rsidRPr="00610904">
        <w:rPr>
          <w:rFonts w:ascii="Verdana" w:hAnsi="Verdana" w:cs="Arial"/>
          <w:noProof w:val="0"/>
          <w:sz w:val="20"/>
          <w:szCs w:val="20"/>
          <w:lang w:val="en-US"/>
        </w:rPr>
        <w:t xml:space="preserve"> places </w:t>
      </w:r>
      <w:r w:rsidR="008872FD" w:rsidRPr="00610904">
        <w:rPr>
          <w:rFonts w:ascii="Verdana" w:hAnsi="Verdana" w:cs="Arial"/>
          <w:noProof w:val="0"/>
          <w:sz w:val="20"/>
          <w:szCs w:val="20"/>
          <w:lang w:val="en-US"/>
        </w:rPr>
        <w:t xml:space="preserve">available </w:t>
      </w:r>
      <w:r w:rsidR="00173F82" w:rsidRPr="00610904">
        <w:rPr>
          <w:rFonts w:ascii="Verdana" w:hAnsi="Verdana" w:cs="Arial"/>
          <w:noProof w:val="0"/>
          <w:sz w:val="20"/>
          <w:szCs w:val="20"/>
          <w:lang w:val="en-US"/>
        </w:rPr>
        <w:t>and that [they] should leave.</w:t>
      </w:r>
      <w:r w:rsidRPr="00610904">
        <w:rPr>
          <w:rFonts w:ascii="Verdana" w:hAnsi="Verdana" w:cs="Arial"/>
          <w:noProof w:val="0"/>
          <w:sz w:val="20"/>
          <w:szCs w:val="20"/>
          <w:lang w:val="en-US"/>
        </w:rPr>
        <w:t>”</w:t>
      </w:r>
      <w:r w:rsidRPr="00610904">
        <w:rPr>
          <w:rStyle w:val="FootnoteReference"/>
          <w:rFonts w:ascii="Verdana" w:eastAsia="Times New Roman" w:hAnsi="Verdana"/>
          <w:noProof w:val="0"/>
          <w:sz w:val="20"/>
          <w:lang w:val="en-US"/>
        </w:rPr>
        <w:footnoteReference w:id="330"/>
      </w:r>
    </w:p>
    <w:p w:rsidR="003040F7" w:rsidRPr="00610904" w:rsidRDefault="003040F7" w:rsidP="00610904">
      <w:pPr>
        <w:pStyle w:val="PlainText"/>
        <w:jc w:val="both"/>
        <w:rPr>
          <w:rFonts w:ascii="Verdana" w:hAnsi="Verdana"/>
          <w:noProof w:val="0"/>
          <w:sz w:val="20"/>
          <w:szCs w:val="20"/>
          <w:lang w:val="en-US"/>
        </w:rPr>
      </w:pPr>
    </w:p>
    <w:p w:rsidR="003040F7" w:rsidRPr="00610904" w:rsidRDefault="00173F82" w:rsidP="00610904">
      <w:pPr>
        <w:pStyle w:val="PlainText"/>
        <w:numPr>
          <w:ilvl w:val="0"/>
          <w:numId w:val="1"/>
        </w:numPr>
        <w:jc w:val="both"/>
        <w:rPr>
          <w:rFonts w:ascii="Verdana" w:hAnsi="Verdana"/>
          <w:noProof w:val="0"/>
          <w:sz w:val="20"/>
          <w:szCs w:val="20"/>
          <w:lang w:val="en-US"/>
        </w:rPr>
      </w:pPr>
      <w:r w:rsidRPr="00610904">
        <w:rPr>
          <w:rFonts w:ascii="Verdana" w:hAnsi="Verdana"/>
          <w:noProof w:val="0"/>
          <w:sz w:val="20"/>
          <w:szCs w:val="20"/>
          <w:lang w:val="en-US"/>
        </w:rPr>
        <w:t>In this regard</w:t>
      </w:r>
      <w:r w:rsidR="003040F7" w:rsidRPr="00610904">
        <w:rPr>
          <w:rFonts w:ascii="Verdana" w:hAnsi="Verdana"/>
          <w:noProof w:val="0"/>
          <w:sz w:val="20"/>
          <w:szCs w:val="20"/>
          <w:lang w:val="en-US"/>
        </w:rPr>
        <w:t xml:space="preserve">, </w:t>
      </w:r>
      <w:r w:rsidR="003E08F4" w:rsidRPr="00610904">
        <w:rPr>
          <w:rFonts w:ascii="Verdana" w:hAnsi="Verdana"/>
          <w:noProof w:val="0"/>
          <w:sz w:val="20"/>
          <w:szCs w:val="20"/>
          <w:lang w:val="en-US"/>
        </w:rPr>
        <w:t>the Committee on the Rights of the Child</w:t>
      </w:r>
      <w:r w:rsidR="003040F7" w:rsidRPr="00610904">
        <w:rPr>
          <w:rFonts w:ascii="Verdana" w:hAnsi="Verdana"/>
          <w:noProof w:val="0"/>
          <w:sz w:val="20"/>
          <w:szCs w:val="20"/>
          <w:lang w:val="en-US"/>
        </w:rPr>
        <w:t xml:space="preserve"> ha</w:t>
      </w:r>
      <w:r w:rsidRPr="00610904">
        <w:rPr>
          <w:rFonts w:ascii="Verdana" w:hAnsi="Verdana"/>
          <w:noProof w:val="0"/>
          <w:sz w:val="20"/>
          <w:szCs w:val="20"/>
          <w:lang w:val="en-US"/>
        </w:rPr>
        <w:t xml:space="preserve">s indicated </w:t>
      </w:r>
      <w:r w:rsidR="007760B3" w:rsidRPr="00610904">
        <w:rPr>
          <w:rFonts w:ascii="Verdana" w:hAnsi="Verdana"/>
          <w:noProof w:val="0"/>
          <w:sz w:val="20"/>
          <w:szCs w:val="20"/>
          <w:lang w:val="en-US"/>
        </w:rPr>
        <w:t>that “</w:t>
      </w:r>
      <w:r w:rsidRPr="00610904">
        <w:rPr>
          <w:rFonts w:ascii="Verdana" w:hAnsi="Verdana"/>
          <w:noProof w:val="0"/>
          <w:sz w:val="20"/>
          <w:szCs w:val="20"/>
          <w:lang w:val="en-US"/>
        </w:rPr>
        <w:t xml:space="preserve">the </w:t>
      </w:r>
      <w:r w:rsidR="007760B3" w:rsidRPr="00610904">
        <w:rPr>
          <w:rFonts w:ascii="Verdana" w:hAnsi="Verdana"/>
          <w:noProof w:val="0"/>
          <w:sz w:val="20"/>
          <w:szCs w:val="20"/>
          <w:lang w:val="en-US"/>
        </w:rPr>
        <w:t xml:space="preserve">key goal of education is the development of the individual child's personality, talents and </w:t>
      </w:r>
      <w:proofErr w:type="gramStart"/>
      <w:r w:rsidR="007760B3" w:rsidRPr="00610904">
        <w:rPr>
          <w:rFonts w:ascii="Verdana" w:hAnsi="Verdana"/>
          <w:noProof w:val="0"/>
          <w:sz w:val="20"/>
          <w:szCs w:val="20"/>
          <w:lang w:val="en-US"/>
        </w:rPr>
        <w:lastRenderedPageBreak/>
        <w:t>abilities[</w:t>
      </w:r>
      <w:proofErr w:type="gramEnd"/>
      <w:r w:rsidR="007760B3" w:rsidRPr="00610904">
        <w:rPr>
          <w:rFonts w:ascii="Verdana" w:hAnsi="Verdana"/>
          <w:noProof w:val="0"/>
          <w:sz w:val="20"/>
          <w:szCs w:val="20"/>
          <w:lang w:val="en-US"/>
        </w:rPr>
        <w:t>; and] ensuring that essential life skills are learnt by every child.</w:t>
      </w:r>
      <w:r w:rsidR="003040F7" w:rsidRPr="00610904">
        <w:rPr>
          <w:rFonts w:ascii="Verdana" w:hAnsi="Verdana"/>
          <w:noProof w:val="0"/>
          <w:sz w:val="20"/>
          <w:szCs w:val="20"/>
          <w:lang w:val="en-US"/>
        </w:rPr>
        <w:t>”</w:t>
      </w:r>
      <w:r w:rsidR="003040F7" w:rsidRPr="00610904">
        <w:rPr>
          <w:rStyle w:val="FootnoteReference"/>
          <w:rFonts w:ascii="Verdana" w:hAnsi="Verdana"/>
          <w:noProof w:val="0"/>
          <w:sz w:val="20"/>
          <w:lang w:val="en-US"/>
        </w:rPr>
        <w:footnoteReference w:id="331"/>
      </w:r>
      <w:r w:rsidR="007760B3" w:rsidRPr="00610904">
        <w:rPr>
          <w:rFonts w:ascii="Verdana" w:hAnsi="Verdana"/>
          <w:noProof w:val="0"/>
          <w:sz w:val="20"/>
          <w:szCs w:val="20"/>
          <w:lang w:val="en-US"/>
        </w:rPr>
        <w:t xml:space="preserve"> Similarly, the Court underlines the importance of education in order to reduce the vulnerability of children with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w:t>
      </w:r>
      <w:r w:rsidR="00A8072E" w:rsidRPr="00610904">
        <w:rPr>
          <w:rFonts w:ascii="Verdana" w:hAnsi="Verdana"/>
          <w:noProof w:val="0"/>
          <w:sz w:val="20"/>
          <w:szCs w:val="20"/>
          <w:lang w:val="en-US"/>
        </w:rPr>
        <w:t>AIDS</w:t>
      </w:r>
      <w:r w:rsidR="003040F7" w:rsidRPr="00610904">
        <w:rPr>
          <w:rFonts w:ascii="Verdana" w:hAnsi="Verdana"/>
          <w:noProof w:val="0"/>
          <w:sz w:val="20"/>
          <w:szCs w:val="20"/>
          <w:lang w:val="en-US"/>
        </w:rPr>
        <w:t xml:space="preserve">, </w:t>
      </w:r>
      <w:r w:rsidR="007760B3" w:rsidRPr="00610904">
        <w:rPr>
          <w:rFonts w:ascii="Verdana" w:hAnsi="Verdana"/>
          <w:noProof w:val="0"/>
          <w:sz w:val="20"/>
          <w:szCs w:val="20"/>
          <w:lang w:val="en-US"/>
        </w:rPr>
        <w:t xml:space="preserve">by providing pertinent and appropriate information that contributes to improving </w:t>
      </w:r>
      <w:r w:rsidR="008872FD" w:rsidRPr="00610904">
        <w:rPr>
          <w:rFonts w:ascii="Verdana" w:hAnsi="Verdana"/>
          <w:noProof w:val="0"/>
          <w:sz w:val="20"/>
          <w:szCs w:val="20"/>
          <w:lang w:val="en-US"/>
        </w:rPr>
        <w:t xml:space="preserve">the </w:t>
      </w:r>
      <w:r w:rsidR="007760B3" w:rsidRPr="00610904">
        <w:rPr>
          <w:rFonts w:ascii="Verdana" w:hAnsi="Verdana"/>
          <w:noProof w:val="0"/>
          <w:sz w:val="20"/>
          <w:szCs w:val="20"/>
          <w:lang w:val="en-US"/>
        </w:rPr>
        <w:t>knowledge and understanding of</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w:t>
      </w:r>
      <w:r w:rsidR="00A8072E" w:rsidRPr="00610904">
        <w:rPr>
          <w:rFonts w:ascii="Verdana" w:hAnsi="Verdana"/>
          <w:noProof w:val="0"/>
          <w:sz w:val="20"/>
          <w:szCs w:val="20"/>
          <w:lang w:val="en-US"/>
        </w:rPr>
        <w:t>AIDS</w:t>
      </w:r>
      <w:r w:rsidR="003040F7" w:rsidRPr="00610904">
        <w:rPr>
          <w:rFonts w:ascii="Verdana" w:hAnsi="Verdana"/>
          <w:noProof w:val="0"/>
          <w:sz w:val="20"/>
          <w:szCs w:val="20"/>
          <w:lang w:val="en-US"/>
        </w:rPr>
        <w:t xml:space="preserve">, </w:t>
      </w:r>
      <w:r w:rsidR="008872FD" w:rsidRPr="00610904">
        <w:rPr>
          <w:rFonts w:ascii="Verdana" w:hAnsi="Verdana"/>
          <w:noProof w:val="0"/>
          <w:sz w:val="20"/>
          <w:szCs w:val="20"/>
          <w:lang w:val="en-US"/>
        </w:rPr>
        <w:t>preventing</w:t>
      </w:r>
      <w:r w:rsidR="007760B3" w:rsidRPr="00610904">
        <w:rPr>
          <w:rFonts w:ascii="Verdana" w:hAnsi="Verdana"/>
          <w:noProof w:val="0"/>
          <w:sz w:val="20"/>
          <w:szCs w:val="20"/>
          <w:lang w:val="en-US"/>
        </w:rPr>
        <w:t xml:space="preserve"> negative attitudes towards people living with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w:t>
      </w:r>
      <w:r w:rsidR="00A8072E" w:rsidRPr="00610904">
        <w:rPr>
          <w:rFonts w:ascii="Verdana" w:hAnsi="Verdana"/>
          <w:noProof w:val="0"/>
          <w:sz w:val="20"/>
          <w:szCs w:val="20"/>
          <w:lang w:val="en-US"/>
        </w:rPr>
        <w:t>AIDS</w:t>
      </w:r>
      <w:r w:rsidR="009F3D78" w:rsidRPr="00610904">
        <w:rPr>
          <w:rFonts w:ascii="Verdana" w:hAnsi="Verdana"/>
          <w:noProof w:val="0"/>
          <w:sz w:val="20"/>
          <w:szCs w:val="20"/>
          <w:lang w:val="en-US"/>
        </w:rPr>
        <w:t xml:space="preserve"> and </w:t>
      </w:r>
      <w:r w:rsidR="007760B3" w:rsidRPr="00610904">
        <w:rPr>
          <w:rFonts w:ascii="Verdana" w:hAnsi="Verdana"/>
          <w:noProof w:val="0"/>
          <w:sz w:val="20"/>
          <w:szCs w:val="20"/>
          <w:lang w:val="en-US"/>
        </w:rPr>
        <w:t xml:space="preserve">eliminating discriminatory practices. In the case of children with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w:t>
      </w:r>
      <w:r w:rsidR="00A8072E" w:rsidRPr="00610904">
        <w:rPr>
          <w:rFonts w:ascii="Verdana" w:hAnsi="Verdana"/>
          <w:noProof w:val="0"/>
          <w:sz w:val="20"/>
          <w:szCs w:val="20"/>
          <w:lang w:val="en-US"/>
        </w:rPr>
        <w:t>AIDS</w:t>
      </w:r>
      <w:r w:rsidR="003040F7" w:rsidRPr="00610904">
        <w:rPr>
          <w:rFonts w:ascii="Verdana" w:hAnsi="Verdana"/>
          <w:noProof w:val="0"/>
          <w:sz w:val="20"/>
          <w:szCs w:val="20"/>
          <w:lang w:val="en-US"/>
        </w:rPr>
        <w:t xml:space="preserve">, </w:t>
      </w:r>
      <w:r w:rsidR="008872FD" w:rsidRPr="00610904">
        <w:rPr>
          <w:rFonts w:ascii="Verdana" w:hAnsi="Verdana"/>
          <w:noProof w:val="0"/>
          <w:sz w:val="20"/>
          <w:szCs w:val="20"/>
          <w:lang w:val="en-US"/>
        </w:rPr>
        <w:t>States mu</w:t>
      </w:r>
      <w:r w:rsidR="007760B3" w:rsidRPr="00610904">
        <w:rPr>
          <w:rFonts w:ascii="Verdana" w:hAnsi="Verdana"/>
          <w:noProof w:val="0"/>
          <w:sz w:val="20"/>
          <w:szCs w:val="20"/>
          <w:lang w:val="en-US"/>
        </w:rPr>
        <w:t xml:space="preserve">st take measures to ensure that they have access to education “to the maximum </w:t>
      </w:r>
      <w:r w:rsidR="00856968" w:rsidRPr="00610904">
        <w:rPr>
          <w:rFonts w:ascii="Verdana" w:hAnsi="Verdana"/>
          <w:noProof w:val="0"/>
          <w:sz w:val="20"/>
          <w:szCs w:val="20"/>
          <w:lang w:val="en-US"/>
        </w:rPr>
        <w:t>extent</w:t>
      </w:r>
      <w:r w:rsidR="007760B3" w:rsidRPr="00610904">
        <w:rPr>
          <w:rFonts w:ascii="Verdana" w:hAnsi="Verdana"/>
          <w:noProof w:val="0"/>
          <w:sz w:val="20"/>
          <w:szCs w:val="20"/>
          <w:lang w:val="en-US"/>
        </w:rPr>
        <w:t xml:space="preserve"> possible.”</w:t>
      </w:r>
      <w:r w:rsidR="003040F7" w:rsidRPr="00610904">
        <w:rPr>
          <w:rStyle w:val="FootnoteReference"/>
          <w:noProof w:val="0"/>
          <w:lang w:val="en-US"/>
        </w:rPr>
        <w:footnoteReference w:id="332"/>
      </w:r>
      <w:r w:rsidR="00832C62" w:rsidRPr="00610904">
        <w:rPr>
          <w:rFonts w:ascii="Verdana" w:hAnsi="Verdana"/>
          <w:noProof w:val="0"/>
          <w:sz w:val="20"/>
          <w:szCs w:val="20"/>
          <w:lang w:val="en-US"/>
        </w:rPr>
        <w:t xml:space="preserve"> In this regard, the Court recalls the indication of</w:t>
      </w:r>
      <w:r w:rsidR="003040F7" w:rsidRPr="00610904">
        <w:rPr>
          <w:rFonts w:ascii="Verdana" w:hAnsi="Verdana"/>
          <w:noProof w:val="0"/>
          <w:sz w:val="20"/>
          <w:szCs w:val="20"/>
          <w:lang w:val="en-US"/>
        </w:rPr>
        <w:t xml:space="preserve"> </w:t>
      </w:r>
      <w:r w:rsidR="003E08F4" w:rsidRPr="00610904">
        <w:rPr>
          <w:rFonts w:ascii="Verdana" w:hAnsi="Verdana"/>
          <w:noProof w:val="0"/>
          <w:sz w:val="20"/>
          <w:szCs w:val="20"/>
          <w:lang w:val="en-US"/>
        </w:rPr>
        <w:t>the Committee on the Rights of the Child</w:t>
      </w:r>
      <w:r w:rsidR="00832C62" w:rsidRPr="00610904">
        <w:rPr>
          <w:rFonts w:ascii="Verdana" w:hAnsi="Verdana"/>
          <w:noProof w:val="0"/>
          <w:sz w:val="20"/>
          <w:szCs w:val="20"/>
          <w:lang w:val="en-US"/>
        </w:rPr>
        <w:t xml:space="preserve"> that “[d</w:t>
      </w:r>
      <w:r w:rsidR="003040F7" w:rsidRPr="00610904">
        <w:rPr>
          <w:rFonts w:ascii="Verdana" w:hAnsi="Verdana"/>
          <w:noProof w:val="0"/>
          <w:sz w:val="20"/>
          <w:szCs w:val="20"/>
          <w:lang w:val="en-US"/>
        </w:rPr>
        <w:t>]</w:t>
      </w:r>
      <w:r w:rsidR="00832C62" w:rsidRPr="00610904">
        <w:rPr>
          <w:rFonts w:ascii="Verdana" w:hAnsi="Verdana"/>
          <w:noProof w:val="0"/>
          <w:sz w:val="20"/>
          <w:szCs w:val="20"/>
          <w:lang w:val="en-US"/>
        </w:rPr>
        <w:t xml:space="preserve">iscrimination against children </w:t>
      </w:r>
      <w:r w:rsidR="003040F7" w:rsidRPr="00610904">
        <w:rPr>
          <w:rFonts w:ascii="Verdana" w:hAnsi="Verdana"/>
          <w:noProof w:val="0"/>
          <w:sz w:val="20"/>
          <w:szCs w:val="20"/>
          <w:lang w:val="en-US"/>
        </w:rPr>
        <w:t xml:space="preserve">[…] </w:t>
      </w:r>
      <w:r w:rsidR="00832C62" w:rsidRPr="00610904">
        <w:rPr>
          <w:rFonts w:ascii="Verdana" w:hAnsi="Verdana"/>
          <w:noProof w:val="0"/>
          <w:sz w:val="20"/>
          <w:szCs w:val="20"/>
          <w:lang w:val="en-US"/>
        </w:rPr>
        <w:t>affected by</w:t>
      </w:r>
      <w:r w:rsidR="003040F7" w:rsidRPr="00610904">
        <w:rPr>
          <w:rFonts w:ascii="Verdana" w:hAnsi="Verdana"/>
          <w:noProof w:val="0"/>
          <w:sz w:val="20"/>
          <w:szCs w:val="20"/>
          <w:lang w:val="en-US"/>
        </w:rPr>
        <w:t xml:space="preserve"> </w:t>
      </w:r>
      <w:r w:rsidR="00A8072E" w:rsidRPr="00610904">
        <w:rPr>
          <w:rFonts w:ascii="Verdana" w:hAnsi="Verdana"/>
          <w:noProof w:val="0"/>
          <w:sz w:val="20"/>
          <w:szCs w:val="20"/>
          <w:lang w:val="en-US"/>
        </w:rPr>
        <w:t>HIV</w:t>
      </w:r>
      <w:r w:rsidR="003040F7" w:rsidRPr="00610904">
        <w:rPr>
          <w:rFonts w:ascii="Verdana" w:hAnsi="Verdana"/>
          <w:noProof w:val="0"/>
          <w:sz w:val="20"/>
          <w:szCs w:val="20"/>
          <w:lang w:val="en-US"/>
        </w:rPr>
        <w:t>/</w:t>
      </w:r>
      <w:r w:rsidR="00A8072E" w:rsidRPr="00610904">
        <w:rPr>
          <w:rFonts w:ascii="Verdana" w:hAnsi="Verdana"/>
          <w:noProof w:val="0"/>
          <w:sz w:val="20"/>
          <w:szCs w:val="20"/>
          <w:lang w:val="en-US"/>
        </w:rPr>
        <w:t>AIDS</w:t>
      </w:r>
      <w:r w:rsidR="003040F7" w:rsidRPr="00610904">
        <w:rPr>
          <w:rFonts w:ascii="Verdana" w:hAnsi="Verdana"/>
          <w:noProof w:val="0"/>
          <w:sz w:val="20"/>
          <w:szCs w:val="20"/>
          <w:lang w:val="en-US"/>
        </w:rPr>
        <w:t xml:space="preserve"> </w:t>
      </w:r>
      <w:r w:rsidR="00832C62" w:rsidRPr="00610904">
        <w:rPr>
          <w:rFonts w:ascii="Verdana" w:hAnsi="Verdana"/>
          <w:noProof w:val="0"/>
          <w:sz w:val="20"/>
          <w:szCs w:val="20"/>
          <w:lang w:val="en-US"/>
        </w:rPr>
        <w:t>deprives them of the help and support they most require.</w:t>
      </w:r>
      <w:r w:rsidR="003040F7" w:rsidRPr="00610904">
        <w:rPr>
          <w:rFonts w:ascii="Verdana" w:hAnsi="Verdana"/>
          <w:noProof w:val="0"/>
          <w:sz w:val="20"/>
          <w:szCs w:val="20"/>
          <w:lang w:val="en-US"/>
        </w:rPr>
        <w:t>”</w:t>
      </w:r>
      <w:r w:rsidR="003040F7" w:rsidRPr="00610904">
        <w:rPr>
          <w:rStyle w:val="FootnoteReference"/>
          <w:noProof w:val="0"/>
          <w:lang w:val="en-US"/>
        </w:rPr>
        <w:footnoteReference w:id="333"/>
      </w:r>
    </w:p>
    <w:p w:rsidR="003040F7" w:rsidRPr="00610904" w:rsidRDefault="003040F7" w:rsidP="00610904">
      <w:pPr>
        <w:rPr>
          <w:noProof w:val="0"/>
          <w:szCs w:val="20"/>
          <w:lang w:val="en-US"/>
        </w:rPr>
      </w:pPr>
    </w:p>
    <w:p w:rsidR="003040F7" w:rsidRPr="00610904" w:rsidRDefault="00060EAD" w:rsidP="00610904">
      <w:pPr>
        <w:pStyle w:val="MediumGrid1-Accent21"/>
        <w:numPr>
          <w:ilvl w:val="0"/>
          <w:numId w:val="1"/>
        </w:numPr>
        <w:contextualSpacing w:val="0"/>
        <w:rPr>
          <w:noProof w:val="0"/>
          <w:lang w:val="en-US"/>
        </w:rPr>
      </w:pPr>
      <w:r w:rsidRPr="00610904">
        <w:rPr>
          <w:rFonts w:cs="Arial"/>
          <w:noProof w:val="0"/>
          <w:szCs w:val="20"/>
          <w:lang w:val="en-US"/>
        </w:rPr>
        <w:t xml:space="preserve"> </w:t>
      </w:r>
      <w:r w:rsidR="00832C62" w:rsidRPr="00610904">
        <w:rPr>
          <w:rFonts w:cs="Arial"/>
          <w:noProof w:val="0"/>
          <w:szCs w:val="20"/>
          <w:lang w:val="en-US"/>
        </w:rPr>
        <w:t>In this case</w:t>
      </w:r>
      <w:r w:rsidRPr="00610904">
        <w:rPr>
          <w:rFonts w:cs="Arial"/>
          <w:noProof w:val="0"/>
          <w:szCs w:val="20"/>
          <w:lang w:val="en-US"/>
        </w:rPr>
        <w:t xml:space="preserve">, </w:t>
      </w:r>
      <w:r w:rsidR="009F3D78" w:rsidRPr="00610904">
        <w:rPr>
          <w:rFonts w:cs="Arial"/>
          <w:noProof w:val="0"/>
          <w:szCs w:val="20"/>
          <w:lang w:val="en-US"/>
        </w:rPr>
        <w:t>the Court</w:t>
      </w:r>
      <w:r w:rsidR="00832C62" w:rsidRPr="00610904">
        <w:rPr>
          <w:rFonts w:cs="Arial"/>
          <w:noProof w:val="0"/>
          <w:szCs w:val="20"/>
          <w:lang w:val="en-US"/>
        </w:rPr>
        <w:t xml:space="preserve"> notes that following the proceeding</w:t>
      </w:r>
      <w:r w:rsidR="008872FD" w:rsidRPr="00610904">
        <w:rPr>
          <w:rFonts w:cs="Arial"/>
          <w:noProof w:val="0"/>
          <w:szCs w:val="20"/>
          <w:lang w:val="en-US"/>
        </w:rPr>
        <w:t>s</w:t>
      </w:r>
      <w:r w:rsidR="00832C62" w:rsidRPr="00610904">
        <w:rPr>
          <w:rFonts w:cs="Arial"/>
          <w:noProof w:val="0"/>
          <w:szCs w:val="20"/>
          <w:lang w:val="en-US"/>
        </w:rPr>
        <w:t xml:space="preserve"> on</w:t>
      </w:r>
      <w:r w:rsidR="003040F7" w:rsidRPr="00610904">
        <w:rPr>
          <w:rFonts w:cs="Arial"/>
          <w:noProof w:val="0"/>
          <w:szCs w:val="20"/>
          <w:lang w:val="en-US"/>
        </w:rPr>
        <w:t xml:space="preserve"> </w:t>
      </w:r>
      <w:r w:rsidR="00852A2E" w:rsidRPr="00610904">
        <w:rPr>
          <w:rFonts w:cs="Arial"/>
          <w:noProof w:val="0"/>
          <w:szCs w:val="20"/>
          <w:lang w:val="en-US"/>
        </w:rPr>
        <w:t>constitutional protection</w:t>
      </w:r>
      <w:r w:rsidR="003040F7" w:rsidRPr="00610904">
        <w:rPr>
          <w:rFonts w:cs="Arial"/>
          <w:noProof w:val="0"/>
          <w:szCs w:val="20"/>
          <w:lang w:val="en-US"/>
        </w:rPr>
        <w:t xml:space="preserve">, Teresa Lluy </w:t>
      </w:r>
      <w:r w:rsidR="00832C62" w:rsidRPr="00610904">
        <w:rPr>
          <w:rFonts w:cs="Arial"/>
          <w:noProof w:val="0"/>
          <w:szCs w:val="20"/>
          <w:lang w:val="en-US"/>
        </w:rPr>
        <w:t xml:space="preserve">turned to the </w:t>
      </w:r>
      <w:r w:rsidR="003040F7" w:rsidRPr="00610904">
        <w:rPr>
          <w:rFonts w:cs="Arial"/>
          <w:noProof w:val="0"/>
          <w:szCs w:val="20"/>
          <w:lang w:val="en-US"/>
        </w:rPr>
        <w:t xml:space="preserve">“Radio Splendid” </w:t>
      </w:r>
      <w:r w:rsidR="00832C62" w:rsidRPr="00610904">
        <w:rPr>
          <w:rFonts w:cs="Arial"/>
          <w:noProof w:val="0"/>
          <w:szCs w:val="20"/>
          <w:lang w:val="en-US"/>
        </w:rPr>
        <w:t xml:space="preserve">program </w:t>
      </w:r>
      <w:r w:rsidR="008872FD" w:rsidRPr="00610904">
        <w:rPr>
          <w:rFonts w:cs="Arial"/>
          <w:noProof w:val="0"/>
          <w:szCs w:val="20"/>
          <w:lang w:val="en-US"/>
        </w:rPr>
        <w:t xml:space="preserve">to </w:t>
      </w:r>
      <w:r w:rsidR="00832C62" w:rsidRPr="00610904">
        <w:rPr>
          <w:rFonts w:cs="Arial"/>
          <w:noProof w:val="0"/>
          <w:szCs w:val="20"/>
          <w:lang w:val="en-US"/>
        </w:rPr>
        <w:t>denou</w:t>
      </w:r>
      <w:r w:rsidR="008872FD" w:rsidRPr="00610904">
        <w:rPr>
          <w:rFonts w:cs="Arial"/>
          <w:noProof w:val="0"/>
          <w:szCs w:val="20"/>
          <w:lang w:val="en-US"/>
        </w:rPr>
        <w:t>nce</w:t>
      </w:r>
      <w:r w:rsidR="00832C62" w:rsidRPr="00610904">
        <w:rPr>
          <w:rFonts w:cs="Arial"/>
          <w:noProof w:val="0"/>
          <w:szCs w:val="20"/>
          <w:lang w:val="en-US"/>
        </w:rPr>
        <w:t xml:space="preserve"> the situation that had arisen with her daughter and the </w:t>
      </w:r>
      <w:r w:rsidR="00535633" w:rsidRPr="00610904">
        <w:rPr>
          <w:rFonts w:cs="Arial"/>
          <w:noProof w:val="0"/>
          <w:szCs w:val="20"/>
          <w:lang w:val="en-US"/>
        </w:rPr>
        <w:t>Zoila Aurora Palacios</w:t>
      </w:r>
      <w:r w:rsidR="009F3D78" w:rsidRPr="00610904">
        <w:rPr>
          <w:rFonts w:cs="Arial"/>
          <w:noProof w:val="0"/>
          <w:szCs w:val="20"/>
          <w:lang w:val="en-US"/>
        </w:rPr>
        <w:t xml:space="preserve"> </w:t>
      </w:r>
      <w:r w:rsidR="00832C62" w:rsidRPr="00610904">
        <w:rPr>
          <w:rFonts w:cs="Arial"/>
          <w:noProof w:val="0"/>
          <w:szCs w:val="20"/>
          <w:lang w:val="en-US"/>
        </w:rPr>
        <w:t xml:space="preserve">School </w:t>
      </w:r>
      <w:r w:rsidR="009F3D78" w:rsidRPr="00610904">
        <w:rPr>
          <w:rFonts w:cs="Arial"/>
          <w:noProof w:val="0"/>
          <w:szCs w:val="20"/>
          <w:lang w:val="en-US"/>
        </w:rPr>
        <w:t xml:space="preserve">and </w:t>
      </w:r>
      <w:r w:rsidR="00832C62" w:rsidRPr="00610904">
        <w:rPr>
          <w:rFonts w:cs="Arial"/>
          <w:noProof w:val="0"/>
          <w:szCs w:val="20"/>
          <w:lang w:val="en-US"/>
        </w:rPr>
        <w:t xml:space="preserve">the fact that </w:t>
      </w:r>
      <w:r w:rsidR="00CD3738" w:rsidRPr="00610904">
        <w:rPr>
          <w:rFonts w:cs="Arial"/>
          <w:noProof w:val="0"/>
          <w:szCs w:val="20"/>
          <w:lang w:val="en-US"/>
        </w:rPr>
        <w:t>Talía</w:t>
      </w:r>
      <w:r w:rsidR="003040F7" w:rsidRPr="00610904">
        <w:rPr>
          <w:rFonts w:cs="Arial"/>
          <w:noProof w:val="0"/>
          <w:szCs w:val="20"/>
          <w:lang w:val="en-US"/>
        </w:rPr>
        <w:t xml:space="preserve"> </w:t>
      </w:r>
      <w:r w:rsidR="00832C62" w:rsidRPr="00610904">
        <w:rPr>
          <w:rFonts w:cs="Arial"/>
          <w:noProof w:val="0"/>
          <w:szCs w:val="20"/>
          <w:lang w:val="en-US"/>
        </w:rPr>
        <w:t xml:space="preserve">had nowhere to study. </w:t>
      </w:r>
      <w:r w:rsidRPr="00610904">
        <w:rPr>
          <w:rFonts w:cs="Arial"/>
          <w:noProof w:val="0"/>
          <w:szCs w:val="20"/>
          <w:lang w:val="en-US"/>
        </w:rPr>
        <w:t>Clara Vinueza, director</w:t>
      </w:r>
      <w:r w:rsidR="00832C62" w:rsidRPr="00610904">
        <w:rPr>
          <w:rFonts w:cs="Arial"/>
          <w:noProof w:val="0"/>
          <w:szCs w:val="20"/>
          <w:lang w:val="en-US"/>
        </w:rPr>
        <w:t xml:space="preserve"> of the </w:t>
      </w:r>
      <w:r w:rsidR="003040F7" w:rsidRPr="00610904">
        <w:rPr>
          <w:rFonts w:cs="Arial"/>
          <w:noProof w:val="0"/>
          <w:szCs w:val="20"/>
          <w:lang w:val="en-US"/>
        </w:rPr>
        <w:t>“El Cebollar”</w:t>
      </w:r>
      <w:r w:rsidR="00832C62" w:rsidRPr="00610904">
        <w:rPr>
          <w:rFonts w:cs="Arial"/>
          <w:noProof w:val="0"/>
          <w:szCs w:val="20"/>
          <w:lang w:val="en-US"/>
        </w:rPr>
        <w:t xml:space="preserve"> kindergarten, heard the program and contacted </w:t>
      </w:r>
      <w:r w:rsidR="003040F7" w:rsidRPr="00610904">
        <w:rPr>
          <w:rFonts w:cs="Arial"/>
          <w:noProof w:val="0"/>
          <w:szCs w:val="20"/>
          <w:lang w:val="en-US"/>
        </w:rPr>
        <w:t>Teresa Lluy</w:t>
      </w:r>
      <w:r w:rsidR="009F3D78" w:rsidRPr="00610904">
        <w:rPr>
          <w:rFonts w:cs="Arial"/>
          <w:noProof w:val="0"/>
          <w:szCs w:val="20"/>
          <w:lang w:val="en-US"/>
        </w:rPr>
        <w:t xml:space="preserve"> </w:t>
      </w:r>
      <w:r w:rsidR="00832C62" w:rsidRPr="00610904">
        <w:rPr>
          <w:rFonts w:cs="Arial"/>
          <w:noProof w:val="0"/>
          <w:szCs w:val="20"/>
          <w:lang w:val="en-US"/>
        </w:rPr>
        <w:t xml:space="preserve">telling her that she was willing to receive </w:t>
      </w:r>
      <w:r w:rsidR="00CD3738" w:rsidRPr="00610904">
        <w:rPr>
          <w:rFonts w:cs="Arial"/>
          <w:noProof w:val="0"/>
          <w:szCs w:val="20"/>
          <w:lang w:val="en-US"/>
        </w:rPr>
        <w:t>Talía</w:t>
      </w:r>
      <w:r w:rsidRPr="00610904">
        <w:rPr>
          <w:rFonts w:cs="Arial"/>
          <w:noProof w:val="0"/>
          <w:szCs w:val="20"/>
          <w:lang w:val="en-US"/>
        </w:rPr>
        <w:t xml:space="preserve"> </w:t>
      </w:r>
      <w:r w:rsidR="00832C62" w:rsidRPr="00610904">
        <w:rPr>
          <w:rFonts w:cs="Arial"/>
          <w:noProof w:val="0"/>
          <w:szCs w:val="20"/>
          <w:lang w:val="en-US"/>
        </w:rPr>
        <w:t>in her establishment.</w:t>
      </w:r>
      <w:r w:rsidR="003040F7" w:rsidRPr="00610904">
        <w:rPr>
          <w:rStyle w:val="FootnoteReference"/>
          <w:rFonts w:eastAsia="Times New Roman"/>
          <w:noProof w:val="0"/>
          <w:lang w:val="en-US"/>
        </w:rPr>
        <w:footnoteReference w:id="334"/>
      </w:r>
      <w:r w:rsidR="00832C62" w:rsidRPr="00610904">
        <w:rPr>
          <w:rFonts w:cs="Arial"/>
          <w:noProof w:val="0"/>
          <w:szCs w:val="20"/>
          <w:lang w:val="en-US"/>
        </w:rPr>
        <w:t xml:space="preserve"> In this regard, Ms. </w:t>
      </w:r>
      <w:r w:rsidR="003040F7" w:rsidRPr="00610904">
        <w:rPr>
          <w:noProof w:val="0"/>
          <w:szCs w:val="20"/>
          <w:lang w:val="en-US"/>
        </w:rPr>
        <w:t xml:space="preserve">Vinueza, </w:t>
      </w:r>
      <w:r w:rsidR="00832C62" w:rsidRPr="00610904">
        <w:rPr>
          <w:noProof w:val="0"/>
          <w:szCs w:val="20"/>
          <w:lang w:val="en-US"/>
        </w:rPr>
        <w:t xml:space="preserve">who, as director of a </w:t>
      </w:r>
      <w:r w:rsidR="00856968" w:rsidRPr="00610904">
        <w:rPr>
          <w:noProof w:val="0"/>
          <w:szCs w:val="20"/>
          <w:lang w:val="en-US"/>
        </w:rPr>
        <w:t>kindergarten</w:t>
      </w:r>
      <w:r w:rsidR="008872FD" w:rsidRPr="00610904">
        <w:rPr>
          <w:noProof w:val="0"/>
          <w:szCs w:val="20"/>
          <w:lang w:val="en-US"/>
        </w:rPr>
        <w:t>,</w:t>
      </w:r>
      <w:r w:rsidR="00832C62" w:rsidRPr="00610904">
        <w:rPr>
          <w:noProof w:val="0"/>
          <w:szCs w:val="20"/>
          <w:lang w:val="en-US"/>
        </w:rPr>
        <w:t xml:space="preserve"> helped Talía remain within the </w:t>
      </w:r>
      <w:r w:rsidR="001A2523" w:rsidRPr="00610904">
        <w:rPr>
          <w:noProof w:val="0"/>
          <w:szCs w:val="20"/>
          <w:lang w:val="en-US"/>
        </w:rPr>
        <w:t>education system</w:t>
      </w:r>
      <w:r w:rsidR="00832C62" w:rsidRPr="00610904">
        <w:rPr>
          <w:noProof w:val="0"/>
          <w:szCs w:val="20"/>
          <w:lang w:val="en-US"/>
        </w:rPr>
        <w:t>, stated that</w:t>
      </w:r>
      <w:r w:rsidR="001403CE" w:rsidRPr="00610904">
        <w:rPr>
          <w:noProof w:val="0"/>
          <w:szCs w:val="20"/>
          <w:lang w:val="en-US"/>
        </w:rPr>
        <w:t xml:space="preserve"> she</w:t>
      </w:r>
      <w:r w:rsidR="00832C62" w:rsidRPr="00610904">
        <w:rPr>
          <w:noProof w:val="0"/>
          <w:szCs w:val="20"/>
          <w:lang w:val="en-US"/>
        </w:rPr>
        <w:t>:</w:t>
      </w:r>
    </w:p>
    <w:p w:rsidR="003040F7" w:rsidRPr="00610904" w:rsidRDefault="003040F7" w:rsidP="00610904">
      <w:pPr>
        <w:pStyle w:val="PlainText"/>
        <w:rPr>
          <w:rFonts w:ascii="Verdana" w:hAnsi="Verdana"/>
          <w:noProof w:val="0"/>
          <w:szCs w:val="20"/>
          <w:lang w:val="en-US"/>
        </w:rPr>
      </w:pPr>
    </w:p>
    <w:p w:rsidR="003040F7" w:rsidRPr="00610904" w:rsidRDefault="00580F4F" w:rsidP="0067538E">
      <w:pPr>
        <w:pStyle w:val="PlainText"/>
        <w:ind w:left="720" w:right="475"/>
        <w:jc w:val="both"/>
        <w:rPr>
          <w:rFonts w:ascii="Verdana" w:hAnsi="Verdana"/>
          <w:noProof w:val="0"/>
          <w:sz w:val="16"/>
          <w:szCs w:val="16"/>
          <w:lang w:val="en-US"/>
        </w:rPr>
      </w:pPr>
      <w:r w:rsidRPr="00610904">
        <w:rPr>
          <w:rFonts w:ascii="Verdana" w:hAnsi="Verdana"/>
          <w:noProof w:val="0"/>
          <w:sz w:val="16"/>
          <w:szCs w:val="16"/>
          <w:lang w:val="en-US"/>
        </w:rPr>
        <w:t>“</w:t>
      </w:r>
      <w:proofErr w:type="gramStart"/>
      <w:r w:rsidR="001403CE" w:rsidRPr="00610904">
        <w:rPr>
          <w:rFonts w:ascii="Verdana" w:hAnsi="Verdana"/>
          <w:noProof w:val="0"/>
          <w:sz w:val="16"/>
          <w:szCs w:val="16"/>
          <w:lang w:val="en-US"/>
        </w:rPr>
        <w:t>traveled</w:t>
      </w:r>
      <w:proofErr w:type="gramEnd"/>
      <w:r w:rsidR="001403CE" w:rsidRPr="00610904">
        <w:rPr>
          <w:rFonts w:ascii="Verdana" w:hAnsi="Verdana"/>
          <w:noProof w:val="0"/>
          <w:sz w:val="16"/>
          <w:szCs w:val="16"/>
          <w:lang w:val="en-US"/>
        </w:rPr>
        <w:t xml:space="preserve"> to the [kinde</w:t>
      </w:r>
      <w:r w:rsidR="008872FD" w:rsidRPr="00610904">
        <w:rPr>
          <w:rFonts w:ascii="Verdana" w:hAnsi="Verdana"/>
          <w:noProof w:val="0"/>
          <w:sz w:val="16"/>
          <w:szCs w:val="16"/>
          <w:lang w:val="en-US"/>
        </w:rPr>
        <w:t>rgarten] by public transport</w:t>
      </w:r>
      <w:r w:rsidR="001403CE" w:rsidRPr="00610904">
        <w:rPr>
          <w:rFonts w:ascii="Verdana" w:hAnsi="Verdana"/>
          <w:noProof w:val="0"/>
          <w:sz w:val="16"/>
          <w:szCs w:val="16"/>
          <w:lang w:val="en-US"/>
        </w:rPr>
        <w:t>. The radio of the bus was broadcasting the morning new</w:t>
      </w:r>
      <w:r w:rsidR="008872FD" w:rsidRPr="00610904">
        <w:rPr>
          <w:rFonts w:ascii="Verdana" w:hAnsi="Verdana"/>
          <w:noProof w:val="0"/>
          <w:sz w:val="16"/>
          <w:szCs w:val="16"/>
          <w:lang w:val="en-US"/>
        </w:rPr>
        <w:t>s</w:t>
      </w:r>
      <w:r w:rsidR="001403CE" w:rsidRPr="00610904">
        <w:rPr>
          <w:rFonts w:ascii="Verdana" w:hAnsi="Verdana"/>
          <w:noProof w:val="0"/>
          <w:sz w:val="16"/>
          <w:szCs w:val="16"/>
          <w:lang w:val="en-US"/>
        </w:rPr>
        <w:t>. The newscaster announced a very special case: the presence of a</w:t>
      </w:r>
      <w:r w:rsidR="008872FD" w:rsidRPr="00610904">
        <w:rPr>
          <w:rFonts w:ascii="Verdana" w:hAnsi="Verdana"/>
          <w:noProof w:val="0"/>
          <w:sz w:val="16"/>
          <w:szCs w:val="16"/>
          <w:lang w:val="en-US"/>
        </w:rPr>
        <w:t xml:space="preserve"> </w:t>
      </w:r>
      <w:r w:rsidR="001403CE" w:rsidRPr="00610904">
        <w:rPr>
          <w:rFonts w:ascii="Verdana" w:hAnsi="Verdana"/>
          <w:noProof w:val="0"/>
          <w:sz w:val="16"/>
          <w:szCs w:val="16"/>
          <w:lang w:val="en-US"/>
        </w:rPr>
        <w:t>mother who was crying […] because</w:t>
      </w:r>
      <w:r w:rsidR="008872FD" w:rsidRPr="00610904">
        <w:rPr>
          <w:rFonts w:ascii="Verdana" w:hAnsi="Verdana"/>
          <w:noProof w:val="0"/>
          <w:sz w:val="16"/>
          <w:szCs w:val="16"/>
          <w:lang w:val="en-US"/>
        </w:rPr>
        <w:t>,</w:t>
      </w:r>
      <w:r w:rsidR="001403CE" w:rsidRPr="00610904">
        <w:rPr>
          <w:rFonts w:ascii="Verdana" w:hAnsi="Verdana"/>
          <w:noProof w:val="0"/>
          <w:sz w:val="16"/>
          <w:szCs w:val="16"/>
          <w:lang w:val="en-US"/>
        </w:rPr>
        <w:t xml:space="preserve"> </w:t>
      </w:r>
      <w:r w:rsidR="008872FD" w:rsidRPr="00610904">
        <w:rPr>
          <w:rFonts w:ascii="Verdana" w:hAnsi="Verdana"/>
          <w:noProof w:val="0"/>
          <w:sz w:val="16"/>
          <w:szCs w:val="16"/>
          <w:lang w:val="en-US"/>
        </w:rPr>
        <w:t xml:space="preserve">when she went to collect her </w:t>
      </w:r>
      <w:r w:rsidR="001403CE" w:rsidRPr="00610904">
        <w:rPr>
          <w:rFonts w:ascii="Verdana" w:hAnsi="Verdana"/>
          <w:noProof w:val="0"/>
          <w:sz w:val="16"/>
          <w:szCs w:val="16"/>
          <w:lang w:val="en-US"/>
        </w:rPr>
        <w:t xml:space="preserve">daughter, who was only 5 years old, </w:t>
      </w:r>
      <w:r w:rsidR="008872FD" w:rsidRPr="00610904">
        <w:rPr>
          <w:rFonts w:ascii="Verdana" w:hAnsi="Verdana"/>
          <w:noProof w:val="0"/>
          <w:sz w:val="16"/>
          <w:szCs w:val="16"/>
          <w:lang w:val="en-US"/>
        </w:rPr>
        <w:t xml:space="preserve">from a certain educational establishment that she </w:t>
      </w:r>
      <w:r w:rsidR="001403CE" w:rsidRPr="00610904">
        <w:rPr>
          <w:rFonts w:ascii="Verdana" w:hAnsi="Verdana"/>
          <w:noProof w:val="0"/>
          <w:sz w:val="16"/>
          <w:szCs w:val="16"/>
          <w:lang w:val="en-US"/>
        </w:rPr>
        <w:t xml:space="preserve">was attending, she found her </w:t>
      </w:r>
      <w:r w:rsidR="008872FD" w:rsidRPr="00610904">
        <w:rPr>
          <w:rFonts w:ascii="Verdana" w:hAnsi="Verdana"/>
          <w:noProof w:val="0"/>
          <w:sz w:val="16"/>
          <w:szCs w:val="16"/>
          <w:lang w:val="en-US"/>
        </w:rPr>
        <w:t xml:space="preserve">daughter </w:t>
      </w:r>
      <w:r w:rsidR="001403CE" w:rsidRPr="00610904">
        <w:rPr>
          <w:rFonts w:ascii="Verdana" w:hAnsi="Verdana"/>
          <w:noProof w:val="0"/>
          <w:sz w:val="16"/>
          <w:szCs w:val="16"/>
          <w:lang w:val="en-US"/>
        </w:rPr>
        <w:t>outside the school. The child had a contagious illness</w:t>
      </w:r>
      <w:r w:rsidR="008872FD" w:rsidRPr="00610904">
        <w:rPr>
          <w:rFonts w:ascii="Verdana" w:hAnsi="Verdana"/>
          <w:noProof w:val="0"/>
          <w:sz w:val="16"/>
          <w:szCs w:val="16"/>
          <w:lang w:val="en-US"/>
        </w:rPr>
        <w:t>. [Clara Vinueza] telephoned the radio station</w:t>
      </w:r>
      <w:r w:rsidR="001403CE" w:rsidRPr="00610904">
        <w:rPr>
          <w:rFonts w:ascii="Verdana" w:hAnsi="Verdana"/>
          <w:noProof w:val="0"/>
          <w:sz w:val="16"/>
          <w:szCs w:val="16"/>
          <w:lang w:val="en-US"/>
        </w:rPr>
        <w:t xml:space="preserve"> indicating that she was willing to receive the child in [her] educational center […]. During term time, [Talía] had no health problems; [however,] Ministry of Education officials visited [her] establishment on several occasion in order to know if the child with HIV/AIDS was </w:t>
      </w:r>
      <w:r w:rsidR="00856968" w:rsidRPr="00610904">
        <w:rPr>
          <w:rFonts w:ascii="Verdana" w:hAnsi="Verdana"/>
          <w:noProof w:val="0"/>
          <w:sz w:val="16"/>
          <w:szCs w:val="16"/>
          <w:lang w:val="en-US"/>
        </w:rPr>
        <w:t>studying</w:t>
      </w:r>
      <w:r w:rsidR="001403CE" w:rsidRPr="00610904">
        <w:rPr>
          <w:rFonts w:ascii="Verdana" w:hAnsi="Verdana"/>
          <w:noProof w:val="0"/>
          <w:sz w:val="16"/>
          <w:szCs w:val="16"/>
          <w:lang w:val="en-US"/>
        </w:rPr>
        <w:t xml:space="preserve"> there. Very naturally and hedging, [she] changed the subject [and the officials] never found ou</w:t>
      </w:r>
      <w:r w:rsidR="008872FD" w:rsidRPr="00610904">
        <w:rPr>
          <w:rFonts w:ascii="Verdana" w:hAnsi="Verdana"/>
          <w:noProof w:val="0"/>
          <w:sz w:val="16"/>
          <w:szCs w:val="16"/>
          <w:lang w:val="en-US"/>
        </w:rPr>
        <w:t>t that Talía</w:t>
      </w:r>
      <w:r w:rsidR="001403CE" w:rsidRPr="00610904">
        <w:rPr>
          <w:rFonts w:ascii="Verdana" w:hAnsi="Verdana"/>
          <w:noProof w:val="0"/>
          <w:sz w:val="16"/>
          <w:szCs w:val="16"/>
          <w:lang w:val="en-US"/>
        </w:rPr>
        <w:t xml:space="preserve"> was studying with [them]. [She] believe[d] that they would have forbidden [her] from letting Talía continue her schooling at the educational center because they said [that] ‘the child </w:t>
      </w:r>
      <w:proofErr w:type="gramStart"/>
      <w:r w:rsidR="001403CE" w:rsidRPr="00610904">
        <w:rPr>
          <w:rFonts w:ascii="Verdana" w:hAnsi="Verdana"/>
          <w:noProof w:val="0"/>
          <w:sz w:val="16"/>
          <w:szCs w:val="16"/>
          <w:lang w:val="en-US"/>
        </w:rPr>
        <w:t>c[</w:t>
      </w:r>
      <w:proofErr w:type="gramEnd"/>
      <w:r w:rsidR="001403CE" w:rsidRPr="00610904">
        <w:rPr>
          <w:rFonts w:ascii="Verdana" w:hAnsi="Verdana"/>
          <w:noProof w:val="0"/>
          <w:sz w:val="16"/>
          <w:szCs w:val="16"/>
          <w:lang w:val="en-US"/>
        </w:rPr>
        <w:t>ould] infect other children with HIV/AIDS</w:t>
      </w:r>
      <w:r w:rsidR="008872FD" w:rsidRPr="00610904">
        <w:rPr>
          <w:rFonts w:ascii="Verdana" w:hAnsi="Verdana"/>
          <w:noProof w:val="0"/>
          <w:sz w:val="16"/>
          <w:szCs w:val="16"/>
          <w:lang w:val="en-US"/>
        </w:rPr>
        <w:t>,</w:t>
      </w:r>
      <w:r w:rsidR="001403CE" w:rsidRPr="00610904">
        <w:rPr>
          <w:rFonts w:ascii="Verdana" w:hAnsi="Verdana"/>
          <w:noProof w:val="0"/>
          <w:sz w:val="16"/>
          <w:szCs w:val="16"/>
          <w:lang w:val="en-US"/>
        </w:rPr>
        <w:t xml:space="preserve"> and it could be seen that they were against the child attending any educational establishment. [She] and [her] </w:t>
      </w:r>
      <w:r w:rsidR="00856968" w:rsidRPr="00610904">
        <w:rPr>
          <w:rFonts w:ascii="Verdana" w:hAnsi="Verdana"/>
          <w:noProof w:val="0"/>
          <w:sz w:val="16"/>
          <w:szCs w:val="16"/>
          <w:lang w:val="en-US"/>
        </w:rPr>
        <w:t>daughter</w:t>
      </w:r>
      <w:r w:rsidR="001403CE" w:rsidRPr="00610904">
        <w:rPr>
          <w:rFonts w:ascii="Verdana" w:hAnsi="Verdana"/>
          <w:noProof w:val="0"/>
          <w:sz w:val="16"/>
          <w:szCs w:val="16"/>
          <w:lang w:val="en-US"/>
        </w:rPr>
        <w:t xml:space="preserve"> […] were threatened by the educational authorities who visited [them] at tim</w:t>
      </w:r>
      <w:r w:rsidR="008872FD" w:rsidRPr="00610904">
        <w:rPr>
          <w:rFonts w:ascii="Verdana" w:hAnsi="Verdana"/>
          <w:noProof w:val="0"/>
          <w:sz w:val="16"/>
          <w:szCs w:val="16"/>
          <w:lang w:val="en-US"/>
        </w:rPr>
        <w:t>es asking for information on [Ta</w:t>
      </w:r>
      <w:r w:rsidR="001403CE" w:rsidRPr="00610904">
        <w:rPr>
          <w:rFonts w:ascii="Verdana" w:hAnsi="Verdana"/>
          <w:noProof w:val="0"/>
          <w:sz w:val="16"/>
          <w:szCs w:val="16"/>
          <w:lang w:val="en-US"/>
        </w:rPr>
        <w:t xml:space="preserve">lía], because the authorities told [them] that if the child was there, this would be a serious offense, and […] the </w:t>
      </w:r>
      <w:r w:rsidR="008872FD" w:rsidRPr="00610904">
        <w:rPr>
          <w:rFonts w:ascii="Verdana" w:hAnsi="Verdana"/>
          <w:noProof w:val="0"/>
          <w:sz w:val="16"/>
          <w:szCs w:val="16"/>
          <w:lang w:val="en-US"/>
        </w:rPr>
        <w:t>punishment</w:t>
      </w:r>
      <w:r w:rsidR="001403CE" w:rsidRPr="00610904">
        <w:rPr>
          <w:rFonts w:ascii="Verdana" w:hAnsi="Verdana"/>
          <w:noProof w:val="0"/>
          <w:sz w:val="16"/>
          <w:szCs w:val="16"/>
          <w:lang w:val="en-US"/>
        </w:rPr>
        <w:t xml:space="preserve"> [would be] dismissal from [her] position and the end of [her] daughter</w:t>
      </w:r>
      <w:r w:rsidR="008872FD" w:rsidRPr="00610904">
        <w:rPr>
          <w:rFonts w:ascii="Verdana" w:hAnsi="Verdana"/>
          <w:noProof w:val="0"/>
          <w:sz w:val="16"/>
          <w:szCs w:val="16"/>
          <w:lang w:val="en-US"/>
        </w:rPr>
        <w:t>’s contract as</w:t>
      </w:r>
      <w:r w:rsidR="001403CE" w:rsidRPr="00610904">
        <w:rPr>
          <w:rFonts w:ascii="Verdana" w:hAnsi="Verdana"/>
          <w:noProof w:val="0"/>
          <w:sz w:val="16"/>
          <w:szCs w:val="16"/>
          <w:lang w:val="en-US"/>
        </w:rPr>
        <w:t xml:space="preserve"> a teacher at the establishment. </w:t>
      </w:r>
      <w:r w:rsidR="008872FD" w:rsidRPr="00610904">
        <w:rPr>
          <w:rFonts w:ascii="Verdana" w:hAnsi="Verdana"/>
          <w:noProof w:val="0"/>
          <w:sz w:val="16"/>
          <w:szCs w:val="16"/>
          <w:lang w:val="en-US"/>
        </w:rPr>
        <w:t>Talía could never take part in</w:t>
      </w:r>
      <w:r w:rsidR="001403CE" w:rsidRPr="00610904">
        <w:rPr>
          <w:rFonts w:ascii="Verdana" w:hAnsi="Verdana"/>
          <w:noProof w:val="0"/>
          <w:sz w:val="16"/>
          <w:szCs w:val="16"/>
          <w:lang w:val="en-US"/>
        </w:rPr>
        <w:t xml:space="preserve"> social program</w:t>
      </w:r>
      <w:r w:rsidR="008872FD" w:rsidRPr="00610904">
        <w:rPr>
          <w:rFonts w:ascii="Verdana" w:hAnsi="Verdana"/>
          <w:noProof w:val="0"/>
          <w:sz w:val="16"/>
          <w:szCs w:val="16"/>
          <w:lang w:val="en-US"/>
        </w:rPr>
        <w:t>s, which</w:t>
      </w:r>
      <w:r w:rsidR="001403CE" w:rsidRPr="00610904">
        <w:rPr>
          <w:rFonts w:ascii="Verdana" w:hAnsi="Verdana"/>
          <w:noProof w:val="0"/>
          <w:sz w:val="16"/>
          <w:szCs w:val="16"/>
          <w:lang w:val="en-US"/>
        </w:rPr>
        <w:t xml:space="preserve"> </w:t>
      </w:r>
      <w:r w:rsidR="008872FD" w:rsidRPr="00610904">
        <w:rPr>
          <w:rFonts w:ascii="Verdana" w:hAnsi="Verdana"/>
          <w:noProof w:val="0"/>
          <w:sz w:val="16"/>
          <w:szCs w:val="16"/>
          <w:lang w:val="en-US"/>
        </w:rPr>
        <w:t>she never attended,</w:t>
      </w:r>
      <w:r w:rsidR="001403CE" w:rsidRPr="00610904">
        <w:rPr>
          <w:rFonts w:ascii="Verdana" w:hAnsi="Verdana"/>
          <w:noProof w:val="0"/>
          <w:sz w:val="16"/>
          <w:szCs w:val="16"/>
          <w:lang w:val="en-US"/>
        </w:rPr>
        <w:t xml:space="preserve"> because </w:t>
      </w:r>
      <w:r w:rsidR="00856968" w:rsidRPr="00610904">
        <w:rPr>
          <w:rFonts w:ascii="Verdana" w:hAnsi="Verdana"/>
          <w:noProof w:val="0"/>
          <w:sz w:val="16"/>
          <w:szCs w:val="16"/>
          <w:lang w:val="en-US"/>
        </w:rPr>
        <w:t>the authorities were constantly</w:t>
      </w:r>
      <w:r w:rsidR="001403CE" w:rsidRPr="00610904">
        <w:rPr>
          <w:rFonts w:ascii="Verdana" w:hAnsi="Verdana"/>
          <w:noProof w:val="0"/>
          <w:sz w:val="16"/>
          <w:szCs w:val="16"/>
          <w:lang w:val="en-US"/>
        </w:rPr>
        <w:t xml:space="preserve"> looking for her to know who and where the child was, bu</w:t>
      </w:r>
      <w:r w:rsidR="008872FD" w:rsidRPr="00610904">
        <w:rPr>
          <w:rFonts w:ascii="Verdana" w:hAnsi="Verdana"/>
          <w:noProof w:val="0"/>
          <w:sz w:val="16"/>
          <w:szCs w:val="16"/>
          <w:lang w:val="en-US"/>
        </w:rPr>
        <w:t>t not to provide assistance; rather, to the contrary, they appeared to be</w:t>
      </w:r>
      <w:r w:rsidR="001403CE" w:rsidRPr="00610904">
        <w:rPr>
          <w:rFonts w:ascii="Verdana" w:hAnsi="Verdana"/>
          <w:noProof w:val="0"/>
          <w:sz w:val="16"/>
          <w:szCs w:val="16"/>
          <w:lang w:val="en-US"/>
        </w:rPr>
        <w:t xml:space="preserve"> hunting her down.</w:t>
      </w:r>
      <w:r w:rsidR="003040F7" w:rsidRPr="00610904">
        <w:rPr>
          <w:rFonts w:ascii="Verdana" w:hAnsi="Verdana"/>
          <w:noProof w:val="0"/>
          <w:sz w:val="16"/>
          <w:szCs w:val="16"/>
          <w:lang w:val="en-US"/>
        </w:rPr>
        <w:t>”</w:t>
      </w:r>
      <w:r w:rsidR="003040F7" w:rsidRPr="00610904">
        <w:rPr>
          <w:rStyle w:val="FootnoteReference"/>
          <w:rFonts w:ascii="Verdana" w:eastAsia="Times New Roman" w:hAnsi="Verdana"/>
          <w:noProof w:val="0"/>
          <w:sz w:val="16"/>
          <w:szCs w:val="16"/>
          <w:lang w:val="en-US"/>
        </w:rPr>
        <w:t xml:space="preserve"> </w:t>
      </w:r>
      <w:r w:rsidR="003040F7" w:rsidRPr="00610904">
        <w:rPr>
          <w:rStyle w:val="FootnoteReference"/>
          <w:rFonts w:ascii="Verdana" w:eastAsia="Times New Roman" w:hAnsi="Verdana"/>
          <w:noProof w:val="0"/>
          <w:sz w:val="16"/>
          <w:szCs w:val="16"/>
          <w:lang w:val="en-US"/>
        </w:rPr>
        <w:footnoteReference w:id="335"/>
      </w:r>
    </w:p>
    <w:p w:rsidR="003040F7" w:rsidRPr="00610904" w:rsidRDefault="003040F7" w:rsidP="00610904">
      <w:pPr>
        <w:pStyle w:val="PlainText"/>
        <w:rPr>
          <w:rFonts w:ascii="Verdana" w:hAnsi="Verdana"/>
          <w:noProof w:val="0"/>
          <w:szCs w:val="20"/>
          <w:lang w:val="en-US"/>
        </w:rPr>
      </w:pPr>
    </w:p>
    <w:p w:rsidR="003040F7" w:rsidRPr="00610904" w:rsidRDefault="00483F66" w:rsidP="00610904">
      <w:pPr>
        <w:pStyle w:val="MediumGrid1-Accent21"/>
        <w:numPr>
          <w:ilvl w:val="0"/>
          <w:numId w:val="1"/>
        </w:numPr>
        <w:contextualSpacing w:val="0"/>
        <w:rPr>
          <w:noProof w:val="0"/>
          <w:lang w:val="en-US"/>
        </w:rPr>
      </w:pPr>
      <w:r w:rsidRPr="00610904">
        <w:rPr>
          <w:rFonts w:cs="Arial"/>
          <w:noProof w:val="0"/>
          <w:szCs w:val="20"/>
          <w:lang w:val="en-US"/>
        </w:rPr>
        <w:t>Dur</w:t>
      </w:r>
      <w:r w:rsidR="001403CE" w:rsidRPr="00610904">
        <w:rPr>
          <w:rFonts w:cs="Arial"/>
          <w:noProof w:val="0"/>
          <w:szCs w:val="20"/>
          <w:lang w:val="en-US"/>
        </w:rPr>
        <w:t xml:space="preserve">ing term time, </w:t>
      </w:r>
      <w:r w:rsidR="00CD3738" w:rsidRPr="00610904">
        <w:rPr>
          <w:rFonts w:cs="Arial"/>
          <w:noProof w:val="0"/>
          <w:szCs w:val="20"/>
          <w:lang w:val="en-US"/>
        </w:rPr>
        <w:t>Talía</w:t>
      </w:r>
      <w:r w:rsidR="003040F7" w:rsidRPr="00610904">
        <w:rPr>
          <w:rFonts w:cs="Arial"/>
          <w:noProof w:val="0"/>
          <w:szCs w:val="20"/>
          <w:lang w:val="en-US"/>
        </w:rPr>
        <w:t xml:space="preserve"> </w:t>
      </w:r>
      <w:r w:rsidR="001403CE" w:rsidRPr="00610904">
        <w:rPr>
          <w:rFonts w:cs="Arial"/>
          <w:noProof w:val="0"/>
          <w:szCs w:val="20"/>
          <w:lang w:val="en-US"/>
        </w:rPr>
        <w:t>had no difficulty in integrating her new environment and she had no health problems.</w:t>
      </w:r>
      <w:r w:rsidR="003040F7" w:rsidRPr="00610904">
        <w:rPr>
          <w:rStyle w:val="FootnoteReference"/>
          <w:rFonts w:eastAsia="Times New Roman"/>
          <w:noProof w:val="0"/>
          <w:lang w:val="en-US"/>
        </w:rPr>
        <w:footnoteReference w:id="336"/>
      </w:r>
      <w:r w:rsidR="001403CE" w:rsidRPr="00610904">
        <w:rPr>
          <w:noProof w:val="0"/>
          <w:szCs w:val="20"/>
          <w:lang w:val="en-US"/>
        </w:rPr>
        <w:t xml:space="preserve"> However, the State has no</w:t>
      </w:r>
      <w:r w:rsidR="008872FD" w:rsidRPr="00610904">
        <w:rPr>
          <w:noProof w:val="0"/>
          <w:szCs w:val="20"/>
          <w:lang w:val="en-US"/>
        </w:rPr>
        <w:t xml:space="preserve">t contested the charge that </w:t>
      </w:r>
      <w:r w:rsidR="001403CE" w:rsidRPr="00610904">
        <w:rPr>
          <w:noProof w:val="0"/>
          <w:szCs w:val="20"/>
          <w:lang w:val="en-US"/>
        </w:rPr>
        <w:t xml:space="preserve">Ministry of Education authorities were checking whether </w:t>
      </w:r>
      <w:r w:rsidR="001403CE" w:rsidRPr="00610904">
        <w:rPr>
          <w:rFonts w:cs="Arial"/>
          <w:noProof w:val="0"/>
          <w:szCs w:val="20"/>
          <w:lang w:val="en-US"/>
        </w:rPr>
        <w:t>Talía was studying at “El Cebollar,” owing to the supposed risk that this would pose for the o</w:t>
      </w:r>
      <w:r w:rsidR="008872FD" w:rsidRPr="00610904">
        <w:rPr>
          <w:rFonts w:cs="Arial"/>
          <w:noProof w:val="0"/>
          <w:szCs w:val="20"/>
          <w:lang w:val="en-US"/>
        </w:rPr>
        <w:t>ther children. In addition, the Azuay Red Cross also visited the</w:t>
      </w:r>
      <w:r w:rsidR="001403CE" w:rsidRPr="00610904">
        <w:rPr>
          <w:rFonts w:cs="Arial"/>
          <w:noProof w:val="0"/>
          <w:szCs w:val="20"/>
          <w:lang w:val="en-US"/>
        </w:rPr>
        <w:t xml:space="preserve"> kindergarten </w:t>
      </w:r>
      <w:r w:rsidR="008872FD" w:rsidRPr="00610904">
        <w:rPr>
          <w:rFonts w:cs="Arial"/>
          <w:noProof w:val="0"/>
          <w:szCs w:val="20"/>
          <w:lang w:val="en-US"/>
        </w:rPr>
        <w:t>with</w:t>
      </w:r>
      <w:r w:rsidR="001403CE" w:rsidRPr="00610904">
        <w:rPr>
          <w:rFonts w:cs="Arial"/>
          <w:noProof w:val="0"/>
          <w:szCs w:val="20"/>
          <w:lang w:val="en-US"/>
        </w:rPr>
        <w:t xml:space="preserve"> a parent who knew</w:t>
      </w:r>
      <w:r w:rsidR="008872FD" w:rsidRPr="00610904">
        <w:rPr>
          <w:rFonts w:cs="Arial"/>
          <w:noProof w:val="0"/>
          <w:szCs w:val="20"/>
          <w:lang w:val="en-US"/>
        </w:rPr>
        <w:t xml:space="preserve"> that a </w:t>
      </w:r>
      <w:r w:rsidR="001403CE" w:rsidRPr="00610904">
        <w:rPr>
          <w:rFonts w:cs="Arial"/>
          <w:noProof w:val="0"/>
          <w:szCs w:val="20"/>
          <w:lang w:val="en-US"/>
        </w:rPr>
        <w:t>child with HIV at</w:t>
      </w:r>
      <w:r w:rsidR="008872FD" w:rsidRPr="00610904">
        <w:rPr>
          <w:rFonts w:cs="Arial"/>
          <w:noProof w:val="0"/>
          <w:szCs w:val="20"/>
          <w:lang w:val="en-US"/>
        </w:rPr>
        <w:t>tended</w:t>
      </w:r>
      <w:r w:rsidR="001403CE" w:rsidRPr="00610904">
        <w:rPr>
          <w:rFonts w:cs="Arial"/>
          <w:noProof w:val="0"/>
          <w:szCs w:val="20"/>
          <w:lang w:val="en-US"/>
        </w:rPr>
        <w:t xml:space="preserve"> “El Cebollar” and, for this reason, some children were withdrawn from the establishment.</w:t>
      </w:r>
      <w:r w:rsidR="003040F7" w:rsidRPr="00610904">
        <w:rPr>
          <w:rStyle w:val="FootnoteReference"/>
          <w:rFonts w:eastAsia="Times New Roman"/>
          <w:noProof w:val="0"/>
          <w:lang w:val="en-US"/>
        </w:rPr>
        <w:footnoteReference w:id="337"/>
      </w:r>
      <w:r w:rsidR="003040F7" w:rsidRPr="00610904">
        <w:rPr>
          <w:rFonts w:eastAsia="Calibri" w:cs="Arial"/>
          <w:noProof w:val="0"/>
          <w:szCs w:val="20"/>
          <w:lang w:val="en-US"/>
        </w:rPr>
        <w:t xml:space="preserve"> </w:t>
      </w:r>
      <w:r w:rsidR="009F3D78" w:rsidRPr="00610904">
        <w:rPr>
          <w:rFonts w:cs="Arial"/>
          <w:noProof w:val="0"/>
          <w:szCs w:val="20"/>
          <w:lang w:val="en-US"/>
        </w:rPr>
        <w:t xml:space="preserve">The </w:t>
      </w:r>
      <w:r w:rsidR="009F3D78" w:rsidRPr="00610904">
        <w:rPr>
          <w:rFonts w:cs="Arial"/>
          <w:noProof w:val="0"/>
          <w:szCs w:val="20"/>
          <w:lang w:val="en-US"/>
        </w:rPr>
        <w:lastRenderedPageBreak/>
        <w:t>Court</w:t>
      </w:r>
      <w:r w:rsidR="001403CE" w:rsidRPr="00610904">
        <w:rPr>
          <w:rFonts w:cs="Arial"/>
          <w:noProof w:val="0"/>
          <w:szCs w:val="20"/>
          <w:lang w:val="en-US"/>
        </w:rPr>
        <w:t xml:space="preserve"> observes that one of the effects of the stigma w</w:t>
      </w:r>
      <w:r w:rsidR="008872FD" w:rsidRPr="00610904">
        <w:rPr>
          <w:rFonts w:cs="Arial"/>
          <w:noProof w:val="0"/>
          <w:szCs w:val="20"/>
          <w:lang w:val="en-US"/>
        </w:rPr>
        <w:t>a</w:t>
      </w:r>
      <w:r w:rsidR="001403CE" w:rsidRPr="00610904">
        <w:rPr>
          <w:rFonts w:cs="Arial"/>
          <w:noProof w:val="0"/>
          <w:szCs w:val="20"/>
          <w:lang w:val="en-US"/>
        </w:rPr>
        <w:t>s the need of both the Lluy family and the teachers of one of the educational establishments that received Talía to deny her status as a person living with HIV so that she would not be subject to arbitrary treatment.</w:t>
      </w:r>
    </w:p>
    <w:p w:rsidR="003040F7" w:rsidRPr="00610904" w:rsidRDefault="003040F7" w:rsidP="00610904">
      <w:pPr>
        <w:pStyle w:val="MediumGrid1-Accent21"/>
        <w:rPr>
          <w:rFonts w:cs="Arial"/>
          <w:noProof w:val="0"/>
          <w:szCs w:val="20"/>
          <w:lang w:val="en-US"/>
        </w:rPr>
      </w:pPr>
    </w:p>
    <w:p w:rsidR="003040F7" w:rsidRPr="00610904" w:rsidRDefault="001403CE" w:rsidP="00610904">
      <w:pPr>
        <w:pStyle w:val="MediumGrid1-Accent21"/>
        <w:numPr>
          <w:ilvl w:val="0"/>
          <w:numId w:val="1"/>
        </w:numPr>
        <w:contextualSpacing w:val="0"/>
        <w:rPr>
          <w:noProof w:val="0"/>
          <w:lang w:val="en-US"/>
        </w:rPr>
      </w:pPr>
      <w:r w:rsidRPr="00610904">
        <w:rPr>
          <w:rFonts w:cs="Arial"/>
          <w:noProof w:val="0"/>
          <w:szCs w:val="20"/>
          <w:lang w:val="en-US"/>
        </w:rPr>
        <w:t xml:space="preserve">In view of the fact that </w:t>
      </w:r>
      <w:r w:rsidR="003040F7" w:rsidRPr="00610904">
        <w:rPr>
          <w:rFonts w:cs="Arial"/>
          <w:noProof w:val="0"/>
          <w:szCs w:val="20"/>
          <w:lang w:val="en-US"/>
        </w:rPr>
        <w:t xml:space="preserve">“El Cebollar” </w:t>
      </w:r>
      <w:r w:rsidRPr="00610904">
        <w:rPr>
          <w:rFonts w:cs="Arial"/>
          <w:noProof w:val="0"/>
          <w:szCs w:val="20"/>
          <w:lang w:val="en-US"/>
        </w:rPr>
        <w:t xml:space="preserve">was only a kindergarten, after two school years </w:t>
      </w:r>
      <w:r w:rsidR="003040F7" w:rsidRPr="00610904">
        <w:rPr>
          <w:rFonts w:cs="Arial"/>
          <w:noProof w:val="0"/>
          <w:szCs w:val="20"/>
          <w:lang w:val="en-US"/>
        </w:rPr>
        <w:t xml:space="preserve">Teresa Lluy </w:t>
      </w:r>
      <w:r w:rsidRPr="00610904">
        <w:rPr>
          <w:rFonts w:cs="Arial"/>
          <w:noProof w:val="0"/>
          <w:szCs w:val="20"/>
          <w:lang w:val="en-US"/>
        </w:rPr>
        <w:t xml:space="preserve">had to find another school for </w:t>
      </w:r>
      <w:r w:rsidR="00CD3738" w:rsidRPr="00610904">
        <w:rPr>
          <w:rFonts w:cs="Arial"/>
          <w:noProof w:val="0"/>
          <w:szCs w:val="20"/>
          <w:lang w:val="en-US"/>
        </w:rPr>
        <w:t>Talía</w:t>
      </w:r>
      <w:r w:rsidR="003040F7" w:rsidRPr="00610904">
        <w:rPr>
          <w:rFonts w:cs="Arial"/>
          <w:noProof w:val="0"/>
          <w:szCs w:val="20"/>
          <w:lang w:val="en-US"/>
        </w:rPr>
        <w:t xml:space="preserve">. </w:t>
      </w:r>
      <w:r w:rsidRPr="00610904">
        <w:rPr>
          <w:rFonts w:cs="Arial"/>
          <w:noProof w:val="0"/>
          <w:szCs w:val="20"/>
          <w:lang w:val="en-US"/>
        </w:rPr>
        <w:t>Ms.</w:t>
      </w:r>
      <w:r w:rsidR="003040F7" w:rsidRPr="00610904">
        <w:rPr>
          <w:rFonts w:cs="Arial"/>
          <w:noProof w:val="0"/>
          <w:szCs w:val="20"/>
          <w:lang w:val="en-US"/>
        </w:rPr>
        <w:t xml:space="preserve"> Vinueza </w:t>
      </w:r>
      <w:r w:rsidRPr="00610904">
        <w:rPr>
          <w:rFonts w:cs="Arial"/>
          <w:noProof w:val="0"/>
          <w:szCs w:val="20"/>
          <w:lang w:val="en-US"/>
        </w:rPr>
        <w:t xml:space="preserve">stated that she </w:t>
      </w:r>
      <w:r w:rsidR="008872FD" w:rsidRPr="00610904">
        <w:rPr>
          <w:rFonts w:cs="Arial"/>
          <w:noProof w:val="0"/>
          <w:szCs w:val="20"/>
          <w:lang w:val="en-US"/>
        </w:rPr>
        <w:t>had provided assistance</w:t>
      </w:r>
      <w:r w:rsidRPr="00610904">
        <w:rPr>
          <w:rFonts w:cs="Arial"/>
          <w:noProof w:val="0"/>
          <w:szCs w:val="20"/>
          <w:lang w:val="en-US"/>
        </w:rPr>
        <w:t xml:space="preserve"> </w:t>
      </w:r>
      <w:r w:rsidR="008872FD" w:rsidRPr="00610904">
        <w:rPr>
          <w:rFonts w:cs="Arial"/>
          <w:noProof w:val="0"/>
          <w:szCs w:val="20"/>
          <w:lang w:val="en-US"/>
        </w:rPr>
        <w:t>by</w:t>
      </w:r>
      <w:r w:rsidRPr="00610904">
        <w:rPr>
          <w:rFonts w:cs="Arial"/>
          <w:noProof w:val="0"/>
          <w:szCs w:val="20"/>
          <w:lang w:val="en-US"/>
        </w:rPr>
        <w:t xml:space="preserve"> mentioning the situation to a trustworthy friend, who was also a teacher, who had no problem in receiving </w:t>
      </w:r>
      <w:r w:rsidR="00CD3738" w:rsidRPr="00610904">
        <w:rPr>
          <w:rFonts w:cs="Arial"/>
          <w:noProof w:val="0"/>
          <w:szCs w:val="20"/>
          <w:lang w:val="en-US"/>
        </w:rPr>
        <w:t>Talía</w:t>
      </w:r>
      <w:r w:rsidR="003040F7" w:rsidRPr="00610904">
        <w:rPr>
          <w:rFonts w:cs="Arial"/>
          <w:noProof w:val="0"/>
          <w:szCs w:val="20"/>
          <w:lang w:val="en-US"/>
        </w:rPr>
        <w:t xml:space="preserve">. </w:t>
      </w:r>
      <w:r w:rsidRPr="00610904">
        <w:rPr>
          <w:rFonts w:cs="Arial"/>
          <w:noProof w:val="0"/>
          <w:szCs w:val="20"/>
          <w:lang w:val="en-US"/>
        </w:rPr>
        <w:t xml:space="preserve">However, Ms. </w:t>
      </w:r>
      <w:r w:rsidR="003040F7" w:rsidRPr="00610904">
        <w:rPr>
          <w:rFonts w:cs="Arial"/>
          <w:noProof w:val="0"/>
          <w:szCs w:val="20"/>
          <w:lang w:val="en-US"/>
        </w:rPr>
        <w:t xml:space="preserve">Vinueza </w:t>
      </w:r>
      <w:r w:rsidRPr="00610904">
        <w:rPr>
          <w:rFonts w:cs="Arial"/>
          <w:noProof w:val="0"/>
          <w:szCs w:val="20"/>
          <w:lang w:val="en-US"/>
        </w:rPr>
        <w:t xml:space="preserve">affirmed that “after a time, the educational authorities discovered that </w:t>
      </w:r>
      <w:r w:rsidR="003040F7" w:rsidRPr="00610904">
        <w:rPr>
          <w:rFonts w:cs="Arial"/>
          <w:noProof w:val="0"/>
          <w:szCs w:val="20"/>
          <w:lang w:val="en-US"/>
        </w:rPr>
        <w:t>[</w:t>
      </w:r>
      <w:r w:rsidR="00CD3738" w:rsidRPr="00610904">
        <w:rPr>
          <w:rFonts w:cs="Arial"/>
          <w:noProof w:val="0"/>
          <w:szCs w:val="20"/>
          <w:lang w:val="en-US"/>
        </w:rPr>
        <w:t>Talía</w:t>
      </w:r>
      <w:r w:rsidR="003040F7" w:rsidRPr="00610904">
        <w:rPr>
          <w:rFonts w:cs="Arial"/>
          <w:noProof w:val="0"/>
          <w:szCs w:val="20"/>
          <w:lang w:val="en-US"/>
        </w:rPr>
        <w:t xml:space="preserve">] </w:t>
      </w:r>
      <w:r w:rsidRPr="00610904">
        <w:rPr>
          <w:rFonts w:cs="Arial"/>
          <w:noProof w:val="0"/>
          <w:szCs w:val="20"/>
          <w:lang w:val="en-US"/>
        </w:rPr>
        <w:t>was attending “El Cebollar” and, on several occasions, the office of the Vice Minister of Education called her asking for information on the child.</w:t>
      </w:r>
      <w:r w:rsidR="003040F7" w:rsidRPr="00610904">
        <w:rPr>
          <w:rFonts w:cs="Arial"/>
          <w:noProof w:val="0"/>
          <w:szCs w:val="20"/>
          <w:lang w:val="en-US"/>
        </w:rPr>
        <w:t>”</w:t>
      </w:r>
      <w:r w:rsidR="003040F7" w:rsidRPr="00610904">
        <w:rPr>
          <w:rStyle w:val="FootnoteReference"/>
          <w:rFonts w:eastAsia="Times New Roman"/>
          <w:noProof w:val="0"/>
          <w:lang w:val="en-US"/>
        </w:rPr>
        <w:footnoteReference w:id="338"/>
      </w:r>
    </w:p>
    <w:p w:rsidR="003040F7" w:rsidRPr="00610904" w:rsidRDefault="003040F7" w:rsidP="00610904">
      <w:pPr>
        <w:pStyle w:val="MediumGrid1-Accent21"/>
        <w:rPr>
          <w:rFonts w:cs="Arial"/>
          <w:noProof w:val="0"/>
          <w:szCs w:val="20"/>
          <w:lang w:val="en-US"/>
        </w:rPr>
      </w:pPr>
    </w:p>
    <w:p w:rsidR="003040F7" w:rsidRPr="00610904" w:rsidRDefault="001403CE" w:rsidP="00610904">
      <w:pPr>
        <w:pStyle w:val="MediumGrid1-Accent21"/>
        <w:numPr>
          <w:ilvl w:val="0"/>
          <w:numId w:val="1"/>
        </w:numPr>
        <w:contextualSpacing w:val="0"/>
        <w:rPr>
          <w:noProof w:val="0"/>
          <w:lang w:val="en-US"/>
        </w:rPr>
      </w:pPr>
      <w:r w:rsidRPr="00610904">
        <w:rPr>
          <w:rFonts w:cs="Arial"/>
          <w:noProof w:val="0"/>
          <w:szCs w:val="20"/>
          <w:lang w:val="en-US"/>
        </w:rPr>
        <w:t xml:space="preserve">Given the precarious financial situation of </w:t>
      </w:r>
      <w:r w:rsidR="00EC0A9D" w:rsidRPr="00610904">
        <w:rPr>
          <w:rFonts w:cs="Arial"/>
          <w:noProof w:val="0"/>
          <w:szCs w:val="20"/>
          <w:lang w:val="en-US"/>
        </w:rPr>
        <w:t>Talía’s family</w:t>
      </w:r>
      <w:r w:rsidR="009F3D78" w:rsidRPr="00610904">
        <w:rPr>
          <w:rFonts w:cs="Arial"/>
          <w:noProof w:val="0"/>
          <w:szCs w:val="20"/>
          <w:lang w:val="en-US"/>
        </w:rPr>
        <w:t xml:space="preserve"> and</w:t>
      </w:r>
      <w:r w:rsidRPr="00610904">
        <w:rPr>
          <w:rFonts w:cs="Arial"/>
          <w:noProof w:val="0"/>
          <w:szCs w:val="20"/>
          <w:lang w:val="en-US"/>
        </w:rPr>
        <w:t xml:space="preserve"> the stigma associated with her illness, she did not receive a stable education in a single educational establishment. In a</w:t>
      </w:r>
      <w:r w:rsidR="008872FD" w:rsidRPr="00610904">
        <w:rPr>
          <w:rFonts w:cs="Arial"/>
          <w:noProof w:val="0"/>
          <w:szCs w:val="20"/>
          <w:lang w:val="en-US"/>
        </w:rPr>
        <w:t>n</w:t>
      </w:r>
      <w:r w:rsidRPr="00610904">
        <w:rPr>
          <w:rFonts w:cs="Arial"/>
          <w:noProof w:val="0"/>
          <w:szCs w:val="20"/>
          <w:lang w:val="en-US"/>
        </w:rPr>
        <w:t xml:space="preserve"> affidavit, that the State has not contested</w:t>
      </w:r>
      <w:r w:rsidR="003040F7" w:rsidRPr="00610904">
        <w:rPr>
          <w:rFonts w:cs="Arial"/>
          <w:noProof w:val="0"/>
          <w:szCs w:val="20"/>
          <w:lang w:val="en-US"/>
        </w:rPr>
        <w:t xml:space="preserve">, </w:t>
      </w:r>
      <w:r w:rsidR="00CD3738" w:rsidRPr="00610904">
        <w:rPr>
          <w:rFonts w:cs="Arial"/>
          <w:noProof w:val="0"/>
          <w:szCs w:val="20"/>
          <w:lang w:val="en-US"/>
        </w:rPr>
        <w:t>Talía</w:t>
      </w:r>
      <w:r w:rsidR="003040F7" w:rsidRPr="00610904">
        <w:rPr>
          <w:rFonts w:cs="Arial"/>
          <w:noProof w:val="0"/>
          <w:szCs w:val="20"/>
          <w:lang w:val="en-US"/>
        </w:rPr>
        <w:t xml:space="preserve"> </w:t>
      </w:r>
      <w:r w:rsidRPr="00610904">
        <w:rPr>
          <w:rFonts w:cs="Arial"/>
          <w:noProof w:val="0"/>
          <w:szCs w:val="20"/>
          <w:lang w:val="en-US"/>
        </w:rPr>
        <w:t>indicated that</w:t>
      </w:r>
      <w:r w:rsidR="003040F7" w:rsidRPr="00610904">
        <w:rPr>
          <w:rFonts w:cs="Arial"/>
          <w:noProof w:val="0"/>
          <w:szCs w:val="20"/>
          <w:lang w:val="en-US"/>
        </w:rPr>
        <w:t>:</w:t>
      </w:r>
    </w:p>
    <w:p w:rsidR="003040F7" w:rsidRPr="00610904" w:rsidRDefault="003040F7" w:rsidP="00610904">
      <w:pPr>
        <w:pStyle w:val="MediumGrid1-Accent21"/>
        <w:ind w:left="0"/>
        <w:rPr>
          <w:rFonts w:cs="Arial"/>
          <w:noProof w:val="0"/>
          <w:szCs w:val="20"/>
          <w:lang w:val="en-US"/>
        </w:rPr>
      </w:pPr>
    </w:p>
    <w:p w:rsidR="003040F7" w:rsidRPr="00610904" w:rsidRDefault="003040F7" w:rsidP="0067538E">
      <w:pPr>
        <w:pStyle w:val="MediumGrid1-Accent21"/>
        <w:ind w:left="630" w:right="475"/>
        <w:rPr>
          <w:rFonts w:cs="Arial"/>
          <w:noProof w:val="0"/>
          <w:sz w:val="16"/>
          <w:szCs w:val="20"/>
          <w:lang w:val="en-US"/>
        </w:rPr>
      </w:pPr>
      <w:r w:rsidRPr="00610904">
        <w:rPr>
          <w:rFonts w:cs="Arial"/>
          <w:noProof w:val="0"/>
          <w:sz w:val="16"/>
          <w:szCs w:val="20"/>
          <w:lang w:val="en-US"/>
        </w:rPr>
        <w:t>“[</w:t>
      </w:r>
      <w:r w:rsidR="00B63D4D" w:rsidRPr="00610904">
        <w:rPr>
          <w:rFonts w:cs="Arial"/>
          <w:noProof w:val="0"/>
          <w:sz w:val="16"/>
          <w:szCs w:val="20"/>
          <w:lang w:val="en-US"/>
        </w:rPr>
        <w:t xml:space="preserve">Her] mother took [her] to many schools which were </w:t>
      </w:r>
      <w:r w:rsidR="008872FD" w:rsidRPr="00610904">
        <w:rPr>
          <w:rFonts w:cs="Arial"/>
          <w:noProof w:val="0"/>
          <w:sz w:val="16"/>
          <w:szCs w:val="20"/>
          <w:lang w:val="en-US"/>
        </w:rPr>
        <w:t>far away</w:t>
      </w:r>
      <w:r w:rsidR="00B63D4D" w:rsidRPr="00610904">
        <w:rPr>
          <w:rFonts w:cs="Arial"/>
          <w:noProof w:val="0"/>
          <w:sz w:val="16"/>
          <w:szCs w:val="20"/>
          <w:lang w:val="en-US"/>
        </w:rPr>
        <w:t xml:space="preserve"> from [their] home. [… They] had to take the bus for about an hour to reach the school, so that [she] had to get up very early every day; the buses were very full; the trip was long and uncomfortable.</w:t>
      </w:r>
      <w:r w:rsidRPr="00610904">
        <w:rPr>
          <w:rFonts w:cs="Arial"/>
          <w:noProof w:val="0"/>
          <w:sz w:val="16"/>
          <w:szCs w:val="20"/>
          <w:lang w:val="en-US"/>
        </w:rPr>
        <w:t>”</w:t>
      </w:r>
      <w:r w:rsidRPr="00610904">
        <w:rPr>
          <w:rStyle w:val="FootnoteReference"/>
          <w:rFonts w:eastAsia="Times New Roman"/>
          <w:noProof w:val="0"/>
          <w:sz w:val="16"/>
          <w:lang w:val="en-US"/>
        </w:rPr>
        <w:footnoteReference w:id="339"/>
      </w:r>
    </w:p>
    <w:p w:rsidR="003040F7" w:rsidRPr="00610904" w:rsidRDefault="003040F7" w:rsidP="00610904">
      <w:pPr>
        <w:pStyle w:val="MediumGrid1-Accent21"/>
        <w:ind w:left="630" w:right="720"/>
        <w:rPr>
          <w:rFonts w:cs="Arial"/>
          <w:b/>
          <w:noProof w:val="0"/>
          <w:szCs w:val="20"/>
          <w:lang w:val="en-US"/>
        </w:rPr>
      </w:pPr>
    </w:p>
    <w:p w:rsidR="003040F7" w:rsidRPr="00610904" w:rsidRDefault="00B63D4D" w:rsidP="00610904">
      <w:pPr>
        <w:pStyle w:val="MediumGrid1-Accent21"/>
        <w:numPr>
          <w:ilvl w:val="0"/>
          <w:numId w:val="1"/>
        </w:numPr>
        <w:contextualSpacing w:val="0"/>
        <w:rPr>
          <w:noProof w:val="0"/>
          <w:lang w:val="en-US"/>
        </w:rPr>
      </w:pPr>
      <w:r w:rsidRPr="00610904">
        <w:rPr>
          <w:rFonts w:cs="Arial"/>
          <w:noProof w:val="0"/>
          <w:szCs w:val="20"/>
          <w:lang w:val="en-US"/>
        </w:rPr>
        <w:t xml:space="preserve">In addition, </w:t>
      </w:r>
      <w:r w:rsidR="003040F7" w:rsidRPr="00610904">
        <w:rPr>
          <w:rFonts w:cs="Arial"/>
          <w:noProof w:val="0"/>
          <w:szCs w:val="20"/>
          <w:lang w:val="en-US"/>
        </w:rPr>
        <w:t xml:space="preserve">Iván Lluy </w:t>
      </w:r>
      <w:r w:rsidRPr="00610904">
        <w:rPr>
          <w:rFonts w:cs="Arial"/>
          <w:noProof w:val="0"/>
          <w:szCs w:val="20"/>
          <w:lang w:val="en-US"/>
        </w:rPr>
        <w:t xml:space="preserve">stated that, in his school, he also faced situations related to Talía’s HIV that made </w:t>
      </w:r>
      <w:r w:rsidR="008872FD" w:rsidRPr="00610904">
        <w:rPr>
          <w:rFonts w:cs="Arial"/>
          <w:noProof w:val="0"/>
          <w:szCs w:val="20"/>
          <w:lang w:val="en-US"/>
        </w:rPr>
        <w:t>him</w:t>
      </w:r>
      <w:r w:rsidRPr="00610904">
        <w:rPr>
          <w:rFonts w:cs="Arial"/>
          <w:noProof w:val="0"/>
          <w:szCs w:val="20"/>
          <w:lang w:val="en-US"/>
        </w:rPr>
        <w:t xml:space="preserve"> very depressed. In this regard, he stated that his “teachers asked him directly: is it your sister who has problems with </w:t>
      </w:r>
      <w:r w:rsidR="00A8072E" w:rsidRPr="00610904">
        <w:rPr>
          <w:rFonts w:cs="Arial"/>
          <w:noProof w:val="0"/>
          <w:szCs w:val="20"/>
          <w:lang w:val="en-US"/>
        </w:rPr>
        <w:t>the Red Cross</w:t>
      </w:r>
      <w:r w:rsidR="003040F7" w:rsidRPr="00610904">
        <w:rPr>
          <w:rFonts w:cs="Arial"/>
          <w:noProof w:val="0"/>
          <w:szCs w:val="20"/>
          <w:lang w:val="en-US"/>
        </w:rPr>
        <w:t>?”</w:t>
      </w:r>
      <w:r w:rsidR="003040F7" w:rsidRPr="00610904">
        <w:rPr>
          <w:rStyle w:val="FootnoteReference"/>
          <w:noProof w:val="0"/>
          <w:lang w:val="en-US"/>
        </w:rPr>
        <w:footnoteReference w:id="340"/>
      </w:r>
    </w:p>
    <w:p w:rsidR="003040F7" w:rsidRPr="00610904" w:rsidRDefault="003040F7" w:rsidP="00610904">
      <w:pPr>
        <w:pStyle w:val="MediumGrid1-Accent21"/>
        <w:ind w:left="0"/>
        <w:contextualSpacing w:val="0"/>
        <w:rPr>
          <w:noProof w:val="0"/>
          <w:lang w:val="en-US"/>
        </w:rPr>
      </w:pPr>
    </w:p>
    <w:p w:rsidR="00B63D4D" w:rsidRPr="00610904" w:rsidRDefault="00B63D4D" w:rsidP="00610904">
      <w:pPr>
        <w:pStyle w:val="MediumGrid1-Accent21"/>
        <w:numPr>
          <w:ilvl w:val="0"/>
          <w:numId w:val="1"/>
        </w:numPr>
        <w:contextualSpacing w:val="0"/>
        <w:rPr>
          <w:noProof w:val="0"/>
          <w:szCs w:val="20"/>
          <w:lang w:val="en-US"/>
        </w:rPr>
      </w:pPr>
      <w:r w:rsidRPr="00610904">
        <w:rPr>
          <w:noProof w:val="0"/>
          <w:lang w:val="en-US"/>
        </w:rPr>
        <w:t xml:space="preserve">As can be seen, in different situations within the educational environment, both </w:t>
      </w:r>
      <w:r w:rsidR="00CD3738" w:rsidRPr="00610904">
        <w:rPr>
          <w:noProof w:val="0"/>
          <w:lang w:val="en-US"/>
        </w:rPr>
        <w:t>Talía</w:t>
      </w:r>
      <w:r w:rsidR="003040F7" w:rsidRPr="00610904">
        <w:rPr>
          <w:noProof w:val="0"/>
          <w:lang w:val="en-US"/>
        </w:rPr>
        <w:t xml:space="preserve"> </w:t>
      </w:r>
      <w:r w:rsidR="008872FD" w:rsidRPr="00610904">
        <w:rPr>
          <w:noProof w:val="0"/>
          <w:lang w:val="en-US"/>
        </w:rPr>
        <w:t>and her family faced a cl</w:t>
      </w:r>
      <w:r w:rsidRPr="00610904">
        <w:rPr>
          <w:noProof w:val="0"/>
          <w:lang w:val="en-US"/>
        </w:rPr>
        <w:t xml:space="preserve">imate hostile to the illness. In this regard, taking into account that, under the United Nations Convention on the Rights of Persons with Disabilities, “persons with disabilities are part of human diversity and humanity,” the educational </w:t>
      </w:r>
      <w:proofErr w:type="gramStart"/>
      <w:r w:rsidRPr="00610904">
        <w:rPr>
          <w:noProof w:val="0"/>
          <w:lang w:val="en-US"/>
        </w:rPr>
        <w:t>establishment were</w:t>
      </w:r>
      <w:proofErr w:type="gramEnd"/>
      <w:r w:rsidRPr="00610904">
        <w:rPr>
          <w:noProof w:val="0"/>
          <w:lang w:val="en-US"/>
        </w:rPr>
        <w:t xml:space="preserve"> bound to provide an educational environment that would accept and celebrate that diversity. The Court considers that the need for Talía Gonzales Lluy, her family</w:t>
      </w:r>
      <w:r w:rsidR="008872FD" w:rsidRPr="00610904">
        <w:rPr>
          <w:noProof w:val="0"/>
          <w:lang w:val="en-US"/>
        </w:rPr>
        <w:t>,</w:t>
      </w:r>
      <w:r w:rsidRPr="00610904">
        <w:rPr>
          <w:noProof w:val="0"/>
          <w:lang w:val="en-US"/>
        </w:rPr>
        <w:t xml:space="preserve"> and some of her teachers to hide the fact that Talía was living with HIV or to hide in order to accede to and remain within the </w:t>
      </w:r>
      <w:r w:rsidR="001A2523" w:rsidRPr="00610904">
        <w:rPr>
          <w:noProof w:val="0"/>
          <w:lang w:val="en-US"/>
        </w:rPr>
        <w:t>education system</w:t>
      </w:r>
      <w:r w:rsidRPr="00610904">
        <w:rPr>
          <w:noProof w:val="0"/>
          <w:lang w:val="en-US"/>
        </w:rPr>
        <w:t xml:space="preserve"> constituted a disregard for the value of human diversity. The </w:t>
      </w:r>
      <w:r w:rsidR="001A2523" w:rsidRPr="00610904">
        <w:rPr>
          <w:noProof w:val="0"/>
          <w:lang w:val="en-US"/>
        </w:rPr>
        <w:t>education system</w:t>
      </w:r>
      <w:r w:rsidRPr="00610904">
        <w:rPr>
          <w:noProof w:val="0"/>
          <w:lang w:val="en-US"/>
        </w:rPr>
        <w:t xml:space="preserve"> was called upon to help Talía and her family talk about HIV without having to hide it, and to help her retain the highest possible self-esteem as a result of her enviro</w:t>
      </w:r>
      <w:r w:rsidR="008872FD" w:rsidRPr="00610904">
        <w:rPr>
          <w:noProof w:val="0"/>
          <w:lang w:val="en-US"/>
        </w:rPr>
        <w:t>nment and, to a great extent, to educate</w:t>
      </w:r>
      <w:r w:rsidRPr="00610904">
        <w:rPr>
          <w:noProof w:val="0"/>
          <w:lang w:val="en-US"/>
        </w:rPr>
        <w:t xml:space="preserve"> the other students and teachers </w:t>
      </w:r>
      <w:r w:rsidR="008872FD" w:rsidRPr="00610904">
        <w:rPr>
          <w:noProof w:val="0"/>
          <w:lang w:val="en-US"/>
        </w:rPr>
        <w:t>about the meaning of</w:t>
      </w:r>
      <w:r w:rsidRPr="00610904">
        <w:rPr>
          <w:noProof w:val="0"/>
          <w:lang w:val="en-US"/>
        </w:rPr>
        <w:t xml:space="preserve"> diversity and the need to safeguard the principle of non-discrimination in every sphere.</w:t>
      </w:r>
    </w:p>
    <w:p w:rsidR="00B63D4D" w:rsidRPr="00610904" w:rsidRDefault="00B63D4D" w:rsidP="00610904">
      <w:pPr>
        <w:pStyle w:val="Heading3"/>
        <w:rPr>
          <w:noProof w:val="0"/>
          <w:lang w:val="en-US"/>
        </w:rPr>
      </w:pPr>
      <w:bookmarkStart w:id="120" w:name="_Toc427141416"/>
    </w:p>
    <w:p w:rsidR="003040F7" w:rsidRPr="00610904" w:rsidRDefault="003040F7" w:rsidP="00610904">
      <w:pPr>
        <w:pStyle w:val="Heading3"/>
        <w:rPr>
          <w:noProof w:val="0"/>
          <w:szCs w:val="20"/>
          <w:lang w:val="en-US"/>
        </w:rPr>
      </w:pPr>
      <w:bookmarkStart w:id="121" w:name="_Toc443399109"/>
      <w:r w:rsidRPr="00610904">
        <w:rPr>
          <w:noProof w:val="0"/>
          <w:lang w:val="en-US"/>
        </w:rPr>
        <w:t xml:space="preserve">B.5. </w:t>
      </w:r>
      <w:bookmarkEnd w:id="120"/>
      <w:r w:rsidR="00B63D4D" w:rsidRPr="00610904">
        <w:rPr>
          <w:noProof w:val="0"/>
          <w:lang w:val="en-US"/>
        </w:rPr>
        <w:t>Scope of the discrimination that occurred in this case</w:t>
      </w:r>
      <w:bookmarkEnd w:id="121"/>
    </w:p>
    <w:p w:rsidR="003040F7" w:rsidRPr="00610904" w:rsidRDefault="003040F7" w:rsidP="00610904">
      <w:pPr>
        <w:pStyle w:val="MediumGrid1-Accent21"/>
        <w:ind w:left="0"/>
        <w:contextualSpacing w:val="0"/>
        <w:rPr>
          <w:noProof w:val="0"/>
          <w:szCs w:val="20"/>
          <w:lang w:val="en-US"/>
        </w:rPr>
      </w:pPr>
    </w:p>
    <w:p w:rsidR="003040F7" w:rsidRPr="00610904" w:rsidRDefault="009F3D78" w:rsidP="00610904">
      <w:pPr>
        <w:pStyle w:val="PlainText"/>
        <w:numPr>
          <w:ilvl w:val="0"/>
          <w:numId w:val="1"/>
        </w:numPr>
        <w:jc w:val="both"/>
        <w:rPr>
          <w:rFonts w:ascii="Verdana" w:hAnsi="Verdana"/>
          <w:noProof w:val="0"/>
          <w:sz w:val="20"/>
          <w:szCs w:val="20"/>
          <w:lang w:val="en-US"/>
        </w:rPr>
      </w:pPr>
      <w:r w:rsidRPr="00610904">
        <w:rPr>
          <w:rFonts w:ascii="Verdana" w:hAnsi="Verdana" w:cs="Arial"/>
          <w:noProof w:val="0"/>
          <w:color w:val="000000"/>
          <w:sz w:val="20"/>
          <w:szCs w:val="20"/>
          <w:lang w:val="en-US"/>
        </w:rPr>
        <w:t>The Court</w:t>
      </w:r>
      <w:r w:rsidR="003040F7" w:rsidRPr="00610904">
        <w:rPr>
          <w:rFonts w:ascii="Verdana" w:hAnsi="Verdana" w:cs="Arial"/>
          <w:noProof w:val="0"/>
          <w:color w:val="000000"/>
          <w:sz w:val="20"/>
          <w:szCs w:val="20"/>
          <w:lang w:val="en-US"/>
        </w:rPr>
        <w:t xml:space="preserve"> </w:t>
      </w:r>
      <w:r w:rsidR="00B63D4D" w:rsidRPr="00610904">
        <w:rPr>
          <w:rFonts w:ascii="Verdana" w:hAnsi="Verdana" w:cs="Arial"/>
          <w:noProof w:val="0"/>
          <w:color w:val="000000"/>
          <w:sz w:val="20"/>
          <w:szCs w:val="20"/>
          <w:lang w:val="en-US"/>
        </w:rPr>
        <w:t xml:space="preserve">notes that discrimination against </w:t>
      </w:r>
      <w:r w:rsidR="00CD3738" w:rsidRPr="00610904">
        <w:rPr>
          <w:rFonts w:ascii="Verdana" w:hAnsi="Verdana" w:cs="Arial"/>
          <w:noProof w:val="0"/>
          <w:color w:val="000000"/>
          <w:sz w:val="20"/>
          <w:szCs w:val="20"/>
          <w:lang w:val="en-US"/>
        </w:rPr>
        <w:t>Talía</w:t>
      </w:r>
      <w:r w:rsidR="003040F7" w:rsidRPr="00610904">
        <w:rPr>
          <w:rFonts w:ascii="Verdana" w:hAnsi="Verdana" w:cs="Arial"/>
          <w:noProof w:val="0"/>
          <w:color w:val="000000"/>
          <w:sz w:val="20"/>
          <w:szCs w:val="20"/>
          <w:lang w:val="en-US"/>
        </w:rPr>
        <w:t xml:space="preserve"> ha</w:t>
      </w:r>
      <w:r w:rsidR="00B63D4D" w:rsidRPr="00610904">
        <w:rPr>
          <w:rFonts w:ascii="Verdana" w:hAnsi="Verdana" w:cs="Arial"/>
          <w:noProof w:val="0"/>
          <w:color w:val="000000"/>
          <w:sz w:val="20"/>
          <w:szCs w:val="20"/>
          <w:lang w:val="en-US"/>
        </w:rPr>
        <w:t xml:space="preserve">s been associated with factors such as being a woman, a person living with HIV, a person with disabilities, and a minor, and also her socio-economic status. These aspects made her more vulnerable and exacerbated the harm that she suffered. </w:t>
      </w:r>
    </w:p>
    <w:p w:rsidR="003040F7" w:rsidRPr="00610904" w:rsidRDefault="003040F7" w:rsidP="00610904">
      <w:pPr>
        <w:pStyle w:val="MediumGrid1-Accent21"/>
        <w:ind w:left="0"/>
        <w:rPr>
          <w:noProof w:val="0"/>
          <w:lang w:val="en-US"/>
        </w:rPr>
      </w:pPr>
    </w:p>
    <w:p w:rsidR="003040F7" w:rsidRPr="00610904" w:rsidRDefault="007B3443" w:rsidP="00610904">
      <w:pPr>
        <w:pStyle w:val="MediumGrid1-Accent21"/>
        <w:numPr>
          <w:ilvl w:val="0"/>
          <w:numId w:val="1"/>
        </w:numPr>
        <w:rPr>
          <w:noProof w:val="0"/>
          <w:lang w:val="en-US"/>
        </w:rPr>
      </w:pPr>
      <w:r w:rsidRPr="00610904">
        <w:rPr>
          <w:rFonts w:cs="Arial"/>
          <w:noProof w:val="0"/>
          <w:snapToGrid w:val="0"/>
          <w:szCs w:val="20"/>
          <w:lang w:val="en-US"/>
        </w:rPr>
        <w:t>In its</w:t>
      </w:r>
      <w:r w:rsidR="003040F7" w:rsidRPr="00610904">
        <w:rPr>
          <w:rFonts w:cs="Arial"/>
          <w:noProof w:val="0"/>
          <w:snapToGrid w:val="0"/>
          <w:szCs w:val="20"/>
          <w:lang w:val="en-US"/>
        </w:rPr>
        <w:t xml:space="preserve"> </w:t>
      </w:r>
      <w:r w:rsidRPr="00610904">
        <w:rPr>
          <w:rFonts w:cs="Arial"/>
          <w:noProof w:val="0"/>
          <w:snapToGrid w:val="0"/>
          <w:szCs w:val="20"/>
          <w:lang w:val="en-US"/>
        </w:rPr>
        <w:t>General Recommendation</w:t>
      </w:r>
      <w:r w:rsidR="003040F7" w:rsidRPr="00610904">
        <w:rPr>
          <w:rFonts w:cs="Arial"/>
          <w:noProof w:val="0"/>
          <w:snapToGrid w:val="0"/>
          <w:szCs w:val="20"/>
          <w:lang w:val="en-US"/>
        </w:rPr>
        <w:t xml:space="preserve"> No. 28 </w:t>
      </w:r>
      <w:r w:rsidR="00B63D4D" w:rsidRPr="00610904">
        <w:rPr>
          <w:rFonts w:cs="Arial"/>
          <w:noProof w:val="0"/>
          <w:snapToGrid w:val="0"/>
          <w:szCs w:val="20"/>
          <w:lang w:val="en-US"/>
        </w:rPr>
        <w:t>on the Core Obligations of States Parties under</w:t>
      </w:r>
      <w:r w:rsidR="003040F7" w:rsidRPr="00610904">
        <w:rPr>
          <w:rFonts w:cs="Arial"/>
          <w:noProof w:val="0"/>
          <w:snapToGrid w:val="0"/>
          <w:szCs w:val="20"/>
          <w:lang w:val="en-US"/>
        </w:rPr>
        <w:t xml:space="preserve"> </w:t>
      </w:r>
      <w:r w:rsidR="00A8072E" w:rsidRPr="00610904">
        <w:rPr>
          <w:rFonts w:cs="Arial"/>
          <w:noProof w:val="0"/>
          <w:snapToGrid w:val="0"/>
          <w:szCs w:val="20"/>
          <w:lang w:val="en-US"/>
        </w:rPr>
        <w:t>Article</w:t>
      </w:r>
      <w:r w:rsidR="003040F7" w:rsidRPr="00610904">
        <w:rPr>
          <w:rFonts w:cs="Arial"/>
          <w:noProof w:val="0"/>
          <w:snapToGrid w:val="0"/>
          <w:szCs w:val="20"/>
          <w:lang w:val="en-US"/>
        </w:rPr>
        <w:t xml:space="preserve"> </w:t>
      </w:r>
      <w:r w:rsidR="0033702D" w:rsidRPr="00610904">
        <w:rPr>
          <w:rFonts w:cs="Arial"/>
          <w:noProof w:val="0"/>
          <w:snapToGrid w:val="0"/>
          <w:szCs w:val="20"/>
          <w:lang w:val="en-US"/>
        </w:rPr>
        <w:t>2</w:t>
      </w:r>
      <w:r w:rsidR="009F3D78" w:rsidRPr="00610904">
        <w:rPr>
          <w:rFonts w:cs="Arial"/>
          <w:noProof w:val="0"/>
          <w:snapToGrid w:val="0"/>
          <w:szCs w:val="20"/>
          <w:lang w:val="en-US"/>
        </w:rPr>
        <w:t xml:space="preserve"> of the </w:t>
      </w:r>
      <w:r w:rsidRPr="00610904">
        <w:rPr>
          <w:rFonts w:cs="Arial"/>
          <w:noProof w:val="0"/>
          <w:snapToGrid w:val="0"/>
          <w:szCs w:val="20"/>
          <w:lang w:val="en-US"/>
        </w:rPr>
        <w:t>Convention on the Elimination of All Forms of Discrimination against Women</w:t>
      </w:r>
      <w:r w:rsidR="003040F7" w:rsidRPr="00610904">
        <w:rPr>
          <w:rFonts w:cs="Arial"/>
          <w:noProof w:val="0"/>
          <w:snapToGrid w:val="0"/>
          <w:szCs w:val="20"/>
          <w:lang w:val="en-US"/>
        </w:rPr>
        <w:t>,</w:t>
      </w:r>
      <w:r w:rsidRPr="00610904">
        <w:rPr>
          <w:rFonts w:cs="Arial"/>
          <w:noProof w:val="0"/>
          <w:snapToGrid w:val="0"/>
          <w:szCs w:val="20"/>
          <w:lang w:val="en-US"/>
        </w:rPr>
        <w:t xml:space="preserve"> CEDAW</w:t>
      </w:r>
      <w:r w:rsidR="00B63D4D" w:rsidRPr="00610904">
        <w:rPr>
          <w:rFonts w:cs="Arial"/>
          <w:noProof w:val="0"/>
          <w:snapToGrid w:val="0"/>
          <w:szCs w:val="20"/>
          <w:lang w:val="en-US"/>
        </w:rPr>
        <w:t xml:space="preserve"> indicated the following with regard to girl children and adolescents:</w:t>
      </w:r>
    </w:p>
    <w:p w:rsidR="003040F7" w:rsidRPr="00610904" w:rsidRDefault="003040F7" w:rsidP="00610904">
      <w:pPr>
        <w:pStyle w:val="MediumGrid1-Accent21"/>
        <w:rPr>
          <w:noProof w:val="0"/>
          <w:lang w:val="en-US"/>
        </w:rPr>
      </w:pPr>
    </w:p>
    <w:p w:rsidR="003040F7" w:rsidRPr="00610904" w:rsidRDefault="00B63D4D" w:rsidP="0067538E">
      <w:pPr>
        <w:ind w:left="720" w:right="475"/>
        <w:rPr>
          <w:noProof w:val="0"/>
          <w:sz w:val="16"/>
          <w:szCs w:val="16"/>
          <w:lang w:val="en-US"/>
        </w:rPr>
      </w:pPr>
      <w:r w:rsidRPr="00610904">
        <w:rPr>
          <w:noProof w:val="0"/>
          <w:sz w:val="16"/>
          <w:szCs w:val="16"/>
          <w:lang w:val="en-US"/>
        </w:rPr>
        <w:lastRenderedPageBreak/>
        <w:t>States parties in particular are obliged to promote the equal rights of girls since girls are within the larger community of women and are more vulnerable to discrimination in such areas as access to basic education, trafficking, maltreatment, exploitation and violence. All these situations of discrimination are aggravated when the victims are adolescents. Therefore, States shall pay attention to the specific needs of (adolescent) girls by providing education on sexual and reproductive health and by carrying out programmes that are aimed at the prevention of HIV/AIDS, sexual exploitation and teenage pregnancy.</w:t>
      </w:r>
      <w:r w:rsidR="003040F7" w:rsidRPr="00610904">
        <w:rPr>
          <w:rStyle w:val="FootnoteReference"/>
          <w:noProof w:val="0"/>
          <w:sz w:val="16"/>
          <w:szCs w:val="16"/>
          <w:lang w:val="en-US"/>
        </w:rPr>
        <w:footnoteReference w:id="341"/>
      </w:r>
      <w:r w:rsidR="003040F7" w:rsidRPr="00610904">
        <w:rPr>
          <w:noProof w:val="0"/>
          <w:sz w:val="16"/>
          <w:szCs w:val="16"/>
          <w:lang w:val="en-US"/>
        </w:rPr>
        <w:t xml:space="preserve"> </w:t>
      </w:r>
    </w:p>
    <w:p w:rsidR="003040F7" w:rsidRPr="00610904" w:rsidRDefault="003040F7" w:rsidP="00610904">
      <w:pPr>
        <w:pStyle w:val="MediumGrid1-Accent21"/>
        <w:rPr>
          <w:noProof w:val="0"/>
          <w:lang w:val="en-US"/>
        </w:rPr>
      </w:pPr>
    </w:p>
    <w:p w:rsidR="003040F7" w:rsidRPr="00610904" w:rsidRDefault="007B3443" w:rsidP="00610904">
      <w:pPr>
        <w:pStyle w:val="MediumGrid1-Accent21"/>
        <w:numPr>
          <w:ilvl w:val="0"/>
          <w:numId w:val="1"/>
        </w:numPr>
        <w:rPr>
          <w:noProof w:val="0"/>
          <w:lang w:val="en-US"/>
        </w:rPr>
      </w:pPr>
      <w:r w:rsidRPr="00610904">
        <w:rPr>
          <w:bCs/>
          <w:noProof w:val="0"/>
          <w:lang w:val="en-US"/>
        </w:rPr>
        <w:t>Regarding the situation of the families of children</w:t>
      </w:r>
      <w:r w:rsidR="00B63D4D" w:rsidRPr="00610904">
        <w:rPr>
          <w:bCs/>
          <w:noProof w:val="0"/>
          <w:lang w:val="en-US"/>
        </w:rPr>
        <w:t xml:space="preserve"> </w:t>
      </w:r>
      <w:r w:rsidR="00856968" w:rsidRPr="00610904">
        <w:rPr>
          <w:bCs/>
          <w:noProof w:val="0"/>
          <w:lang w:val="en-US"/>
        </w:rPr>
        <w:t>with HIV</w:t>
      </w:r>
      <w:r w:rsidR="003040F7" w:rsidRPr="00610904">
        <w:rPr>
          <w:bCs/>
          <w:noProof w:val="0"/>
          <w:lang w:val="en-US"/>
        </w:rPr>
        <w:t xml:space="preserve">, </w:t>
      </w:r>
      <w:r w:rsidRPr="00610904">
        <w:rPr>
          <w:bCs/>
          <w:noProof w:val="0"/>
          <w:lang w:val="en-US"/>
        </w:rPr>
        <w:t>General Comment No. 3 of the</w:t>
      </w:r>
      <w:r w:rsidR="003040F7" w:rsidRPr="00610904">
        <w:rPr>
          <w:bCs/>
          <w:noProof w:val="0"/>
          <w:lang w:val="en-US"/>
        </w:rPr>
        <w:t> </w:t>
      </w:r>
      <w:r w:rsidRPr="00610904">
        <w:rPr>
          <w:bCs/>
          <w:noProof w:val="0"/>
          <w:lang w:val="en-US"/>
        </w:rPr>
        <w:t>Committee on the Rights of the Child</w:t>
      </w:r>
      <w:r w:rsidR="003040F7" w:rsidRPr="00610904">
        <w:rPr>
          <w:bCs/>
          <w:noProof w:val="0"/>
          <w:lang w:val="en-US"/>
        </w:rPr>
        <w:t xml:space="preserve"> </w:t>
      </w:r>
      <w:r w:rsidRPr="00610904">
        <w:rPr>
          <w:bCs/>
          <w:noProof w:val="0"/>
          <w:lang w:val="en-US"/>
        </w:rPr>
        <w:t>on</w:t>
      </w:r>
      <w:r w:rsidR="003040F7" w:rsidRPr="00610904">
        <w:rPr>
          <w:bCs/>
          <w:noProof w:val="0"/>
          <w:lang w:val="en-US"/>
        </w:rPr>
        <w:t xml:space="preserve"> </w:t>
      </w:r>
      <w:r w:rsidR="00A8072E" w:rsidRPr="00610904">
        <w:rPr>
          <w:bCs/>
          <w:noProof w:val="0"/>
          <w:lang w:val="en-US"/>
        </w:rPr>
        <w:t>HIV</w:t>
      </w:r>
      <w:r w:rsidR="003040F7" w:rsidRPr="00610904">
        <w:rPr>
          <w:bCs/>
          <w:noProof w:val="0"/>
          <w:lang w:val="en-US"/>
        </w:rPr>
        <w:t>/</w:t>
      </w:r>
      <w:r w:rsidR="00A8072E" w:rsidRPr="00610904">
        <w:rPr>
          <w:bCs/>
          <w:noProof w:val="0"/>
          <w:lang w:val="en-US"/>
        </w:rPr>
        <w:t>AIDS</w:t>
      </w:r>
      <w:r w:rsidR="009F3D78" w:rsidRPr="00610904">
        <w:rPr>
          <w:bCs/>
          <w:noProof w:val="0"/>
          <w:lang w:val="en-US"/>
        </w:rPr>
        <w:t xml:space="preserve"> and </w:t>
      </w:r>
      <w:r w:rsidRPr="00610904">
        <w:rPr>
          <w:bCs/>
          <w:noProof w:val="0"/>
          <w:lang w:val="en-US"/>
        </w:rPr>
        <w:t>the</w:t>
      </w:r>
      <w:r w:rsidR="00B63D4D" w:rsidRPr="00610904">
        <w:rPr>
          <w:bCs/>
          <w:noProof w:val="0"/>
          <w:lang w:val="en-US"/>
        </w:rPr>
        <w:t xml:space="preserve"> rights of the child establishes</w:t>
      </w:r>
      <w:r w:rsidRPr="00610904">
        <w:rPr>
          <w:bCs/>
          <w:noProof w:val="0"/>
          <w:lang w:val="en-US"/>
        </w:rPr>
        <w:t xml:space="preserve"> that </w:t>
      </w:r>
      <w:r w:rsidR="003040F7" w:rsidRPr="00610904">
        <w:rPr>
          <w:bCs/>
          <w:noProof w:val="0"/>
          <w:lang w:val="en-US"/>
        </w:rPr>
        <w:t>“</w:t>
      </w:r>
      <w:r w:rsidRPr="00610904">
        <w:rPr>
          <w:bCs/>
          <w:noProof w:val="0"/>
          <w:lang w:val="en-US"/>
        </w:rPr>
        <w:t>[d]</w:t>
      </w:r>
      <w:r w:rsidRPr="00610904">
        <w:rPr>
          <w:noProof w:val="0"/>
          <w:szCs w:val="20"/>
          <w:lang w:val="en-US"/>
        </w:rPr>
        <w:t>iscrimination is responsible for heightening the vulnerability of children to HIV and AIDS, as well as seriously impacting the lives of children who are affected by HIV/AIDS, or are themselves HIV infected. […] As a result of discrimination children are denied access to information, education</w:t>
      </w:r>
      <w:r w:rsidRPr="00610904">
        <w:rPr>
          <w:noProof w:val="0"/>
          <w:lang w:val="en-US"/>
        </w:rPr>
        <w:t xml:space="preserve">, […] </w:t>
      </w:r>
      <w:r w:rsidRPr="00610904">
        <w:rPr>
          <w:noProof w:val="0"/>
          <w:szCs w:val="20"/>
          <w:lang w:val="en-US"/>
        </w:rPr>
        <w:t>health or social care services or from community life.</w:t>
      </w:r>
      <w:r w:rsidRPr="00610904">
        <w:rPr>
          <w:noProof w:val="0"/>
          <w:lang w:val="en-US"/>
        </w:rPr>
        <w:t>” The General Comment also indicates that “[a]</w:t>
      </w:r>
      <w:r w:rsidRPr="00610904">
        <w:rPr>
          <w:noProof w:val="0"/>
          <w:szCs w:val="20"/>
          <w:lang w:val="en-US"/>
        </w:rPr>
        <w:t>t its extreme, discrimination against HIV infected children has resulted in their abandonment by their family, community and/or society. Discrimination also fuels the epidemic by making children in particular those belonging to certain groups like children living in remote or rural areas where services are less accessible, more vulnerable to infection. These children</w:t>
      </w:r>
      <w:r w:rsidRPr="00610904">
        <w:rPr>
          <w:noProof w:val="0"/>
          <w:lang w:val="en-US"/>
        </w:rPr>
        <w:t xml:space="preserve"> are thereby doubly victimized.</w:t>
      </w:r>
      <w:r w:rsidR="003040F7" w:rsidRPr="00610904">
        <w:rPr>
          <w:bCs/>
          <w:noProof w:val="0"/>
          <w:lang w:val="en-US"/>
        </w:rPr>
        <w:t>”</w:t>
      </w:r>
      <w:r w:rsidR="003040F7" w:rsidRPr="00610904">
        <w:rPr>
          <w:rStyle w:val="FootnoteReference"/>
          <w:noProof w:val="0"/>
          <w:lang w:val="en-US"/>
        </w:rPr>
        <w:footnoteReference w:id="342"/>
      </w:r>
    </w:p>
    <w:p w:rsidR="003040F7" w:rsidRPr="00610904" w:rsidRDefault="003040F7" w:rsidP="00610904">
      <w:pPr>
        <w:pStyle w:val="MediumGrid1-Accent21"/>
        <w:ind w:left="0"/>
        <w:rPr>
          <w:noProof w:val="0"/>
          <w:lang w:val="en-US"/>
        </w:rPr>
      </w:pPr>
    </w:p>
    <w:p w:rsidR="003040F7" w:rsidRPr="00610904" w:rsidRDefault="009F3D78" w:rsidP="00610904">
      <w:pPr>
        <w:pStyle w:val="MediumGrid1-Accent21"/>
        <w:numPr>
          <w:ilvl w:val="0"/>
          <w:numId w:val="1"/>
        </w:numPr>
        <w:rPr>
          <w:noProof w:val="0"/>
          <w:lang w:val="en-US"/>
        </w:rPr>
      </w:pPr>
      <w:r w:rsidRPr="00610904">
        <w:rPr>
          <w:noProof w:val="0"/>
          <w:lang w:val="en-US"/>
        </w:rPr>
        <w:t>The Court</w:t>
      </w:r>
      <w:r w:rsidR="00F55A75" w:rsidRPr="00610904">
        <w:rPr>
          <w:noProof w:val="0"/>
          <w:lang w:val="en-US"/>
        </w:rPr>
        <w:t xml:space="preserve"> notes that certain groups of women suffer discrimination throughout their life based on more than on</w:t>
      </w:r>
      <w:r w:rsidR="008872FD" w:rsidRPr="00610904">
        <w:rPr>
          <w:noProof w:val="0"/>
          <w:lang w:val="en-US"/>
        </w:rPr>
        <w:t>e factor combined with their gender</w:t>
      </w:r>
      <w:r w:rsidR="00F55A75" w:rsidRPr="00610904">
        <w:rPr>
          <w:noProof w:val="0"/>
          <w:lang w:val="en-US"/>
        </w:rPr>
        <w:t>, which increases their risk of enduring acts of violence and other violations of their human rights.</w:t>
      </w:r>
      <w:r w:rsidR="003040F7" w:rsidRPr="00610904">
        <w:rPr>
          <w:rStyle w:val="FootnoteReference"/>
          <w:rFonts w:cs="Arial"/>
          <w:noProof w:val="0"/>
          <w:lang w:val="en-US"/>
        </w:rPr>
        <w:footnoteReference w:id="343"/>
      </w:r>
      <w:r w:rsidR="00436505" w:rsidRPr="00610904">
        <w:rPr>
          <w:rFonts w:cs="Arial"/>
          <w:noProof w:val="0"/>
          <w:lang w:val="en-US"/>
        </w:rPr>
        <w:t xml:space="preserve"> </w:t>
      </w:r>
      <w:r w:rsidR="00436505" w:rsidRPr="00610904">
        <w:rPr>
          <w:noProof w:val="0"/>
          <w:szCs w:val="18"/>
          <w:lang w:val="en-US"/>
        </w:rPr>
        <w:t>In this regard, the Special Rapporteur on violence against women, its causes and consequences, has established that</w:t>
      </w:r>
      <w:r w:rsidR="00436505" w:rsidRPr="00610904">
        <w:rPr>
          <w:rFonts w:cs="Arial"/>
          <w:noProof w:val="0"/>
          <w:lang w:val="en-US"/>
        </w:rPr>
        <w:t xml:space="preserve">: </w:t>
      </w:r>
      <w:r w:rsidR="003040F7" w:rsidRPr="00610904">
        <w:rPr>
          <w:rFonts w:cs="Arial"/>
          <w:noProof w:val="0"/>
          <w:lang w:val="en-US"/>
        </w:rPr>
        <w:t>“</w:t>
      </w:r>
      <w:r w:rsidR="00436505" w:rsidRPr="00610904">
        <w:rPr>
          <w:noProof w:val="0"/>
          <w:szCs w:val="20"/>
          <w:lang w:val="en-US"/>
        </w:rPr>
        <w:t xml:space="preserve">[d]iscrimination based on race, ethnicity, national origin, </w:t>
      </w:r>
      <w:proofErr w:type="gramStart"/>
      <w:r w:rsidR="00436505" w:rsidRPr="00610904">
        <w:rPr>
          <w:noProof w:val="0"/>
          <w:szCs w:val="20"/>
          <w:lang w:val="en-US"/>
        </w:rPr>
        <w:t>ability</w:t>
      </w:r>
      <w:proofErr w:type="gramEnd"/>
      <w:r w:rsidR="00436505" w:rsidRPr="00610904">
        <w:rPr>
          <w:noProof w:val="0"/>
          <w:szCs w:val="20"/>
          <w:lang w:val="en-US"/>
        </w:rPr>
        <w:t>, socio-economic class, sexual orientation, gender identity, religion, culture, tradition and other realities often intensifies acts of violence against women.</w:t>
      </w:r>
      <w:r w:rsidR="003040F7" w:rsidRPr="00610904">
        <w:rPr>
          <w:noProof w:val="0"/>
          <w:lang w:val="en-US"/>
        </w:rPr>
        <w:t>”</w:t>
      </w:r>
      <w:r w:rsidR="003040F7" w:rsidRPr="00610904">
        <w:rPr>
          <w:rStyle w:val="FootnoteReference"/>
          <w:noProof w:val="0"/>
          <w:lang w:val="en-US"/>
        </w:rPr>
        <w:footnoteReference w:id="344"/>
      </w:r>
      <w:r w:rsidR="005B143E" w:rsidRPr="00610904">
        <w:rPr>
          <w:noProof w:val="0"/>
          <w:snapToGrid w:val="0"/>
          <w:lang w:val="en-US"/>
        </w:rPr>
        <w:t xml:space="preserve"> </w:t>
      </w:r>
      <w:r w:rsidR="00436505" w:rsidRPr="00610904">
        <w:rPr>
          <w:noProof w:val="0"/>
          <w:snapToGrid w:val="0"/>
          <w:lang w:val="en-US"/>
        </w:rPr>
        <w:t>In the case of women with</w:t>
      </w:r>
      <w:r w:rsidR="005B143E" w:rsidRPr="00610904">
        <w:rPr>
          <w:noProof w:val="0"/>
          <w:snapToGrid w:val="0"/>
          <w:lang w:val="en-US"/>
        </w:rPr>
        <w:t xml:space="preserve"> </w:t>
      </w:r>
      <w:r w:rsidR="00A8072E" w:rsidRPr="00610904">
        <w:rPr>
          <w:noProof w:val="0"/>
          <w:snapToGrid w:val="0"/>
          <w:lang w:val="en-US"/>
        </w:rPr>
        <w:t>HIV</w:t>
      </w:r>
      <w:r w:rsidR="005B143E" w:rsidRPr="00610904">
        <w:rPr>
          <w:noProof w:val="0"/>
          <w:snapToGrid w:val="0"/>
          <w:lang w:val="en-US"/>
        </w:rPr>
        <w:t>/</w:t>
      </w:r>
      <w:r w:rsidR="00A8072E" w:rsidRPr="00610904">
        <w:rPr>
          <w:noProof w:val="0"/>
          <w:snapToGrid w:val="0"/>
          <w:lang w:val="en-US"/>
        </w:rPr>
        <w:t>AIDS</w:t>
      </w:r>
      <w:r w:rsidR="00436505" w:rsidRPr="00610904">
        <w:rPr>
          <w:noProof w:val="0"/>
          <w:snapToGrid w:val="0"/>
          <w:lang w:val="en-US"/>
        </w:rPr>
        <w:t xml:space="preserve">, the gender perspective </w:t>
      </w:r>
      <w:r w:rsidR="00F55A75" w:rsidRPr="00610904">
        <w:rPr>
          <w:noProof w:val="0"/>
          <w:snapToGrid w:val="0"/>
          <w:lang w:val="en-US"/>
        </w:rPr>
        <w:t>provides a way of</w:t>
      </w:r>
      <w:r w:rsidR="00436505" w:rsidRPr="00610904">
        <w:rPr>
          <w:noProof w:val="0"/>
          <w:snapToGrid w:val="0"/>
          <w:lang w:val="en-US"/>
        </w:rPr>
        <w:t xml:space="preserve"> understanding living with the illness in the context of the </w:t>
      </w:r>
      <w:r w:rsidR="00F55A75" w:rsidRPr="00610904">
        <w:rPr>
          <w:noProof w:val="0"/>
          <w:snapToGrid w:val="0"/>
          <w:lang w:val="en-US"/>
        </w:rPr>
        <w:t>“</w:t>
      </w:r>
      <w:r w:rsidR="00436505" w:rsidRPr="00610904">
        <w:rPr>
          <w:noProof w:val="0"/>
          <w:snapToGrid w:val="0"/>
          <w:lang w:val="en-US"/>
        </w:rPr>
        <w:t>roles and expect</w:t>
      </w:r>
      <w:r w:rsidR="00F55A75" w:rsidRPr="00610904">
        <w:rPr>
          <w:noProof w:val="0"/>
          <w:snapToGrid w:val="0"/>
          <w:lang w:val="en-US"/>
        </w:rPr>
        <w:t>ations that affect peoples’</w:t>
      </w:r>
      <w:r w:rsidR="00436505" w:rsidRPr="00610904">
        <w:rPr>
          <w:noProof w:val="0"/>
          <w:snapToGrid w:val="0"/>
          <w:lang w:val="en-US"/>
        </w:rPr>
        <w:t xml:space="preserve"> li</w:t>
      </w:r>
      <w:r w:rsidR="00F55A75" w:rsidRPr="00610904">
        <w:rPr>
          <w:noProof w:val="0"/>
          <w:snapToGrid w:val="0"/>
          <w:lang w:val="en-US"/>
        </w:rPr>
        <w:t xml:space="preserve">ves, choices </w:t>
      </w:r>
      <w:r w:rsidR="00436505" w:rsidRPr="00610904">
        <w:rPr>
          <w:noProof w:val="0"/>
          <w:snapToGrid w:val="0"/>
          <w:lang w:val="en-US"/>
        </w:rPr>
        <w:t>and interactions (</w:t>
      </w:r>
      <w:r w:rsidR="00F55A75" w:rsidRPr="00610904">
        <w:rPr>
          <w:noProof w:val="0"/>
          <w:snapToGrid w:val="0"/>
          <w:lang w:val="en-US"/>
        </w:rPr>
        <w:t>particularly</w:t>
      </w:r>
      <w:r w:rsidR="00436505" w:rsidRPr="00610904">
        <w:rPr>
          <w:noProof w:val="0"/>
          <w:snapToGrid w:val="0"/>
          <w:lang w:val="en-US"/>
        </w:rPr>
        <w:t xml:space="preserve"> in </w:t>
      </w:r>
      <w:r w:rsidR="00F55A75" w:rsidRPr="00610904">
        <w:rPr>
          <w:noProof w:val="0"/>
          <w:snapToGrid w:val="0"/>
          <w:lang w:val="en-US"/>
        </w:rPr>
        <w:t>terms of sexual feelings</w:t>
      </w:r>
      <w:r w:rsidR="00436505" w:rsidRPr="00610904">
        <w:rPr>
          <w:noProof w:val="0"/>
          <w:snapToGrid w:val="0"/>
          <w:lang w:val="en-US"/>
        </w:rPr>
        <w:t>, desires and behavior</w:t>
      </w:r>
      <w:r w:rsidR="00F55A75" w:rsidRPr="00610904">
        <w:rPr>
          <w:noProof w:val="0"/>
          <w:snapToGrid w:val="0"/>
          <w:lang w:val="en-US"/>
        </w:rPr>
        <w:t>s</w:t>
      </w:r>
      <w:r w:rsidR="005B143E" w:rsidRPr="00610904">
        <w:rPr>
          <w:rFonts w:cs="Arial"/>
          <w:noProof w:val="0"/>
          <w:szCs w:val="20"/>
          <w:lang w:val="en-US"/>
        </w:rPr>
        <w:t>)</w:t>
      </w:r>
      <w:r w:rsidR="00436505" w:rsidRPr="00610904">
        <w:rPr>
          <w:rFonts w:cs="Arial"/>
          <w:noProof w:val="0"/>
          <w:szCs w:val="20"/>
          <w:lang w:val="en-US"/>
        </w:rPr>
        <w:t>.</w:t>
      </w:r>
      <w:r w:rsidR="00F55A75" w:rsidRPr="00610904">
        <w:rPr>
          <w:rFonts w:cs="Arial"/>
          <w:noProof w:val="0"/>
          <w:szCs w:val="20"/>
          <w:lang w:val="en-US"/>
        </w:rPr>
        <w:t>”</w:t>
      </w:r>
      <w:r w:rsidR="005B143E" w:rsidRPr="00610904">
        <w:rPr>
          <w:rStyle w:val="FootnoteReference"/>
          <w:noProof w:val="0"/>
          <w:lang w:val="en-US"/>
        </w:rPr>
        <w:footnoteReference w:id="345"/>
      </w:r>
    </w:p>
    <w:p w:rsidR="00794BF0" w:rsidRPr="00610904" w:rsidRDefault="00794BF0" w:rsidP="00610904">
      <w:pPr>
        <w:pStyle w:val="ColorfulList-Accent12"/>
        <w:rPr>
          <w:noProof w:val="0"/>
          <w:lang w:val="en-US"/>
        </w:rPr>
      </w:pPr>
    </w:p>
    <w:p w:rsidR="00794BF0" w:rsidRPr="00610904" w:rsidRDefault="00F55A75" w:rsidP="00610904">
      <w:pPr>
        <w:pStyle w:val="MediumGrid1-Accent21"/>
        <w:numPr>
          <w:ilvl w:val="0"/>
          <w:numId w:val="1"/>
        </w:numPr>
        <w:contextualSpacing w:val="0"/>
        <w:rPr>
          <w:noProof w:val="0"/>
          <w:lang w:val="en-US"/>
        </w:rPr>
      </w:pPr>
      <w:r w:rsidRPr="00610904">
        <w:rPr>
          <w:rFonts w:cs="Arial"/>
          <w:noProof w:val="0"/>
          <w:lang w:val="en-US"/>
        </w:rPr>
        <w:t>In this case</w:t>
      </w:r>
      <w:r w:rsidR="002944FC" w:rsidRPr="00610904">
        <w:rPr>
          <w:rFonts w:cs="Arial"/>
          <w:noProof w:val="0"/>
          <w:lang w:val="en-US"/>
        </w:rPr>
        <w:t xml:space="preserve">, </w:t>
      </w:r>
      <w:r w:rsidRPr="00610904">
        <w:rPr>
          <w:rFonts w:cs="Arial"/>
          <w:noProof w:val="0"/>
          <w:lang w:val="en-US"/>
        </w:rPr>
        <w:t xml:space="preserve">statements that have not been contested by the State illustrate the impact that the Lluy family’s situation of poverty had on the approach to Talía’s HIV </w:t>
      </w:r>
      <w:r w:rsidR="00794BF0" w:rsidRPr="00610904">
        <w:rPr>
          <w:rFonts w:cs="Arial"/>
          <w:noProof w:val="0"/>
          <w:lang w:val="en-US"/>
        </w:rPr>
        <w:t>(</w:t>
      </w:r>
      <w:r w:rsidR="00794BF0" w:rsidRPr="00610904">
        <w:rPr>
          <w:rFonts w:cs="Arial"/>
          <w:i/>
          <w:noProof w:val="0"/>
          <w:lang w:val="en-US"/>
        </w:rPr>
        <w:t>supra</w:t>
      </w:r>
      <w:r w:rsidR="00794BF0" w:rsidRPr="00610904">
        <w:rPr>
          <w:rFonts w:cs="Arial"/>
          <w:noProof w:val="0"/>
          <w:lang w:val="en-US"/>
        </w:rPr>
        <w:t xml:space="preserve"> </w:t>
      </w:r>
      <w:r w:rsidR="006E502B" w:rsidRPr="00610904">
        <w:rPr>
          <w:rFonts w:cs="Arial"/>
          <w:noProof w:val="0"/>
          <w:lang w:val="en-US"/>
        </w:rPr>
        <w:t>para.</w:t>
      </w:r>
      <w:r w:rsidR="00830D84" w:rsidRPr="00610904">
        <w:rPr>
          <w:rFonts w:cs="Arial"/>
          <w:noProof w:val="0"/>
          <w:lang w:val="en-US"/>
        </w:rPr>
        <w:t xml:space="preserve"> 215</w:t>
      </w:r>
      <w:r w:rsidR="00794BF0" w:rsidRPr="00610904">
        <w:rPr>
          <w:rFonts w:cs="Arial"/>
          <w:noProof w:val="0"/>
          <w:lang w:val="en-US"/>
        </w:rPr>
        <w:t xml:space="preserve">). </w:t>
      </w:r>
      <w:r w:rsidRPr="00610904">
        <w:rPr>
          <w:rFonts w:cs="Arial"/>
          <w:noProof w:val="0"/>
          <w:lang w:val="en-US"/>
        </w:rPr>
        <w:t xml:space="preserve">These statements have also explained the discrimination in the educational environment associated with how, in a prejudiced and stigmatizing way, Talía Gonzales Lluy was considered a risk for her classmates, not only when she was expelled from the </w:t>
      </w:r>
      <w:r w:rsidR="00535633" w:rsidRPr="00610904">
        <w:rPr>
          <w:rFonts w:cs="Arial"/>
          <w:noProof w:val="0"/>
          <w:lang w:val="en-US"/>
        </w:rPr>
        <w:t>Zoila Aurora Palacios</w:t>
      </w:r>
      <w:r w:rsidR="00A23F74" w:rsidRPr="00610904">
        <w:rPr>
          <w:rFonts w:cs="Arial"/>
          <w:noProof w:val="0"/>
          <w:lang w:val="en-US"/>
        </w:rPr>
        <w:t xml:space="preserve"> </w:t>
      </w:r>
      <w:r w:rsidRPr="00610904">
        <w:rPr>
          <w:rFonts w:cs="Arial"/>
          <w:noProof w:val="0"/>
          <w:lang w:val="en-US"/>
        </w:rPr>
        <w:t xml:space="preserve">School, but at other time when she tried to access the </w:t>
      </w:r>
      <w:r w:rsidR="001A2523" w:rsidRPr="00610904">
        <w:rPr>
          <w:rFonts w:cs="Arial"/>
          <w:noProof w:val="0"/>
          <w:lang w:val="en-US"/>
        </w:rPr>
        <w:t>education system</w:t>
      </w:r>
      <w:r w:rsidRPr="00610904">
        <w:rPr>
          <w:rFonts w:cs="Arial"/>
          <w:noProof w:val="0"/>
          <w:lang w:val="en-US"/>
        </w:rPr>
        <w:t>. In addition, as regards employment, the Court notes that</w:t>
      </w:r>
      <w:r w:rsidR="00794BF0" w:rsidRPr="00610904">
        <w:rPr>
          <w:noProof w:val="0"/>
          <w:lang w:val="en-US"/>
        </w:rPr>
        <w:t xml:space="preserve"> Teresa Lluy </w:t>
      </w:r>
      <w:r w:rsidRPr="00610904">
        <w:rPr>
          <w:noProof w:val="0"/>
          <w:lang w:val="en-US"/>
        </w:rPr>
        <w:t>was dismissed from her job owing to the stigma of having a daughter with HIV and, subsequently, in other jobs she obtained, she was also dismissed owing to Talía’s status as a person living with</w:t>
      </w:r>
      <w:r w:rsidR="00794BF0" w:rsidRPr="00610904">
        <w:rPr>
          <w:noProof w:val="0"/>
          <w:lang w:val="en-US"/>
        </w:rPr>
        <w:t xml:space="preserve"> </w:t>
      </w:r>
      <w:r w:rsidR="00A8072E" w:rsidRPr="00610904">
        <w:rPr>
          <w:noProof w:val="0"/>
          <w:lang w:val="en-US"/>
        </w:rPr>
        <w:t>HIV</w:t>
      </w:r>
      <w:r w:rsidR="005E1232" w:rsidRPr="00610904">
        <w:rPr>
          <w:noProof w:val="0"/>
          <w:lang w:val="en-US"/>
        </w:rPr>
        <w:t xml:space="preserve"> (</w:t>
      </w:r>
      <w:r w:rsidR="005E1232" w:rsidRPr="00610904">
        <w:rPr>
          <w:i/>
          <w:noProof w:val="0"/>
          <w:lang w:val="en-US"/>
        </w:rPr>
        <w:t>supra</w:t>
      </w:r>
      <w:r w:rsidR="00830D84" w:rsidRPr="00610904">
        <w:rPr>
          <w:noProof w:val="0"/>
          <w:lang w:val="en-US"/>
        </w:rPr>
        <w:t xml:space="preserve"> </w:t>
      </w:r>
      <w:r w:rsidR="006E502B" w:rsidRPr="00610904">
        <w:rPr>
          <w:noProof w:val="0"/>
          <w:lang w:val="en-US"/>
        </w:rPr>
        <w:t>para.</w:t>
      </w:r>
      <w:r w:rsidR="00830D84" w:rsidRPr="00610904">
        <w:rPr>
          <w:noProof w:val="0"/>
          <w:lang w:val="en-US"/>
        </w:rPr>
        <w:t xml:space="preserve"> 217</w:t>
      </w:r>
      <w:r w:rsidR="005E1232" w:rsidRPr="00610904">
        <w:rPr>
          <w:noProof w:val="0"/>
          <w:lang w:val="en-US"/>
        </w:rPr>
        <w:t>)</w:t>
      </w:r>
      <w:r w:rsidR="00794BF0" w:rsidRPr="00610904">
        <w:rPr>
          <w:noProof w:val="0"/>
          <w:lang w:val="en-US"/>
        </w:rPr>
        <w:t xml:space="preserve">.  </w:t>
      </w:r>
    </w:p>
    <w:p w:rsidR="003040F7" w:rsidRPr="00610904" w:rsidRDefault="003040F7" w:rsidP="00610904">
      <w:pPr>
        <w:pStyle w:val="MediumGrid1-Accent21"/>
        <w:rPr>
          <w:noProof w:val="0"/>
          <w:lang w:val="en-US"/>
        </w:rPr>
      </w:pPr>
    </w:p>
    <w:p w:rsidR="003040F7" w:rsidRPr="00610904" w:rsidRDefault="009F3D78" w:rsidP="00610904">
      <w:pPr>
        <w:pStyle w:val="MediumGrid1-Accent21"/>
        <w:numPr>
          <w:ilvl w:val="0"/>
          <w:numId w:val="1"/>
        </w:numPr>
        <w:rPr>
          <w:noProof w:val="0"/>
          <w:lang w:val="en-US"/>
        </w:rPr>
      </w:pPr>
      <w:r w:rsidRPr="00610904">
        <w:rPr>
          <w:noProof w:val="0"/>
          <w:snapToGrid w:val="0"/>
          <w:lang w:val="en-US"/>
        </w:rPr>
        <w:t>The Court</w:t>
      </w:r>
      <w:r w:rsidR="00F55A75" w:rsidRPr="00610904">
        <w:rPr>
          <w:noProof w:val="0"/>
          <w:snapToGrid w:val="0"/>
          <w:lang w:val="en-US"/>
        </w:rPr>
        <w:t xml:space="preserve"> notes that, in Talía’s case, numerous factors of vulnerability and risk of discrimination intersected</w:t>
      </w:r>
      <w:r w:rsidR="000505D7" w:rsidRPr="00610904">
        <w:rPr>
          <w:noProof w:val="0"/>
          <w:snapToGrid w:val="0"/>
          <w:lang w:val="en-US"/>
        </w:rPr>
        <w:t xml:space="preserve"> that were</w:t>
      </w:r>
      <w:r w:rsidR="00F55A75" w:rsidRPr="00610904">
        <w:rPr>
          <w:noProof w:val="0"/>
          <w:snapToGrid w:val="0"/>
          <w:lang w:val="en-US"/>
        </w:rPr>
        <w:t xml:space="preserve"> associa</w:t>
      </w:r>
      <w:r w:rsidR="00F61054" w:rsidRPr="00610904">
        <w:rPr>
          <w:noProof w:val="0"/>
          <w:snapToGrid w:val="0"/>
          <w:lang w:val="en-US"/>
        </w:rPr>
        <w:t>ted with her condition as a minor</w:t>
      </w:r>
      <w:r w:rsidR="00F55A75" w:rsidRPr="00610904">
        <w:rPr>
          <w:noProof w:val="0"/>
          <w:snapToGrid w:val="0"/>
          <w:lang w:val="en-US"/>
        </w:rPr>
        <w:t>,</w:t>
      </w:r>
      <w:r w:rsidR="00F61054" w:rsidRPr="00610904">
        <w:rPr>
          <w:noProof w:val="0"/>
          <w:snapToGrid w:val="0"/>
          <w:lang w:val="en-US"/>
        </w:rPr>
        <w:t xml:space="preserve"> a</w:t>
      </w:r>
      <w:r w:rsidR="00F55A75" w:rsidRPr="00610904">
        <w:rPr>
          <w:noProof w:val="0"/>
          <w:snapToGrid w:val="0"/>
          <w:lang w:val="en-US"/>
        </w:rPr>
        <w:t xml:space="preserve"> female, </w:t>
      </w:r>
      <w:r w:rsidR="00F61054" w:rsidRPr="00610904">
        <w:rPr>
          <w:noProof w:val="0"/>
          <w:snapToGrid w:val="0"/>
          <w:lang w:val="en-US"/>
        </w:rPr>
        <w:t xml:space="preserve">a </w:t>
      </w:r>
      <w:r w:rsidR="00F55A75" w:rsidRPr="00610904">
        <w:rPr>
          <w:noProof w:val="0"/>
          <w:snapToGrid w:val="0"/>
          <w:lang w:val="en-US"/>
        </w:rPr>
        <w:t xml:space="preserve">person living in poverty, and </w:t>
      </w:r>
      <w:r w:rsidR="00F61054" w:rsidRPr="00610904">
        <w:rPr>
          <w:noProof w:val="0"/>
          <w:snapToGrid w:val="0"/>
          <w:lang w:val="en-US"/>
        </w:rPr>
        <w:t xml:space="preserve">a </w:t>
      </w:r>
      <w:r w:rsidR="00F55A75" w:rsidRPr="00610904">
        <w:rPr>
          <w:noProof w:val="0"/>
          <w:snapToGrid w:val="0"/>
          <w:lang w:val="en-US"/>
        </w:rPr>
        <w:t>person living with HIV. The discrimination experienced by Talía was caused not only by numerous factors, but also arose from a specific form of discrimination that resul</w:t>
      </w:r>
      <w:r w:rsidR="00D64D5C" w:rsidRPr="00610904">
        <w:rPr>
          <w:noProof w:val="0"/>
          <w:snapToGrid w:val="0"/>
          <w:lang w:val="en-US"/>
        </w:rPr>
        <w:t>ted from the intersection of tho</w:t>
      </w:r>
      <w:r w:rsidR="00F55A75" w:rsidRPr="00610904">
        <w:rPr>
          <w:noProof w:val="0"/>
          <w:snapToGrid w:val="0"/>
          <w:lang w:val="en-US"/>
        </w:rPr>
        <w:t xml:space="preserve">se factors; in other words, if one of those factors had not existed, the discrimination would have been different. Indeed, the poverty had an impact on the initial access to health care that was not of the best quality and that, to the contrary, </w:t>
      </w:r>
      <w:r w:rsidR="00F61054" w:rsidRPr="00610904">
        <w:rPr>
          <w:noProof w:val="0"/>
          <w:snapToGrid w:val="0"/>
          <w:lang w:val="en-US"/>
        </w:rPr>
        <w:t>resulted in</w:t>
      </w:r>
      <w:r w:rsidR="00F55A75" w:rsidRPr="00610904">
        <w:rPr>
          <w:noProof w:val="0"/>
          <w:snapToGrid w:val="0"/>
          <w:lang w:val="en-US"/>
        </w:rPr>
        <w:t xml:space="preserve"> the infection with HIV. The situation of poverty also had an impact on the difficulties to gain access to the </w:t>
      </w:r>
      <w:r w:rsidR="001A2523" w:rsidRPr="00610904">
        <w:rPr>
          <w:noProof w:val="0"/>
          <w:snapToGrid w:val="0"/>
          <w:lang w:val="en-US"/>
        </w:rPr>
        <w:t>education system</w:t>
      </w:r>
      <w:r w:rsidR="00F55A75" w:rsidRPr="00610904">
        <w:rPr>
          <w:noProof w:val="0"/>
          <w:snapToGrid w:val="0"/>
          <w:lang w:val="en-US"/>
        </w:rPr>
        <w:t xml:space="preserve"> and</w:t>
      </w:r>
      <w:r w:rsidR="00F61054" w:rsidRPr="00610904">
        <w:rPr>
          <w:noProof w:val="0"/>
          <w:snapToGrid w:val="0"/>
          <w:lang w:val="en-US"/>
        </w:rPr>
        <w:t xml:space="preserve"> to</w:t>
      </w:r>
      <w:r w:rsidR="00F55A75" w:rsidRPr="00610904">
        <w:rPr>
          <w:noProof w:val="0"/>
          <w:snapToGrid w:val="0"/>
          <w:lang w:val="en-US"/>
        </w:rPr>
        <w:t xml:space="preserve"> lead a </w:t>
      </w:r>
      <w:r w:rsidR="001A2523" w:rsidRPr="00610904">
        <w:rPr>
          <w:noProof w:val="0"/>
          <w:snapToGrid w:val="0"/>
          <w:lang w:val="en-US"/>
        </w:rPr>
        <w:t>decent life. Subsequently, because</w:t>
      </w:r>
      <w:r w:rsidR="00F55A75" w:rsidRPr="00610904">
        <w:rPr>
          <w:noProof w:val="0"/>
          <w:snapToGrid w:val="0"/>
          <w:lang w:val="en-US"/>
        </w:rPr>
        <w:t xml:space="preserve"> she was a child with HIV, the obstacles that Talía suffered in access to edu</w:t>
      </w:r>
      <w:r w:rsidR="001A2523" w:rsidRPr="00610904">
        <w:rPr>
          <w:noProof w:val="0"/>
          <w:snapToGrid w:val="0"/>
          <w:lang w:val="en-US"/>
        </w:rPr>
        <w:t>cation had a negative impact on</w:t>
      </w:r>
      <w:r w:rsidR="00F55A75" w:rsidRPr="00610904">
        <w:rPr>
          <w:noProof w:val="0"/>
          <w:snapToGrid w:val="0"/>
          <w:lang w:val="en-US"/>
        </w:rPr>
        <w:t xml:space="preserve"> her overall development, which is also a differentiated impact taking into account the role of education in overcoming gender stereotypes. As a child with HIV, she required greater support from the State to implement her life project. As a woman, Talía has </w:t>
      </w:r>
      <w:r w:rsidR="0056398E" w:rsidRPr="00610904">
        <w:rPr>
          <w:noProof w:val="0"/>
          <w:snapToGrid w:val="0"/>
          <w:lang w:val="en-US"/>
        </w:rPr>
        <w:t>described</w:t>
      </w:r>
      <w:r w:rsidR="00F55A75" w:rsidRPr="00610904">
        <w:rPr>
          <w:noProof w:val="0"/>
          <w:snapToGrid w:val="0"/>
          <w:lang w:val="en-US"/>
        </w:rPr>
        <w:t xml:space="preserve"> the dilemmas she feels as regards future maternity and her interaction </w:t>
      </w:r>
      <w:r w:rsidR="006818FA" w:rsidRPr="00610904">
        <w:rPr>
          <w:noProof w:val="0"/>
          <w:snapToGrid w:val="0"/>
          <w:lang w:val="en-US"/>
        </w:rPr>
        <w:t>in an intimate relationship, and has indicated that she has not had appropriate counseling.</w:t>
      </w:r>
      <w:r w:rsidR="003040F7" w:rsidRPr="00610904">
        <w:rPr>
          <w:rStyle w:val="FootnoteReference"/>
          <w:noProof w:val="0"/>
          <w:snapToGrid w:val="0"/>
          <w:lang w:val="en-US"/>
        </w:rPr>
        <w:footnoteReference w:id="346"/>
      </w:r>
      <w:r w:rsidR="006818FA" w:rsidRPr="00610904">
        <w:rPr>
          <w:noProof w:val="0"/>
          <w:snapToGrid w:val="0"/>
          <w:lang w:val="en-US"/>
        </w:rPr>
        <w:t xml:space="preserve"> In sum, Talía’s case illustrates that</w:t>
      </w:r>
      <w:r w:rsidR="001A2523" w:rsidRPr="00610904">
        <w:rPr>
          <w:noProof w:val="0"/>
          <w:snapToGrid w:val="0"/>
          <w:lang w:val="en-US"/>
        </w:rPr>
        <w:t xml:space="preserve"> HIV-related</w:t>
      </w:r>
      <w:r w:rsidR="006818FA" w:rsidRPr="00610904">
        <w:rPr>
          <w:noProof w:val="0"/>
          <w:snapToGrid w:val="0"/>
          <w:lang w:val="en-US"/>
        </w:rPr>
        <w:t xml:space="preserve"> stigmatization does not affect everyone in the same way and that the impact is more severe on members of vulnerable groups</w:t>
      </w:r>
      <w:r w:rsidR="003040F7" w:rsidRPr="00610904">
        <w:rPr>
          <w:noProof w:val="0"/>
          <w:lang w:val="en-US"/>
        </w:rPr>
        <w:t xml:space="preserve">. </w:t>
      </w:r>
    </w:p>
    <w:p w:rsidR="005B143E" w:rsidRPr="00610904" w:rsidRDefault="005B143E" w:rsidP="00610904">
      <w:pPr>
        <w:pStyle w:val="MediumGrid1-Accent21"/>
        <w:ind w:left="0"/>
        <w:rPr>
          <w:noProof w:val="0"/>
          <w:lang w:val="en-US"/>
        </w:rPr>
      </w:pPr>
    </w:p>
    <w:p w:rsidR="003040F7" w:rsidRPr="00610904" w:rsidRDefault="006818FA" w:rsidP="00610904">
      <w:pPr>
        <w:pStyle w:val="MediumGrid1-Accent21"/>
        <w:numPr>
          <w:ilvl w:val="0"/>
          <w:numId w:val="1"/>
        </w:numPr>
        <w:rPr>
          <w:noProof w:val="0"/>
          <w:szCs w:val="20"/>
          <w:lang w:val="en-US"/>
        </w:rPr>
      </w:pPr>
      <w:bookmarkStart w:id="122" w:name="_Ref319668878"/>
      <w:r w:rsidRPr="00610904">
        <w:rPr>
          <w:noProof w:val="0"/>
          <w:lang w:val="en-US"/>
        </w:rPr>
        <w:t xml:space="preserve">Based on all the foregoing, the Court concludes that </w:t>
      </w:r>
      <w:r w:rsidR="00CD3738" w:rsidRPr="00610904">
        <w:rPr>
          <w:noProof w:val="0"/>
          <w:szCs w:val="20"/>
          <w:lang w:val="en-US"/>
        </w:rPr>
        <w:t>Talía</w:t>
      </w:r>
      <w:r w:rsidR="003040F7" w:rsidRPr="00610904">
        <w:rPr>
          <w:noProof w:val="0"/>
          <w:lang w:val="en-US"/>
        </w:rPr>
        <w:t xml:space="preserve"> </w:t>
      </w:r>
      <w:r w:rsidR="00010F61" w:rsidRPr="00610904">
        <w:rPr>
          <w:noProof w:val="0"/>
          <w:lang w:val="en-US"/>
        </w:rPr>
        <w:t>Gonzales</w:t>
      </w:r>
      <w:r w:rsidR="003040F7" w:rsidRPr="00610904">
        <w:rPr>
          <w:noProof w:val="0"/>
          <w:lang w:val="en-US"/>
        </w:rPr>
        <w:t xml:space="preserve"> Lluy suf</w:t>
      </w:r>
      <w:r w:rsidRPr="00610904">
        <w:rPr>
          <w:noProof w:val="0"/>
          <w:lang w:val="en-US"/>
        </w:rPr>
        <w:t xml:space="preserve">fered discrimination derived from her situation as </w:t>
      </w:r>
      <w:r w:rsidR="008872FD" w:rsidRPr="00610904">
        <w:rPr>
          <w:noProof w:val="0"/>
          <w:lang w:val="en-US"/>
        </w:rPr>
        <w:t xml:space="preserve">a </w:t>
      </w:r>
      <w:r w:rsidRPr="00610904">
        <w:rPr>
          <w:noProof w:val="0"/>
          <w:lang w:val="en-US"/>
        </w:rPr>
        <w:t xml:space="preserve">person living with </w:t>
      </w:r>
      <w:r w:rsidR="00A8072E" w:rsidRPr="00610904">
        <w:rPr>
          <w:noProof w:val="0"/>
          <w:lang w:val="en-US"/>
        </w:rPr>
        <w:t>HIV</w:t>
      </w:r>
      <w:r w:rsidR="00766B12" w:rsidRPr="00610904">
        <w:rPr>
          <w:noProof w:val="0"/>
          <w:lang w:val="en-US"/>
        </w:rPr>
        <w:t xml:space="preserve">, </w:t>
      </w:r>
      <w:r w:rsidR="008872FD" w:rsidRPr="00610904">
        <w:rPr>
          <w:noProof w:val="0"/>
          <w:lang w:val="en-US"/>
        </w:rPr>
        <w:t xml:space="preserve">a </w:t>
      </w:r>
      <w:r w:rsidRPr="00610904">
        <w:rPr>
          <w:noProof w:val="0"/>
          <w:lang w:val="en-US"/>
        </w:rPr>
        <w:t xml:space="preserve">child, </w:t>
      </w:r>
      <w:r w:rsidR="008872FD" w:rsidRPr="00610904">
        <w:rPr>
          <w:noProof w:val="0"/>
          <w:lang w:val="en-US"/>
        </w:rPr>
        <w:t xml:space="preserve">a </w:t>
      </w:r>
      <w:r w:rsidRPr="00610904">
        <w:rPr>
          <w:noProof w:val="0"/>
          <w:lang w:val="en-US"/>
        </w:rPr>
        <w:t xml:space="preserve">female, and living in conditions of poverty. </w:t>
      </w:r>
      <w:bookmarkEnd w:id="122"/>
      <w:r w:rsidRPr="00610904">
        <w:rPr>
          <w:noProof w:val="0"/>
          <w:lang w:val="en-US"/>
        </w:rPr>
        <w:t xml:space="preserve">Consequently, the Court considers that the Ecuadorian State violated </w:t>
      </w:r>
      <w:r w:rsidR="0013395A" w:rsidRPr="00610904">
        <w:rPr>
          <w:noProof w:val="0"/>
          <w:szCs w:val="20"/>
          <w:lang w:val="en-US"/>
        </w:rPr>
        <w:t>the right to education</w:t>
      </w:r>
      <w:r w:rsidRPr="00610904">
        <w:rPr>
          <w:noProof w:val="0"/>
          <w:szCs w:val="20"/>
          <w:lang w:val="en-US"/>
        </w:rPr>
        <w:t xml:space="preserve"> of Talía Gonzales Lluy contained in</w:t>
      </w:r>
      <w:r w:rsidR="003040F7" w:rsidRPr="00610904">
        <w:rPr>
          <w:noProof w:val="0"/>
          <w:szCs w:val="20"/>
          <w:lang w:val="en-US"/>
        </w:rPr>
        <w:t xml:space="preserve"> </w:t>
      </w:r>
      <w:r w:rsidR="009F3D78" w:rsidRPr="00610904">
        <w:rPr>
          <w:noProof w:val="0"/>
          <w:szCs w:val="20"/>
          <w:lang w:val="en-US"/>
        </w:rPr>
        <w:t>Article</w:t>
      </w:r>
      <w:r w:rsidR="003040F7" w:rsidRPr="00610904">
        <w:rPr>
          <w:noProof w:val="0"/>
          <w:szCs w:val="20"/>
          <w:lang w:val="en-US"/>
        </w:rPr>
        <w:t xml:space="preserve"> 13 </w:t>
      </w:r>
      <w:r w:rsidRPr="00610904">
        <w:rPr>
          <w:noProof w:val="0"/>
          <w:szCs w:val="20"/>
          <w:lang w:val="en-US"/>
        </w:rPr>
        <w:t xml:space="preserve">of the </w:t>
      </w:r>
      <w:r w:rsidR="00852A2E" w:rsidRPr="00610904">
        <w:rPr>
          <w:noProof w:val="0"/>
          <w:szCs w:val="20"/>
          <w:lang w:val="en-US"/>
        </w:rPr>
        <w:t>Protocol of</w:t>
      </w:r>
      <w:r w:rsidR="003040F7" w:rsidRPr="00610904">
        <w:rPr>
          <w:noProof w:val="0"/>
          <w:szCs w:val="20"/>
          <w:lang w:val="en-US"/>
        </w:rPr>
        <w:t xml:space="preserve"> San Salvador, </w:t>
      </w:r>
      <w:r w:rsidR="004A6E8B" w:rsidRPr="00610904">
        <w:rPr>
          <w:noProof w:val="0"/>
          <w:szCs w:val="20"/>
          <w:lang w:val="en-US"/>
        </w:rPr>
        <w:t>in relation to</w:t>
      </w:r>
      <w:r w:rsidR="003040F7" w:rsidRPr="00610904">
        <w:rPr>
          <w:noProof w:val="0"/>
          <w:szCs w:val="20"/>
          <w:lang w:val="en-US"/>
        </w:rPr>
        <w:t xml:space="preserve"> </w:t>
      </w:r>
      <w:r w:rsidR="009F3D78" w:rsidRPr="00610904">
        <w:rPr>
          <w:noProof w:val="0"/>
          <w:szCs w:val="20"/>
          <w:lang w:val="en-US"/>
        </w:rPr>
        <w:t>Articles</w:t>
      </w:r>
      <w:r w:rsidR="003040F7" w:rsidRPr="00610904">
        <w:rPr>
          <w:noProof w:val="0"/>
          <w:szCs w:val="20"/>
          <w:lang w:val="en-US"/>
        </w:rPr>
        <w:t xml:space="preserve"> 19</w:t>
      </w:r>
      <w:r w:rsidR="009F3D78" w:rsidRPr="00610904">
        <w:rPr>
          <w:noProof w:val="0"/>
          <w:szCs w:val="20"/>
          <w:lang w:val="en-US"/>
        </w:rPr>
        <w:t xml:space="preserve"> and </w:t>
      </w:r>
      <w:r w:rsidRPr="00610904">
        <w:rPr>
          <w:noProof w:val="0"/>
          <w:szCs w:val="20"/>
          <w:lang w:val="en-US"/>
        </w:rPr>
        <w:t>1(</w:t>
      </w:r>
      <w:r w:rsidR="003040F7" w:rsidRPr="00610904">
        <w:rPr>
          <w:noProof w:val="0"/>
          <w:szCs w:val="20"/>
          <w:lang w:val="en-US"/>
        </w:rPr>
        <w:t>1</w:t>
      </w:r>
      <w:r w:rsidRPr="00610904">
        <w:rPr>
          <w:noProof w:val="0"/>
          <w:szCs w:val="20"/>
          <w:lang w:val="en-US"/>
        </w:rPr>
        <w:t>)</w:t>
      </w:r>
      <w:r w:rsidR="009F3D78" w:rsidRPr="00610904">
        <w:rPr>
          <w:noProof w:val="0"/>
          <w:szCs w:val="20"/>
          <w:lang w:val="en-US"/>
        </w:rPr>
        <w:t xml:space="preserve"> of the American Convention</w:t>
      </w:r>
      <w:r w:rsidR="003040F7" w:rsidRPr="00610904">
        <w:rPr>
          <w:noProof w:val="0"/>
          <w:szCs w:val="20"/>
          <w:lang w:val="en-US"/>
        </w:rPr>
        <w:t>.</w:t>
      </w:r>
    </w:p>
    <w:p w:rsidR="003040F7" w:rsidRPr="00610904" w:rsidRDefault="003040F7" w:rsidP="00610904">
      <w:pPr>
        <w:pStyle w:val="MediumGrid1-Accent21"/>
        <w:rPr>
          <w:noProof w:val="0"/>
          <w:lang w:val="en-US"/>
        </w:rPr>
      </w:pPr>
    </w:p>
    <w:p w:rsidR="00B628C2" w:rsidRPr="00610904" w:rsidRDefault="00B628C2" w:rsidP="00610904">
      <w:pPr>
        <w:pStyle w:val="Heading1"/>
        <w:spacing w:before="0" w:after="0"/>
        <w:rPr>
          <w:noProof w:val="0"/>
          <w:lang w:val="en-US"/>
        </w:rPr>
      </w:pPr>
      <w:bookmarkStart w:id="123" w:name="_Toc429519511"/>
      <w:bookmarkStart w:id="124" w:name="_Toc443399110"/>
      <w:r w:rsidRPr="00610904">
        <w:rPr>
          <w:caps w:val="0"/>
          <w:noProof w:val="0"/>
          <w:lang w:val="en-US"/>
        </w:rPr>
        <w:t>XI</w:t>
      </w:r>
      <w:r w:rsidRPr="00610904">
        <w:rPr>
          <w:noProof w:val="0"/>
          <w:lang w:val="en-US"/>
        </w:rPr>
        <w:br/>
      </w:r>
      <w:r w:rsidR="00830022" w:rsidRPr="00610904">
        <w:rPr>
          <w:noProof w:val="0"/>
          <w:lang w:val="en-US"/>
        </w:rPr>
        <w:t>JUDICIAL GUARANTEES AND JUDICIAL PROTECTION</w:t>
      </w:r>
      <w:bookmarkEnd w:id="123"/>
      <w:bookmarkEnd w:id="124"/>
    </w:p>
    <w:p w:rsidR="00B628C2" w:rsidRPr="00610904" w:rsidRDefault="00B628C2" w:rsidP="00610904">
      <w:pPr>
        <w:rPr>
          <w:noProof w:val="0"/>
          <w:lang w:val="en-US"/>
        </w:rPr>
      </w:pPr>
    </w:p>
    <w:p w:rsidR="00B628C2" w:rsidRPr="00610904" w:rsidRDefault="00054980" w:rsidP="00610904">
      <w:pPr>
        <w:numPr>
          <w:ilvl w:val="0"/>
          <w:numId w:val="1"/>
        </w:numPr>
        <w:contextualSpacing/>
        <w:rPr>
          <w:noProof w:val="0"/>
          <w:lang w:val="en-US"/>
        </w:rPr>
      </w:pPr>
      <w:bookmarkStart w:id="125" w:name="_Ref319671385"/>
      <w:r w:rsidRPr="00610904">
        <w:rPr>
          <w:rFonts w:cs="Arial"/>
          <w:noProof w:val="0"/>
          <w:lang w:val="en-US"/>
        </w:rPr>
        <w:t xml:space="preserve">In this chapter, the Court will examine the arguments presented by the parties </w:t>
      </w:r>
      <w:r w:rsidR="009F3D78" w:rsidRPr="00610904">
        <w:rPr>
          <w:noProof w:val="0"/>
          <w:lang w:val="en-US"/>
        </w:rPr>
        <w:t xml:space="preserve">and </w:t>
      </w:r>
      <w:r w:rsidR="002F5BBA" w:rsidRPr="00610904">
        <w:rPr>
          <w:noProof w:val="0"/>
          <w:lang w:val="en-US"/>
        </w:rPr>
        <w:t>the Commission</w:t>
      </w:r>
      <w:r w:rsidRPr="00610904">
        <w:rPr>
          <w:noProof w:val="0"/>
          <w:lang w:val="en-US"/>
        </w:rPr>
        <w:t xml:space="preserve">, and also develop pertinent legal consideration related to the </w:t>
      </w:r>
      <w:r w:rsidR="00223622" w:rsidRPr="00610904">
        <w:rPr>
          <w:noProof w:val="0"/>
          <w:lang w:val="en-US"/>
        </w:rPr>
        <w:t>alleged</w:t>
      </w:r>
      <w:r w:rsidRPr="00610904">
        <w:rPr>
          <w:noProof w:val="0"/>
          <w:lang w:val="en-US"/>
        </w:rPr>
        <w:t xml:space="preserve"> </w:t>
      </w:r>
      <w:r w:rsidRPr="00610904">
        <w:rPr>
          <w:noProof w:val="0"/>
          <w:lang w:val="en-US"/>
        </w:rPr>
        <w:lastRenderedPageBreak/>
        <w:t>violation</w:t>
      </w:r>
      <w:r w:rsidR="00B628C2" w:rsidRPr="00610904">
        <w:rPr>
          <w:noProof w:val="0"/>
          <w:lang w:val="en-US"/>
        </w:rPr>
        <w:t>s</w:t>
      </w:r>
      <w:r w:rsidRPr="00610904">
        <w:rPr>
          <w:noProof w:val="0"/>
          <w:lang w:val="en-US"/>
        </w:rPr>
        <w:t xml:space="preserve"> </w:t>
      </w:r>
      <w:r w:rsidR="00856968" w:rsidRPr="00610904">
        <w:rPr>
          <w:noProof w:val="0"/>
          <w:lang w:val="en-US"/>
        </w:rPr>
        <w:t>of judicial</w:t>
      </w:r>
      <w:r w:rsidR="00830022" w:rsidRPr="00610904">
        <w:rPr>
          <w:noProof w:val="0"/>
          <w:lang w:val="en-US"/>
        </w:rPr>
        <w:t xml:space="preserve"> guarantees</w:t>
      </w:r>
      <w:r w:rsidR="009F3D78" w:rsidRPr="00610904">
        <w:rPr>
          <w:noProof w:val="0"/>
          <w:lang w:val="en-US"/>
        </w:rPr>
        <w:t xml:space="preserve"> and </w:t>
      </w:r>
      <w:r w:rsidR="00830022" w:rsidRPr="00610904">
        <w:rPr>
          <w:noProof w:val="0"/>
          <w:lang w:val="en-US"/>
        </w:rPr>
        <w:t>judicial protection</w:t>
      </w:r>
      <w:r w:rsidR="00B628C2" w:rsidRPr="00610904">
        <w:rPr>
          <w:noProof w:val="0"/>
          <w:lang w:val="en-US"/>
        </w:rPr>
        <w:t xml:space="preserve">. </w:t>
      </w:r>
      <w:r w:rsidRPr="00610904">
        <w:rPr>
          <w:noProof w:val="0"/>
          <w:lang w:val="en-US"/>
        </w:rPr>
        <w:t xml:space="preserve">To this end, it will make its analysis as follows: (a) </w:t>
      </w:r>
      <w:r w:rsidR="00223622" w:rsidRPr="00610904">
        <w:rPr>
          <w:noProof w:val="0"/>
          <w:lang w:val="en-US"/>
        </w:rPr>
        <w:t>arguments</w:t>
      </w:r>
      <w:r w:rsidR="009F3D78" w:rsidRPr="00610904">
        <w:rPr>
          <w:noProof w:val="0"/>
          <w:lang w:val="en-US"/>
        </w:rPr>
        <w:t xml:space="preserve"> and </w:t>
      </w:r>
      <w:r w:rsidR="00A8072E" w:rsidRPr="00610904">
        <w:rPr>
          <w:noProof w:val="0"/>
          <w:lang w:val="en-US"/>
        </w:rPr>
        <w:t>considerations</w:t>
      </w:r>
      <w:r w:rsidR="00B628C2" w:rsidRPr="00610904">
        <w:rPr>
          <w:noProof w:val="0"/>
          <w:lang w:val="en-US"/>
        </w:rPr>
        <w:t xml:space="preserve"> </w:t>
      </w:r>
      <w:r w:rsidR="004A6E8B" w:rsidRPr="00610904">
        <w:rPr>
          <w:noProof w:val="0"/>
          <w:lang w:val="en-US"/>
        </w:rPr>
        <w:t>in relation to</w:t>
      </w:r>
      <w:r w:rsidRPr="00610904">
        <w:rPr>
          <w:noProof w:val="0"/>
          <w:lang w:val="en-US"/>
        </w:rPr>
        <w:t xml:space="preserve"> the</w:t>
      </w:r>
      <w:r w:rsidR="00B628C2" w:rsidRPr="00610904">
        <w:rPr>
          <w:noProof w:val="0"/>
          <w:lang w:val="en-US"/>
        </w:rPr>
        <w:t xml:space="preserve"> </w:t>
      </w:r>
      <w:r w:rsidR="00223622" w:rsidRPr="00610904">
        <w:rPr>
          <w:noProof w:val="0"/>
          <w:lang w:val="en-US"/>
        </w:rPr>
        <w:t>alleged</w:t>
      </w:r>
      <w:r w:rsidR="00B628C2" w:rsidRPr="00610904">
        <w:rPr>
          <w:noProof w:val="0"/>
          <w:lang w:val="en-US"/>
        </w:rPr>
        <w:t xml:space="preserve"> </w:t>
      </w:r>
      <w:r w:rsidR="00830022" w:rsidRPr="00610904">
        <w:rPr>
          <w:noProof w:val="0"/>
          <w:lang w:val="en-US"/>
        </w:rPr>
        <w:t>violation of</w:t>
      </w:r>
      <w:r w:rsidR="00B628C2" w:rsidRPr="00610904">
        <w:rPr>
          <w:noProof w:val="0"/>
          <w:lang w:val="en-US"/>
        </w:rPr>
        <w:t xml:space="preserve"> </w:t>
      </w:r>
      <w:r w:rsidR="00A8072E" w:rsidRPr="00610904">
        <w:rPr>
          <w:noProof w:val="0"/>
          <w:lang w:val="en-US"/>
        </w:rPr>
        <w:t>Article</w:t>
      </w:r>
      <w:r w:rsidR="00B628C2" w:rsidRPr="00610904">
        <w:rPr>
          <w:noProof w:val="0"/>
          <w:lang w:val="en-US"/>
        </w:rPr>
        <w:t xml:space="preserve"> 8</w:t>
      </w:r>
      <w:r w:rsidR="009F3D78" w:rsidRPr="00610904">
        <w:rPr>
          <w:noProof w:val="0"/>
          <w:lang w:val="en-US"/>
        </w:rPr>
        <w:t xml:space="preserve"> of the Convention</w:t>
      </w:r>
      <w:r w:rsidR="00B628C2" w:rsidRPr="00610904">
        <w:rPr>
          <w:noProof w:val="0"/>
          <w:lang w:val="en-US"/>
        </w:rPr>
        <w:t>,</w:t>
      </w:r>
      <w:r w:rsidR="009F3D78" w:rsidRPr="00610904">
        <w:rPr>
          <w:noProof w:val="0"/>
          <w:lang w:val="en-US"/>
        </w:rPr>
        <w:t xml:space="preserve"> and </w:t>
      </w:r>
      <w:r w:rsidRPr="00610904">
        <w:rPr>
          <w:noProof w:val="0"/>
          <w:lang w:val="en-US"/>
        </w:rPr>
        <w:t>(</w:t>
      </w:r>
      <w:r w:rsidR="00B628C2" w:rsidRPr="00610904">
        <w:rPr>
          <w:noProof w:val="0"/>
          <w:lang w:val="en-US"/>
        </w:rPr>
        <w:t xml:space="preserve">b) </w:t>
      </w:r>
      <w:r w:rsidR="00223622" w:rsidRPr="00610904">
        <w:rPr>
          <w:noProof w:val="0"/>
          <w:lang w:val="en-US"/>
        </w:rPr>
        <w:t>arguments</w:t>
      </w:r>
      <w:r w:rsidR="009F3D78" w:rsidRPr="00610904">
        <w:rPr>
          <w:noProof w:val="0"/>
          <w:lang w:val="en-US"/>
        </w:rPr>
        <w:t xml:space="preserve"> and </w:t>
      </w:r>
      <w:r w:rsidR="00A8072E" w:rsidRPr="00610904">
        <w:rPr>
          <w:noProof w:val="0"/>
          <w:lang w:val="en-US"/>
        </w:rPr>
        <w:t>considerations</w:t>
      </w:r>
      <w:r w:rsidR="00B628C2" w:rsidRPr="00610904">
        <w:rPr>
          <w:noProof w:val="0"/>
          <w:lang w:val="en-US"/>
        </w:rPr>
        <w:t xml:space="preserve"> </w:t>
      </w:r>
      <w:r w:rsidRPr="00610904">
        <w:rPr>
          <w:noProof w:val="0"/>
          <w:lang w:val="en-US"/>
        </w:rPr>
        <w:t>in relation to the</w:t>
      </w:r>
      <w:r w:rsidR="00B628C2" w:rsidRPr="00610904">
        <w:rPr>
          <w:noProof w:val="0"/>
          <w:lang w:val="en-US"/>
        </w:rPr>
        <w:t xml:space="preserve"> </w:t>
      </w:r>
      <w:r w:rsidR="00223622" w:rsidRPr="00610904">
        <w:rPr>
          <w:noProof w:val="0"/>
          <w:lang w:val="en-US"/>
        </w:rPr>
        <w:t>alleged</w:t>
      </w:r>
      <w:r w:rsidR="00B628C2" w:rsidRPr="00610904">
        <w:rPr>
          <w:noProof w:val="0"/>
          <w:lang w:val="en-US"/>
        </w:rPr>
        <w:t xml:space="preserve"> </w:t>
      </w:r>
      <w:r w:rsidR="00830022" w:rsidRPr="00610904">
        <w:rPr>
          <w:noProof w:val="0"/>
          <w:lang w:val="en-US"/>
        </w:rPr>
        <w:t>violation of</w:t>
      </w:r>
      <w:r w:rsidR="00B628C2" w:rsidRPr="00610904">
        <w:rPr>
          <w:noProof w:val="0"/>
          <w:lang w:val="en-US"/>
        </w:rPr>
        <w:t xml:space="preserve"> </w:t>
      </w:r>
      <w:r w:rsidR="00A8072E" w:rsidRPr="00610904">
        <w:rPr>
          <w:noProof w:val="0"/>
          <w:lang w:val="en-US"/>
        </w:rPr>
        <w:t>Article</w:t>
      </w:r>
      <w:r w:rsidR="00B628C2" w:rsidRPr="00610904">
        <w:rPr>
          <w:noProof w:val="0"/>
          <w:lang w:val="en-US"/>
        </w:rPr>
        <w:t xml:space="preserve"> 25</w:t>
      </w:r>
      <w:r w:rsidR="009F3D78" w:rsidRPr="00610904">
        <w:rPr>
          <w:noProof w:val="0"/>
          <w:lang w:val="en-US"/>
        </w:rPr>
        <w:t xml:space="preserve"> of the Convention</w:t>
      </w:r>
      <w:r w:rsidR="00B628C2" w:rsidRPr="00610904">
        <w:rPr>
          <w:noProof w:val="0"/>
          <w:lang w:val="en-US"/>
        </w:rPr>
        <w:t xml:space="preserve">. </w:t>
      </w:r>
      <w:r w:rsidRPr="00610904">
        <w:rPr>
          <w:noProof w:val="0"/>
          <w:lang w:val="en-US"/>
        </w:rPr>
        <w:t xml:space="preserve">It will also analyze the </w:t>
      </w:r>
      <w:r w:rsidR="00223622" w:rsidRPr="00610904">
        <w:rPr>
          <w:noProof w:val="0"/>
          <w:lang w:val="en-US"/>
        </w:rPr>
        <w:t>alleged</w:t>
      </w:r>
      <w:r w:rsidR="00B628C2" w:rsidRPr="00610904">
        <w:rPr>
          <w:noProof w:val="0"/>
          <w:lang w:val="en-US"/>
        </w:rPr>
        <w:t xml:space="preserve"> </w:t>
      </w:r>
      <w:r w:rsidR="00391F07" w:rsidRPr="00610904">
        <w:rPr>
          <w:noProof w:val="0"/>
          <w:lang w:val="en-US"/>
        </w:rPr>
        <w:t>violation</w:t>
      </w:r>
      <w:r w:rsidR="00B628C2" w:rsidRPr="00610904">
        <w:rPr>
          <w:noProof w:val="0"/>
          <w:lang w:val="en-US"/>
        </w:rPr>
        <w:t xml:space="preserve"> </w:t>
      </w:r>
      <w:r w:rsidR="006E502B" w:rsidRPr="00610904">
        <w:rPr>
          <w:noProof w:val="0"/>
          <w:lang w:val="en-US"/>
        </w:rPr>
        <w:t>of Article</w:t>
      </w:r>
      <w:r w:rsidR="00B628C2" w:rsidRPr="00610904">
        <w:rPr>
          <w:noProof w:val="0"/>
          <w:lang w:val="en-US"/>
        </w:rPr>
        <w:t xml:space="preserve"> 19 </w:t>
      </w:r>
      <w:r w:rsidR="004A6E8B" w:rsidRPr="00610904">
        <w:rPr>
          <w:noProof w:val="0"/>
          <w:lang w:val="en-US"/>
        </w:rPr>
        <w:t>in relation to</w:t>
      </w:r>
      <w:r w:rsidR="00B628C2" w:rsidRPr="00610904">
        <w:rPr>
          <w:noProof w:val="0"/>
          <w:lang w:val="en-US"/>
        </w:rPr>
        <w:t xml:space="preserve"> </w:t>
      </w:r>
      <w:r w:rsidR="009F3D78" w:rsidRPr="00610904">
        <w:rPr>
          <w:noProof w:val="0"/>
          <w:lang w:val="en-US"/>
        </w:rPr>
        <w:t>Article</w:t>
      </w:r>
      <w:r w:rsidR="00B628C2" w:rsidRPr="00610904">
        <w:rPr>
          <w:noProof w:val="0"/>
          <w:lang w:val="en-US"/>
        </w:rPr>
        <w:t xml:space="preserve"> 8 </w:t>
      </w:r>
      <w:r w:rsidRPr="00610904">
        <w:rPr>
          <w:noProof w:val="0"/>
          <w:lang w:val="en-US"/>
        </w:rPr>
        <w:t>of this instrument.</w:t>
      </w:r>
    </w:p>
    <w:p w:rsidR="00B628C2" w:rsidRPr="00610904" w:rsidRDefault="00B628C2" w:rsidP="00610904">
      <w:pPr>
        <w:rPr>
          <w:noProof w:val="0"/>
          <w:lang w:val="en-US"/>
        </w:rPr>
      </w:pPr>
    </w:p>
    <w:p w:rsidR="00B628C2" w:rsidRPr="00610904" w:rsidRDefault="00830022" w:rsidP="00610904">
      <w:pPr>
        <w:pStyle w:val="Heading2"/>
        <w:numPr>
          <w:ilvl w:val="0"/>
          <w:numId w:val="12"/>
        </w:numPr>
        <w:spacing w:before="0" w:after="0"/>
        <w:rPr>
          <w:noProof w:val="0"/>
          <w:lang w:val="en-US"/>
        </w:rPr>
      </w:pPr>
      <w:bookmarkStart w:id="126" w:name="_Toc410979615"/>
      <w:bookmarkStart w:id="127" w:name="_Toc429519512"/>
      <w:bookmarkStart w:id="128" w:name="_Toc443399111"/>
      <w:r w:rsidRPr="00610904">
        <w:rPr>
          <w:noProof w:val="0"/>
          <w:lang w:val="en-US"/>
        </w:rPr>
        <w:t>Alleged violations of</w:t>
      </w:r>
      <w:r w:rsidR="00B628C2" w:rsidRPr="00610904">
        <w:rPr>
          <w:noProof w:val="0"/>
          <w:lang w:val="en-US"/>
        </w:rPr>
        <w:t xml:space="preserve"> </w:t>
      </w:r>
      <w:r w:rsidR="00A8072E" w:rsidRPr="00610904">
        <w:rPr>
          <w:noProof w:val="0"/>
          <w:lang w:val="en-US"/>
        </w:rPr>
        <w:t>Article</w:t>
      </w:r>
      <w:r w:rsidR="00B628C2" w:rsidRPr="00610904">
        <w:rPr>
          <w:noProof w:val="0"/>
          <w:lang w:val="en-US"/>
        </w:rPr>
        <w:t xml:space="preserve"> 8</w:t>
      </w:r>
      <w:r w:rsidR="009F3D78" w:rsidRPr="00610904">
        <w:rPr>
          <w:noProof w:val="0"/>
          <w:lang w:val="en-US"/>
        </w:rPr>
        <w:t xml:space="preserve"> of the Convention</w:t>
      </w:r>
      <w:r w:rsidR="00B628C2" w:rsidRPr="00610904">
        <w:rPr>
          <w:noProof w:val="0"/>
          <w:lang w:val="en-US"/>
        </w:rPr>
        <w:t xml:space="preserve"> – </w:t>
      </w:r>
      <w:r w:rsidRPr="00610904">
        <w:rPr>
          <w:noProof w:val="0"/>
          <w:lang w:val="en-US"/>
        </w:rPr>
        <w:t>judicial guarantees</w:t>
      </w:r>
      <w:bookmarkEnd w:id="126"/>
      <w:bookmarkEnd w:id="127"/>
      <w:bookmarkEnd w:id="128"/>
    </w:p>
    <w:p w:rsidR="00B628C2" w:rsidRPr="00610904" w:rsidRDefault="00B628C2" w:rsidP="00610904">
      <w:pPr>
        <w:rPr>
          <w:noProof w:val="0"/>
          <w:lang w:val="en-US"/>
        </w:rPr>
      </w:pPr>
    </w:p>
    <w:p w:rsidR="00B628C2" w:rsidRPr="00610904" w:rsidRDefault="00B628C2" w:rsidP="00610904">
      <w:pPr>
        <w:pStyle w:val="Heading3"/>
        <w:ind w:left="0" w:firstLine="709"/>
        <w:rPr>
          <w:noProof w:val="0"/>
          <w:lang w:val="en-US"/>
        </w:rPr>
      </w:pPr>
      <w:bookmarkStart w:id="129" w:name="_Toc410979616"/>
      <w:bookmarkStart w:id="130" w:name="_Toc429519513"/>
      <w:bookmarkStart w:id="131" w:name="_Toc443399112"/>
      <w:r w:rsidRPr="00610904">
        <w:rPr>
          <w:noProof w:val="0"/>
          <w:lang w:val="en-US"/>
        </w:rPr>
        <w:t xml:space="preserve">A.1. </w:t>
      </w:r>
      <w:bookmarkEnd w:id="129"/>
      <w:r w:rsidR="00830022" w:rsidRPr="00610904">
        <w:rPr>
          <w:noProof w:val="0"/>
          <w:lang w:val="en-US"/>
        </w:rPr>
        <w:t xml:space="preserve">Right to be heard, </w:t>
      </w:r>
      <w:r w:rsidR="00054980" w:rsidRPr="00610904">
        <w:rPr>
          <w:noProof w:val="0"/>
          <w:lang w:val="en-US"/>
        </w:rPr>
        <w:t xml:space="preserve">to </w:t>
      </w:r>
      <w:r w:rsidR="00830022" w:rsidRPr="00610904">
        <w:rPr>
          <w:noProof w:val="0"/>
          <w:lang w:val="en-US"/>
        </w:rPr>
        <w:t xml:space="preserve">due diligence and </w:t>
      </w:r>
      <w:r w:rsidR="00054980" w:rsidRPr="00610904">
        <w:rPr>
          <w:noProof w:val="0"/>
          <w:lang w:val="en-US"/>
        </w:rPr>
        <w:t xml:space="preserve">to a </w:t>
      </w:r>
      <w:r w:rsidR="00830022" w:rsidRPr="00610904">
        <w:rPr>
          <w:noProof w:val="0"/>
          <w:lang w:val="en-US"/>
        </w:rPr>
        <w:t>reasonable time in criminal proceedings</w:t>
      </w:r>
      <w:bookmarkEnd w:id="130"/>
      <w:bookmarkEnd w:id="131"/>
      <w:r w:rsidRPr="00610904">
        <w:rPr>
          <w:noProof w:val="0"/>
          <w:lang w:val="en-US"/>
        </w:rPr>
        <w:t xml:space="preserve"> </w:t>
      </w:r>
    </w:p>
    <w:p w:rsidR="00B628C2" w:rsidRPr="00610904" w:rsidRDefault="00B628C2" w:rsidP="00610904">
      <w:pPr>
        <w:rPr>
          <w:b/>
          <w:noProof w:val="0"/>
          <w:lang w:val="en-US"/>
        </w:rPr>
      </w:pPr>
    </w:p>
    <w:p w:rsidR="00B628C2" w:rsidRPr="00610904" w:rsidRDefault="00882CCC" w:rsidP="00610904">
      <w:pPr>
        <w:ind w:left="360"/>
        <w:rPr>
          <w:i/>
          <w:noProof w:val="0"/>
          <w:lang w:val="en-US"/>
        </w:rPr>
      </w:pPr>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B628C2" w:rsidRPr="00610904" w:rsidRDefault="00B628C2" w:rsidP="00610904">
      <w:pPr>
        <w:rPr>
          <w:noProof w:val="0"/>
          <w:lang w:val="en-US"/>
        </w:rPr>
      </w:pPr>
    </w:p>
    <w:p w:rsidR="00B628C2" w:rsidRPr="00610904" w:rsidRDefault="00054980" w:rsidP="00610904">
      <w:pPr>
        <w:numPr>
          <w:ilvl w:val="0"/>
          <w:numId w:val="1"/>
        </w:numPr>
        <w:contextualSpacing/>
        <w:rPr>
          <w:noProof w:val="0"/>
          <w:lang w:val="en-US"/>
        </w:rPr>
      </w:pPr>
      <w:r w:rsidRPr="00610904">
        <w:rPr>
          <w:rFonts w:cs="Arial"/>
          <w:noProof w:val="0"/>
          <w:lang w:val="en-US"/>
        </w:rPr>
        <w:t>The Commission indicated that</w:t>
      </w:r>
      <w:r w:rsidR="00882CCC" w:rsidRPr="00610904">
        <w:rPr>
          <w:rFonts w:cs="Arial"/>
          <w:noProof w:val="0"/>
          <w:lang w:val="en-US"/>
        </w:rPr>
        <w:t xml:space="preserve"> the </w:t>
      </w:r>
      <w:r w:rsidR="00521F86" w:rsidRPr="00610904">
        <w:rPr>
          <w:rFonts w:cs="Arial"/>
          <w:noProof w:val="0"/>
          <w:lang w:val="en-US"/>
        </w:rPr>
        <w:t xml:space="preserve">criminal proceedings </w:t>
      </w:r>
      <w:r w:rsidR="00882CCC" w:rsidRPr="00610904">
        <w:rPr>
          <w:rFonts w:cs="Arial"/>
          <w:noProof w:val="0"/>
          <w:lang w:val="en-US"/>
        </w:rPr>
        <w:t xml:space="preserve">lasted nine years, during which “there were numerous indications of lack of due diligence.” According to </w:t>
      </w:r>
      <w:r w:rsidR="002F5BBA" w:rsidRPr="00610904">
        <w:rPr>
          <w:noProof w:val="0"/>
          <w:szCs w:val="22"/>
          <w:lang w:val="en-US"/>
        </w:rPr>
        <w:t>the Commission</w:t>
      </w:r>
      <w:r w:rsidR="00B628C2" w:rsidRPr="00610904">
        <w:rPr>
          <w:noProof w:val="0"/>
          <w:szCs w:val="22"/>
          <w:lang w:val="en-US"/>
        </w:rPr>
        <w:t xml:space="preserve">, </w:t>
      </w:r>
      <w:r w:rsidR="00882CCC" w:rsidRPr="00610904">
        <w:rPr>
          <w:noProof w:val="0"/>
          <w:szCs w:val="22"/>
          <w:lang w:val="en-US"/>
        </w:rPr>
        <w:t>there was an unjustified delay in ordering and performing</w:t>
      </w:r>
      <w:r w:rsidR="004E4EC1" w:rsidRPr="00610904">
        <w:rPr>
          <w:noProof w:val="0"/>
          <w:szCs w:val="22"/>
          <w:lang w:val="en-US"/>
        </w:rPr>
        <w:t xml:space="preserve"> the specialized genetic test</w:t>
      </w:r>
      <w:r w:rsidR="00882CCC" w:rsidRPr="00610904">
        <w:rPr>
          <w:noProof w:val="0"/>
          <w:szCs w:val="22"/>
          <w:lang w:val="en-US"/>
        </w:rPr>
        <w:t xml:space="preserve"> suggested by the medical experts; also, “</w:t>
      </w:r>
      <w:r w:rsidR="004E4EC1" w:rsidRPr="00610904">
        <w:rPr>
          <w:noProof w:val="0"/>
          <w:szCs w:val="22"/>
          <w:lang w:val="en-US"/>
        </w:rPr>
        <w:t xml:space="preserve">the judicial authorities closed </w:t>
      </w:r>
      <w:r w:rsidR="00882CCC" w:rsidRPr="00610904">
        <w:rPr>
          <w:noProof w:val="0"/>
          <w:szCs w:val="22"/>
          <w:lang w:val="en-US"/>
        </w:rPr>
        <w:t xml:space="preserve">the </w:t>
      </w:r>
      <w:r w:rsidR="004E4EC1" w:rsidRPr="00610904">
        <w:rPr>
          <w:noProof w:val="0"/>
          <w:szCs w:val="22"/>
          <w:lang w:val="en-US"/>
        </w:rPr>
        <w:t xml:space="preserve">preliminary investigation </w:t>
      </w:r>
      <w:r w:rsidR="00882CCC" w:rsidRPr="00610904">
        <w:rPr>
          <w:noProof w:val="0"/>
          <w:szCs w:val="22"/>
          <w:lang w:val="en-US"/>
        </w:rPr>
        <w:t xml:space="preserve">on more than three occasions, even though this crucial test had not been performed, [which meant] that the prosecutor had to repeatedly request the judicial authorities to re-open the preliminary </w:t>
      </w:r>
      <w:r w:rsidR="004E4EC1" w:rsidRPr="00610904">
        <w:rPr>
          <w:noProof w:val="0"/>
          <w:szCs w:val="22"/>
          <w:lang w:val="en-US"/>
        </w:rPr>
        <w:t>investigation</w:t>
      </w:r>
      <w:r w:rsidR="00882CCC" w:rsidRPr="00610904">
        <w:rPr>
          <w:noProof w:val="0"/>
          <w:szCs w:val="22"/>
          <w:lang w:val="en-US"/>
        </w:rPr>
        <w:t xml:space="preserve">, with the </w:t>
      </w:r>
      <w:r w:rsidR="004E4EC1" w:rsidRPr="00610904">
        <w:rPr>
          <w:noProof w:val="0"/>
          <w:szCs w:val="22"/>
          <w:lang w:val="en-US"/>
        </w:rPr>
        <w:t>consequent</w:t>
      </w:r>
      <w:r w:rsidR="00882CCC" w:rsidRPr="00610904">
        <w:rPr>
          <w:noProof w:val="0"/>
          <w:szCs w:val="22"/>
          <w:lang w:val="en-US"/>
        </w:rPr>
        <w:t xml:space="preserve"> additional delays.” The Commission also argued that: “[o]ne of the most </w:t>
      </w:r>
      <w:r w:rsidR="00856968" w:rsidRPr="00610904">
        <w:rPr>
          <w:noProof w:val="0"/>
          <w:szCs w:val="22"/>
          <w:lang w:val="en-US"/>
        </w:rPr>
        <w:t>blatant</w:t>
      </w:r>
      <w:r w:rsidR="00882CCC" w:rsidRPr="00610904">
        <w:rPr>
          <w:noProof w:val="0"/>
          <w:szCs w:val="22"/>
          <w:lang w:val="en-US"/>
        </w:rPr>
        <w:t xml:space="preserve"> examples of the lack of diligence in the </w:t>
      </w:r>
      <w:r w:rsidR="00521F86" w:rsidRPr="00610904">
        <w:rPr>
          <w:noProof w:val="0"/>
          <w:szCs w:val="22"/>
          <w:lang w:val="en-US"/>
        </w:rPr>
        <w:t xml:space="preserve">criminal proceedings </w:t>
      </w:r>
      <w:r w:rsidR="00882CCC" w:rsidRPr="00610904">
        <w:rPr>
          <w:noProof w:val="0"/>
          <w:szCs w:val="22"/>
          <w:lang w:val="en-US"/>
        </w:rPr>
        <w:t xml:space="preserve">relates to the four years that </w:t>
      </w:r>
      <w:r w:rsidR="004E4EC1" w:rsidRPr="00610904">
        <w:rPr>
          <w:noProof w:val="0"/>
          <w:szCs w:val="22"/>
          <w:lang w:val="en-US"/>
        </w:rPr>
        <w:t>passed after</w:t>
      </w:r>
      <w:r w:rsidR="00882CCC" w:rsidRPr="00610904">
        <w:rPr>
          <w:noProof w:val="0"/>
          <w:szCs w:val="22"/>
          <w:lang w:val="en-US"/>
        </w:rPr>
        <w:t xml:space="preserve"> the indictment was drawn up and admitted against [MRR].” </w:t>
      </w:r>
      <w:r w:rsidR="007916C1" w:rsidRPr="00610904">
        <w:rPr>
          <w:noProof w:val="0"/>
          <w:szCs w:val="22"/>
          <w:lang w:val="en-US"/>
        </w:rPr>
        <w:t>According to the</w:t>
      </w:r>
      <w:r w:rsidR="002F5BBA" w:rsidRPr="00610904">
        <w:rPr>
          <w:noProof w:val="0"/>
          <w:szCs w:val="22"/>
          <w:lang w:val="en-US"/>
        </w:rPr>
        <w:t xml:space="preserve"> Commission</w:t>
      </w:r>
      <w:r w:rsidR="00B628C2" w:rsidRPr="00610904">
        <w:rPr>
          <w:noProof w:val="0"/>
          <w:szCs w:val="22"/>
          <w:lang w:val="en-US"/>
        </w:rPr>
        <w:t xml:space="preserve">, </w:t>
      </w:r>
      <w:r w:rsidR="009F3D78" w:rsidRPr="00610904">
        <w:rPr>
          <w:noProof w:val="0"/>
          <w:szCs w:val="22"/>
          <w:lang w:val="en-US"/>
        </w:rPr>
        <w:t>the State</w:t>
      </w:r>
      <w:r w:rsidR="00B628C2" w:rsidRPr="00610904">
        <w:rPr>
          <w:noProof w:val="0"/>
          <w:szCs w:val="22"/>
          <w:lang w:val="en-US"/>
        </w:rPr>
        <w:t xml:space="preserve"> </w:t>
      </w:r>
      <w:r w:rsidR="00882CCC" w:rsidRPr="00610904">
        <w:rPr>
          <w:noProof w:val="0"/>
          <w:szCs w:val="22"/>
          <w:lang w:val="en-US"/>
        </w:rPr>
        <w:t>did not take steps to find MRR</w:t>
      </w:r>
      <w:r w:rsidR="009F3D78" w:rsidRPr="00610904">
        <w:rPr>
          <w:noProof w:val="0"/>
          <w:szCs w:val="22"/>
          <w:lang w:val="en-US"/>
        </w:rPr>
        <w:t xml:space="preserve"> and</w:t>
      </w:r>
      <w:r w:rsidR="00882CCC" w:rsidRPr="00610904">
        <w:rPr>
          <w:noProof w:val="0"/>
          <w:szCs w:val="22"/>
          <w:lang w:val="en-US"/>
        </w:rPr>
        <w:t xml:space="preserve">, to the contrary, remained inactive for four years until the statute of limitations was applicable, </w:t>
      </w:r>
      <w:r w:rsidR="004E4EC1" w:rsidRPr="00610904">
        <w:rPr>
          <w:noProof w:val="0"/>
          <w:szCs w:val="22"/>
          <w:lang w:val="en-US"/>
        </w:rPr>
        <w:t>owing pre</w:t>
      </w:r>
      <w:r w:rsidR="00882CCC" w:rsidRPr="00610904">
        <w:rPr>
          <w:noProof w:val="0"/>
          <w:szCs w:val="22"/>
          <w:lang w:val="en-US"/>
        </w:rPr>
        <w:t xml:space="preserve">cisely </w:t>
      </w:r>
      <w:r w:rsidR="004E4EC1" w:rsidRPr="00610904">
        <w:rPr>
          <w:noProof w:val="0"/>
          <w:szCs w:val="22"/>
          <w:lang w:val="en-US"/>
        </w:rPr>
        <w:t>to its lack of due diligence.</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eastAsia="es-CR"/>
        </w:rPr>
        <w:t>The representatives</w:t>
      </w:r>
      <w:r w:rsidR="00B628C2" w:rsidRPr="00610904">
        <w:rPr>
          <w:noProof w:val="0"/>
          <w:lang w:val="en-US" w:eastAsia="es-CR"/>
        </w:rPr>
        <w:t xml:space="preserve"> </w:t>
      </w:r>
      <w:r w:rsidR="00882CCC" w:rsidRPr="00610904">
        <w:rPr>
          <w:noProof w:val="0"/>
          <w:lang w:val="en-US" w:eastAsia="es-CR"/>
        </w:rPr>
        <w:t xml:space="preserve">indicated that the Lluy family had invested more than five years </w:t>
      </w:r>
      <w:r w:rsidR="00882CCC" w:rsidRPr="00610904">
        <w:rPr>
          <w:rFonts w:cs="Arial"/>
          <w:noProof w:val="0"/>
          <w:lang w:val="en-US"/>
        </w:rPr>
        <w:t xml:space="preserve">in the </w:t>
      </w:r>
      <w:r w:rsidR="00521F86" w:rsidRPr="00610904">
        <w:rPr>
          <w:rFonts w:cs="Arial"/>
          <w:noProof w:val="0"/>
          <w:lang w:val="en-US"/>
        </w:rPr>
        <w:t xml:space="preserve">criminal proceedings </w:t>
      </w:r>
      <w:r w:rsidR="00882CCC" w:rsidRPr="00610904">
        <w:rPr>
          <w:rFonts w:cs="Arial"/>
          <w:noProof w:val="0"/>
          <w:lang w:val="en-US"/>
        </w:rPr>
        <w:t xml:space="preserve">and approximately four years in the civil proceeding, which they considered an excessive time if the importance of the rights involved in the case and the gravity of Talía’s situation are taken into account. They added that, when protecting persons who are in a special situation of vulnerability, as in the case of a person living with HIV, the prompt settlement of judicial actions is especially important. In addition, the representatives argued that the State had violated the Lluy family’s right to be heard, because the presumed victims were not heard at the trial despite their insistent requests during the proceedings. According to </w:t>
      </w:r>
      <w:r w:rsidRPr="00610904">
        <w:rPr>
          <w:rFonts w:cs="Arial"/>
          <w:noProof w:val="0"/>
          <w:lang w:val="en-US"/>
        </w:rPr>
        <w:t>the representatives</w:t>
      </w:r>
      <w:r w:rsidR="00B628C2" w:rsidRPr="00610904">
        <w:rPr>
          <w:rFonts w:cs="Arial"/>
          <w:noProof w:val="0"/>
          <w:lang w:val="en-US"/>
        </w:rPr>
        <w:t>,</w:t>
      </w:r>
      <w:r w:rsidR="00830022" w:rsidRPr="00610904">
        <w:rPr>
          <w:rFonts w:cs="Arial"/>
          <w:noProof w:val="0"/>
          <w:lang w:val="en-US"/>
        </w:rPr>
        <w:t xml:space="preserve"> during </w:t>
      </w:r>
      <w:r w:rsidR="00882CCC" w:rsidRPr="00610904">
        <w:rPr>
          <w:rFonts w:cs="Arial"/>
          <w:noProof w:val="0"/>
          <w:lang w:val="en-US"/>
        </w:rPr>
        <w:t>both the criminal and the civil proceedings, “only the version of</w:t>
      </w:r>
      <w:r w:rsidR="004E4EC1" w:rsidRPr="00610904">
        <w:rPr>
          <w:rFonts w:cs="Arial"/>
          <w:noProof w:val="0"/>
          <w:lang w:val="en-US"/>
        </w:rPr>
        <w:t xml:space="preserve"> the Red Cross was heard,” or the Red Cross</w:t>
      </w:r>
      <w:r w:rsidR="00882CCC" w:rsidRPr="00610904">
        <w:rPr>
          <w:rFonts w:cs="Arial"/>
          <w:noProof w:val="0"/>
          <w:lang w:val="en-US"/>
        </w:rPr>
        <w:t xml:space="preserve"> was accorded prevalence, assigning the whole burden of proof to the Lluy family.</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Arial"/>
          <w:noProof w:val="0"/>
          <w:lang w:val="en-US"/>
        </w:rPr>
        <w:t>The State</w:t>
      </w:r>
      <w:r w:rsidR="00B628C2" w:rsidRPr="00610904">
        <w:rPr>
          <w:rFonts w:cs="Arial"/>
          <w:noProof w:val="0"/>
          <w:lang w:val="en-US"/>
        </w:rPr>
        <w:t xml:space="preserve"> a</w:t>
      </w:r>
      <w:r w:rsidR="00882CCC" w:rsidRPr="00610904">
        <w:rPr>
          <w:rFonts w:cs="Arial"/>
          <w:noProof w:val="0"/>
          <w:lang w:val="en-US"/>
        </w:rPr>
        <w:t xml:space="preserve">rgued that the complexity of the matter should be taken into account because, in this case, numerous medical tests were performed on Talía. It also indicated that, at that time, Ecuador did not have the necessary technology to perform the tests and analyses that would have established or eliminated the possibility that the blood transfusion caused Talía’s infection. The State also argued that it had had to take measures that involved time and costs to </w:t>
      </w:r>
      <w:r w:rsidR="00856968" w:rsidRPr="00610904">
        <w:rPr>
          <w:rFonts w:cs="Arial"/>
          <w:noProof w:val="0"/>
          <w:lang w:val="en-US"/>
        </w:rPr>
        <w:t>send</w:t>
      </w:r>
      <w:r w:rsidR="00882CCC" w:rsidRPr="00610904">
        <w:rPr>
          <w:rFonts w:cs="Arial"/>
          <w:noProof w:val="0"/>
          <w:lang w:val="en-US"/>
        </w:rPr>
        <w:t xml:space="preserve"> the blood samples ab</w:t>
      </w:r>
      <w:r w:rsidR="004E4EC1" w:rsidRPr="00610904">
        <w:rPr>
          <w:rFonts w:cs="Arial"/>
          <w:noProof w:val="0"/>
          <w:lang w:val="en-US"/>
        </w:rPr>
        <w:t>road with the necessary request</w:t>
      </w:r>
      <w:r w:rsidR="00882CCC" w:rsidRPr="00610904">
        <w:rPr>
          <w:rFonts w:cs="Arial"/>
          <w:noProof w:val="0"/>
          <w:lang w:val="en-US"/>
        </w:rPr>
        <w:t xml:space="preserve">, so that a foreign institution would perform the </w:t>
      </w:r>
      <w:r w:rsidR="004E4EC1" w:rsidRPr="00610904">
        <w:rPr>
          <w:rFonts w:cs="Arial"/>
          <w:noProof w:val="0"/>
          <w:lang w:val="en-US"/>
        </w:rPr>
        <w:t>required</w:t>
      </w:r>
      <w:r w:rsidR="00882CCC" w:rsidRPr="00610904">
        <w:rPr>
          <w:rFonts w:cs="Arial"/>
          <w:noProof w:val="0"/>
          <w:lang w:val="en-US"/>
        </w:rPr>
        <w:t xml:space="preserve"> analyses.</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Arial"/>
          <w:noProof w:val="0"/>
          <w:lang w:val="en-US"/>
        </w:rPr>
        <w:t>The State</w:t>
      </w:r>
      <w:r w:rsidR="00B628C2" w:rsidRPr="00610904">
        <w:rPr>
          <w:rFonts w:cs="Arial"/>
          <w:noProof w:val="0"/>
          <w:lang w:val="en-US"/>
        </w:rPr>
        <w:t xml:space="preserve"> </w:t>
      </w:r>
      <w:r w:rsidR="00882CCC" w:rsidRPr="00610904">
        <w:rPr>
          <w:rFonts w:cs="Arial"/>
          <w:noProof w:val="0"/>
          <w:lang w:val="en-US"/>
        </w:rPr>
        <w:t xml:space="preserve">also indicated that </w:t>
      </w:r>
      <w:r w:rsidR="00B628C2" w:rsidRPr="00610904">
        <w:rPr>
          <w:noProof w:val="0"/>
          <w:szCs w:val="20"/>
          <w:lang w:val="en-US"/>
        </w:rPr>
        <w:t>Talía</w:t>
      </w:r>
      <w:r w:rsidRPr="00610904">
        <w:rPr>
          <w:rFonts w:cs="Arial"/>
          <w:noProof w:val="0"/>
          <w:lang w:val="en-US"/>
        </w:rPr>
        <w:t xml:space="preserve"> and </w:t>
      </w:r>
      <w:r w:rsidR="00882CCC" w:rsidRPr="00610904">
        <w:rPr>
          <w:rFonts w:cs="Arial"/>
          <w:noProof w:val="0"/>
          <w:lang w:val="en-US"/>
        </w:rPr>
        <w:t xml:space="preserve">her family made use of the </w:t>
      </w:r>
      <w:r w:rsidR="004E4EC1" w:rsidRPr="00610904">
        <w:rPr>
          <w:rFonts w:cs="Arial"/>
          <w:noProof w:val="0"/>
          <w:lang w:val="en-US"/>
        </w:rPr>
        <w:t xml:space="preserve">remedies </w:t>
      </w:r>
      <w:r w:rsidR="00882CCC" w:rsidRPr="00610904">
        <w:rPr>
          <w:rFonts w:cs="Arial"/>
          <w:noProof w:val="0"/>
          <w:lang w:val="en-US"/>
        </w:rPr>
        <w:t xml:space="preserve">available under domestic law, but had not exhausted them, and that the delay in the </w:t>
      </w:r>
      <w:r w:rsidR="00521F86" w:rsidRPr="00610904">
        <w:rPr>
          <w:rFonts w:cs="Arial"/>
          <w:noProof w:val="0"/>
          <w:lang w:val="en-US"/>
        </w:rPr>
        <w:t xml:space="preserve">criminal proceedings </w:t>
      </w:r>
      <w:r w:rsidR="00882CCC" w:rsidRPr="00610904">
        <w:rPr>
          <w:rFonts w:cs="Arial"/>
          <w:noProof w:val="0"/>
          <w:lang w:val="en-US"/>
        </w:rPr>
        <w:t xml:space="preserve">could not be attributed to the conduct of the judicial authorities, but to procedural actions </w:t>
      </w:r>
      <w:r w:rsidR="003309BE" w:rsidRPr="00610904">
        <w:rPr>
          <w:rFonts w:cs="Arial"/>
          <w:noProof w:val="0"/>
          <w:lang w:val="en-US"/>
        </w:rPr>
        <w:t xml:space="preserve">of the </w:t>
      </w:r>
      <w:r w:rsidRPr="00610904">
        <w:rPr>
          <w:rFonts w:cs="Arial"/>
          <w:noProof w:val="0"/>
          <w:lang w:val="en-US"/>
        </w:rPr>
        <w:t>presumed victims</w:t>
      </w:r>
      <w:r w:rsidR="00B628C2" w:rsidRPr="00610904">
        <w:rPr>
          <w:rFonts w:cs="Arial"/>
          <w:noProof w:val="0"/>
          <w:lang w:val="en-US"/>
        </w:rPr>
        <w:t xml:space="preserve">. </w:t>
      </w:r>
      <w:r w:rsidR="00882CCC" w:rsidRPr="00610904">
        <w:rPr>
          <w:rFonts w:cs="Arial"/>
          <w:noProof w:val="0"/>
          <w:lang w:val="en-US"/>
        </w:rPr>
        <w:t>Regarding the prescription of the proceedings, the State argued that MRR had fled the country and it had not been possible to capture her, despite the efforts made to locate he</w:t>
      </w:r>
      <w:r w:rsidR="004E4EC1" w:rsidRPr="00610904">
        <w:rPr>
          <w:rFonts w:cs="Arial"/>
          <w:noProof w:val="0"/>
          <w:lang w:val="en-US"/>
        </w:rPr>
        <w:t xml:space="preserve">r. Consequently, </w:t>
      </w:r>
      <w:r w:rsidR="00882CCC" w:rsidRPr="00610904">
        <w:rPr>
          <w:rFonts w:cs="Arial"/>
          <w:noProof w:val="0"/>
          <w:lang w:val="en-US"/>
        </w:rPr>
        <w:t xml:space="preserve">based on the law at the time, it had not </w:t>
      </w:r>
      <w:r w:rsidR="00882CCC" w:rsidRPr="00610904">
        <w:rPr>
          <w:rFonts w:cs="Arial"/>
          <w:noProof w:val="0"/>
          <w:lang w:val="en-US"/>
        </w:rPr>
        <w:lastRenderedPageBreak/>
        <w:t xml:space="preserve">been possible to try someone </w:t>
      </w:r>
      <w:r w:rsidR="00B628C2" w:rsidRPr="00610904">
        <w:rPr>
          <w:rFonts w:cs="Arial"/>
          <w:i/>
          <w:noProof w:val="0"/>
          <w:lang w:val="en-US"/>
        </w:rPr>
        <w:t>in absentia</w:t>
      </w:r>
      <w:r w:rsidR="00882CCC" w:rsidRPr="00610904">
        <w:rPr>
          <w:rFonts w:cs="Arial"/>
          <w:noProof w:val="0"/>
          <w:lang w:val="en-US"/>
        </w:rPr>
        <w:t xml:space="preserve"> and, once the time established by law had elapsed, the exercise </w:t>
      </w:r>
      <w:r w:rsidR="00A8072E" w:rsidRPr="00610904">
        <w:rPr>
          <w:rFonts w:cs="Arial"/>
          <w:noProof w:val="0"/>
          <w:lang w:val="en-US"/>
        </w:rPr>
        <w:t>of the criminal action</w:t>
      </w:r>
      <w:r w:rsidR="00B628C2" w:rsidRPr="00610904">
        <w:rPr>
          <w:rFonts w:cs="Arial"/>
          <w:noProof w:val="0"/>
          <w:lang w:val="en-US"/>
        </w:rPr>
        <w:t xml:space="preserve"> </w:t>
      </w:r>
      <w:r w:rsidR="00882CCC" w:rsidRPr="00610904">
        <w:rPr>
          <w:rFonts w:cs="Arial"/>
          <w:noProof w:val="0"/>
          <w:lang w:val="en-US"/>
        </w:rPr>
        <w:t>was subject to the statute of limitations.</w:t>
      </w:r>
      <w:r w:rsidR="00B628C2" w:rsidRPr="00610904">
        <w:rPr>
          <w:rFonts w:cs="Arial"/>
          <w:b/>
          <w:noProof w:val="0"/>
          <w:lang w:val="en-US"/>
        </w:rPr>
        <w:t xml:space="preserve"> </w:t>
      </w:r>
    </w:p>
    <w:p w:rsidR="00B628C2" w:rsidRPr="00610904" w:rsidRDefault="00B628C2" w:rsidP="00610904">
      <w:pPr>
        <w:rPr>
          <w:noProof w:val="0"/>
          <w:lang w:val="en-US"/>
        </w:rPr>
      </w:pPr>
    </w:p>
    <w:p w:rsidR="00B628C2" w:rsidRPr="00610904" w:rsidRDefault="00882CCC" w:rsidP="00610904">
      <w:pPr>
        <w:numPr>
          <w:ilvl w:val="0"/>
          <w:numId w:val="1"/>
        </w:numPr>
        <w:contextualSpacing/>
        <w:rPr>
          <w:noProof w:val="0"/>
          <w:lang w:val="en-US"/>
        </w:rPr>
      </w:pPr>
      <w:r w:rsidRPr="00610904">
        <w:rPr>
          <w:rFonts w:cs="Arial"/>
          <w:noProof w:val="0"/>
          <w:lang w:val="en-US"/>
        </w:rPr>
        <w:t>In addition, the State indicat</w:t>
      </w:r>
      <w:r w:rsidR="006F07E6" w:rsidRPr="00610904">
        <w:rPr>
          <w:rFonts w:cs="Arial"/>
          <w:noProof w:val="0"/>
          <w:lang w:val="en-US"/>
        </w:rPr>
        <w:t>e</w:t>
      </w:r>
      <w:r w:rsidRPr="00610904">
        <w:rPr>
          <w:rFonts w:cs="Arial"/>
          <w:noProof w:val="0"/>
          <w:lang w:val="en-US"/>
        </w:rPr>
        <w:t>d that “the</w:t>
      </w:r>
      <w:r w:rsidR="00B628C2" w:rsidRPr="00610904">
        <w:rPr>
          <w:rFonts w:cs="Arial"/>
          <w:noProof w:val="0"/>
          <w:lang w:val="en-US"/>
        </w:rPr>
        <w:t xml:space="preserve"> </w:t>
      </w:r>
      <w:r w:rsidR="00830022" w:rsidRPr="00610904">
        <w:rPr>
          <w:rFonts w:cs="Arial"/>
          <w:noProof w:val="0"/>
          <w:lang w:val="en-US"/>
        </w:rPr>
        <w:t>judicial guarantees</w:t>
      </w:r>
      <w:r w:rsidR="00B628C2" w:rsidRPr="00610904">
        <w:rPr>
          <w:rFonts w:cs="Arial"/>
          <w:noProof w:val="0"/>
          <w:lang w:val="en-US"/>
        </w:rPr>
        <w:t xml:space="preserve"> </w:t>
      </w:r>
      <w:r w:rsidRPr="00610904">
        <w:rPr>
          <w:rFonts w:cs="Arial"/>
          <w:noProof w:val="0"/>
          <w:lang w:val="en-US"/>
        </w:rPr>
        <w:t>recognized in</w:t>
      </w:r>
      <w:r w:rsidR="00B628C2" w:rsidRPr="00610904">
        <w:rPr>
          <w:rFonts w:cs="Arial"/>
          <w:noProof w:val="0"/>
          <w:lang w:val="en-US"/>
        </w:rPr>
        <w:t xml:space="preserve"> </w:t>
      </w:r>
      <w:r w:rsidR="009F3D78" w:rsidRPr="00610904">
        <w:rPr>
          <w:rFonts w:cs="Arial"/>
          <w:noProof w:val="0"/>
          <w:lang w:val="en-US"/>
        </w:rPr>
        <w:t>Article</w:t>
      </w:r>
      <w:r w:rsidR="00B628C2" w:rsidRPr="00610904">
        <w:rPr>
          <w:rFonts w:cs="Arial"/>
          <w:noProof w:val="0"/>
          <w:lang w:val="en-US"/>
        </w:rPr>
        <w:t xml:space="preserve"> 8 </w:t>
      </w:r>
      <w:r w:rsidRPr="00610904">
        <w:rPr>
          <w:rFonts w:cs="Arial"/>
          <w:noProof w:val="0"/>
          <w:lang w:val="en-US"/>
        </w:rPr>
        <w:t xml:space="preserve">of the Convention were </w:t>
      </w:r>
      <w:r w:rsidR="004E4EC1" w:rsidRPr="00610904">
        <w:rPr>
          <w:rFonts w:cs="Arial"/>
          <w:noProof w:val="0"/>
          <w:lang w:val="en-US"/>
        </w:rPr>
        <w:t>satisfied</w:t>
      </w:r>
      <w:r w:rsidRPr="00610904">
        <w:rPr>
          <w:rFonts w:cs="Arial"/>
          <w:noProof w:val="0"/>
          <w:lang w:val="en-US"/>
        </w:rPr>
        <w:t xml:space="preserve">, based on the rights of </w:t>
      </w:r>
      <w:r w:rsidR="00AF14CB" w:rsidRPr="00610904">
        <w:rPr>
          <w:rFonts w:cs="Arial"/>
          <w:noProof w:val="0"/>
          <w:lang w:val="en-US"/>
        </w:rPr>
        <w:t>Teresa</w:t>
      </w:r>
      <w:r w:rsidR="00B628C2" w:rsidRPr="00610904">
        <w:rPr>
          <w:rFonts w:cs="Arial"/>
          <w:noProof w:val="0"/>
          <w:lang w:val="en-US"/>
        </w:rPr>
        <w:t xml:space="preserve"> Lluy </w:t>
      </w:r>
      <w:r w:rsidRPr="00610904">
        <w:rPr>
          <w:rFonts w:cs="Arial"/>
          <w:noProof w:val="0"/>
          <w:lang w:val="en-US"/>
        </w:rPr>
        <w:t xml:space="preserve">in the following judicial actions: </w:t>
      </w:r>
      <w:r w:rsidR="00B628C2" w:rsidRPr="00610904">
        <w:rPr>
          <w:rFonts w:cs="Arial"/>
          <w:noProof w:val="0"/>
          <w:lang w:val="en-US"/>
        </w:rPr>
        <w:t>[</w:t>
      </w:r>
      <w:r w:rsidRPr="00610904">
        <w:rPr>
          <w:rFonts w:cs="Arial"/>
          <w:noProof w:val="0"/>
          <w:lang w:val="en-US"/>
        </w:rPr>
        <w:t>c</w:t>
      </w:r>
      <w:r w:rsidR="00B628C2" w:rsidRPr="00610904">
        <w:rPr>
          <w:rFonts w:cs="Arial"/>
          <w:noProof w:val="0"/>
          <w:lang w:val="en-US"/>
        </w:rPr>
        <w:t>]</w:t>
      </w:r>
      <w:r w:rsidRPr="00610904">
        <w:rPr>
          <w:rFonts w:cs="Arial"/>
          <w:noProof w:val="0"/>
          <w:lang w:val="en-US"/>
        </w:rPr>
        <w:t xml:space="preserve">omplaint, police report, statement to the police, testimony before the judge, expansion of the testimony before the judge, and private prosecution.” Lastly, the State argued that judicial proceedings had been held in which </w:t>
      </w:r>
      <w:r w:rsidR="00A8072E" w:rsidRPr="00610904">
        <w:rPr>
          <w:rFonts w:cs="Arial"/>
          <w:noProof w:val="0"/>
          <w:lang w:val="en-US"/>
        </w:rPr>
        <w:t>the presumed victim</w:t>
      </w:r>
      <w:r w:rsidRPr="00610904">
        <w:rPr>
          <w:rFonts w:cs="Arial"/>
          <w:noProof w:val="0"/>
          <w:lang w:val="en-US"/>
        </w:rPr>
        <w:t>,</w:t>
      </w:r>
      <w:r w:rsidR="00B628C2" w:rsidRPr="00610904">
        <w:rPr>
          <w:rFonts w:cs="Arial"/>
          <w:noProof w:val="0"/>
          <w:lang w:val="en-US"/>
        </w:rPr>
        <w:t xml:space="preserve"> Teresa Lluy</w:t>
      </w:r>
      <w:r w:rsidRPr="00610904">
        <w:rPr>
          <w:rFonts w:cs="Arial"/>
          <w:noProof w:val="0"/>
          <w:lang w:val="en-US"/>
        </w:rPr>
        <w:t xml:space="preserve">, had testified regularly and provided the evidence she considered pertinent. According to </w:t>
      </w:r>
      <w:r w:rsidR="009F3D78" w:rsidRPr="00610904">
        <w:rPr>
          <w:rFonts w:cs="Arial"/>
          <w:noProof w:val="0"/>
          <w:lang w:val="en-US"/>
        </w:rPr>
        <w:t>the State</w:t>
      </w:r>
      <w:r w:rsidRPr="00610904">
        <w:rPr>
          <w:rFonts w:cs="Arial"/>
          <w:noProof w:val="0"/>
          <w:lang w:val="en-US"/>
        </w:rPr>
        <w:t>, “the decisions of the judicial authorities, even though, at times, they do not benefit the claims of the plaintiffs, must be considered legal acts that comply with the international standards established in the Convention.”</w:t>
      </w:r>
      <w:r w:rsidR="00B628C2" w:rsidRPr="00610904">
        <w:rPr>
          <w:rFonts w:cs="Arial"/>
          <w:noProof w:val="0"/>
          <w:lang w:val="en-US"/>
        </w:rPr>
        <w:t xml:space="preserve"> </w:t>
      </w:r>
    </w:p>
    <w:p w:rsidR="00B628C2" w:rsidRPr="00610904" w:rsidRDefault="00B628C2" w:rsidP="00610904">
      <w:pPr>
        <w:rPr>
          <w:noProof w:val="0"/>
          <w:lang w:val="en-US"/>
        </w:rPr>
      </w:pPr>
    </w:p>
    <w:p w:rsidR="00B628C2"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B628C2" w:rsidRPr="00610904" w:rsidRDefault="00B628C2" w:rsidP="00610904">
      <w:pPr>
        <w:rPr>
          <w:noProof w:val="0"/>
          <w:lang w:val="en-US"/>
        </w:rPr>
      </w:pPr>
    </w:p>
    <w:p w:rsidR="00B628C2" w:rsidRPr="00610904" w:rsidRDefault="00B628C2" w:rsidP="00610904">
      <w:pPr>
        <w:numPr>
          <w:ilvl w:val="0"/>
          <w:numId w:val="1"/>
        </w:numPr>
        <w:contextualSpacing/>
        <w:rPr>
          <w:noProof w:val="0"/>
          <w:lang w:val="en-US"/>
        </w:rPr>
      </w:pPr>
      <w:r w:rsidRPr="00610904">
        <w:rPr>
          <w:rFonts w:cs="Arial"/>
          <w:noProof w:val="0"/>
          <w:lang w:val="en-US"/>
        </w:rPr>
        <w:t>Re</w:t>
      </w:r>
      <w:r w:rsidR="00E16A92" w:rsidRPr="00610904">
        <w:rPr>
          <w:rFonts w:cs="Arial"/>
          <w:noProof w:val="0"/>
          <w:lang w:val="en-US"/>
        </w:rPr>
        <w:t xml:space="preserve">garding the presumed failure to comply with the judicial guarantee of a reasonable time </w:t>
      </w:r>
      <w:r w:rsidR="004A6E8B" w:rsidRPr="00610904">
        <w:rPr>
          <w:rFonts w:cs="Arial"/>
          <w:noProof w:val="0"/>
          <w:lang w:val="en-US"/>
        </w:rPr>
        <w:t xml:space="preserve">in the </w:t>
      </w:r>
      <w:r w:rsidR="00521F86" w:rsidRPr="00610904">
        <w:rPr>
          <w:rFonts w:cs="Arial"/>
          <w:noProof w:val="0"/>
          <w:lang w:val="en-US"/>
        </w:rPr>
        <w:t>criminal proceedings,</w:t>
      </w:r>
      <w:r w:rsidR="006C32CA" w:rsidRPr="00610904">
        <w:rPr>
          <w:rFonts w:cs="Arial"/>
          <w:noProof w:val="0"/>
          <w:lang w:val="en-US"/>
        </w:rPr>
        <w:t xml:space="preserve"> </w:t>
      </w:r>
      <w:r w:rsidR="009F3D78" w:rsidRPr="00610904">
        <w:rPr>
          <w:rFonts w:cs="Arial"/>
          <w:noProof w:val="0"/>
          <w:lang w:val="en-US"/>
        </w:rPr>
        <w:t>the Court</w:t>
      </w:r>
      <w:r w:rsidR="006C32CA" w:rsidRPr="00610904">
        <w:rPr>
          <w:rFonts w:cs="Arial"/>
          <w:noProof w:val="0"/>
          <w:lang w:val="en-US"/>
        </w:rPr>
        <w:t xml:space="preserve"> </w:t>
      </w:r>
      <w:r w:rsidR="00E16A92" w:rsidRPr="00610904">
        <w:rPr>
          <w:rFonts w:cs="Arial"/>
          <w:noProof w:val="0"/>
          <w:lang w:val="en-US"/>
        </w:rPr>
        <w:t>will examine the four relevant criteria established in its case law</w:t>
      </w:r>
      <w:r w:rsidRPr="00610904">
        <w:rPr>
          <w:rFonts w:cs="Arial"/>
          <w:noProof w:val="0"/>
          <w:lang w:val="en-US"/>
        </w:rPr>
        <w:t xml:space="preserve">: </w:t>
      </w:r>
      <w:r w:rsidR="00E16A92" w:rsidRPr="00610904">
        <w:rPr>
          <w:rFonts w:cs="Arial"/>
          <w:noProof w:val="0"/>
          <w:lang w:val="en-US"/>
        </w:rPr>
        <w:t>(</w:t>
      </w:r>
      <w:r w:rsidRPr="00610904">
        <w:rPr>
          <w:rFonts w:cs="Arial"/>
          <w:noProof w:val="0"/>
          <w:lang w:val="en-US"/>
        </w:rPr>
        <w:t xml:space="preserve">i) </w:t>
      </w:r>
      <w:r w:rsidR="00E16A92" w:rsidRPr="00610904">
        <w:rPr>
          <w:rFonts w:cs="Arial"/>
          <w:noProof w:val="0"/>
          <w:lang w:val="en-US"/>
        </w:rPr>
        <w:t>the complexity of the matter; (ii) the procedural activity of the interested party; (iii) the conduct of the judicial authorities, and (iv) the general effects on th</w:t>
      </w:r>
      <w:r w:rsidR="004E4EC1" w:rsidRPr="00610904">
        <w:rPr>
          <w:rFonts w:cs="Arial"/>
          <w:noProof w:val="0"/>
          <w:lang w:val="en-US"/>
        </w:rPr>
        <w:t>e legal situation of the person</w:t>
      </w:r>
      <w:r w:rsidR="00E16A92" w:rsidRPr="00610904">
        <w:rPr>
          <w:rFonts w:cs="Arial"/>
          <w:noProof w:val="0"/>
          <w:lang w:val="en-US"/>
        </w:rPr>
        <w:t xml:space="preserve"> involved in the proceeding.</w:t>
      </w:r>
      <w:r w:rsidRPr="00610904">
        <w:rPr>
          <w:rStyle w:val="FootnoteReference"/>
          <w:rFonts w:cs="Arial"/>
          <w:noProof w:val="0"/>
          <w:lang w:val="en-US"/>
        </w:rPr>
        <w:footnoteReference w:id="347"/>
      </w:r>
      <w:r w:rsidRPr="00610904">
        <w:rPr>
          <w:rFonts w:cs="Arial"/>
          <w:noProof w:val="0"/>
          <w:lang w:val="en-US"/>
        </w:rPr>
        <w:t xml:space="preserve"> </w:t>
      </w:r>
      <w:r w:rsidR="009F3D78" w:rsidRPr="00610904">
        <w:rPr>
          <w:rFonts w:cs="Arial"/>
          <w:noProof w:val="0"/>
          <w:lang w:val="en-US"/>
        </w:rPr>
        <w:t>The Court</w:t>
      </w:r>
      <w:r w:rsidRPr="00610904">
        <w:rPr>
          <w:rFonts w:cs="Arial"/>
          <w:noProof w:val="0"/>
          <w:lang w:val="en-US"/>
        </w:rPr>
        <w:t xml:space="preserve"> rec</w:t>
      </w:r>
      <w:r w:rsidR="00E16A92" w:rsidRPr="00610904">
        <w:rPr>
          <w:rFonts w:cs="Arial"/>
          <w:noProof w:val="0"/>
          <w:lang w:val="en-US"/>
        </w:rPr>
        <w:t xml:space="preserve">alls that it is for the State to </w:t>
      </w:r>
      <w:proofErr w:type="gramStart"/>
      <w:r w:rsidR="00E16A92" w:rsidRPr="00610904">
        <w:rPr>
          <w:rFonts w:cs="Arial"/>
          <w:noProof w:val="0"/>
          <w:lang w:val="en-US"/>
        </w:rPr>
        <w:t>justify,</w:t>
      </w:r>
      <w:proofErr w:type="gramEnd"/>
      <w:r w:rsidR="00E16A92" w:rsidRPr="00610904">
        <w:rPr>
          <w:rFonts w:cs="Arial"/>
          <w:noProof w:val="0"/>
          <w:lang w:val="en-US"/>
        </w:rPr>
        <w:t xml:space="preserve"> based on these criteria, the reason why it has required the time elapsed to process the case and, if </w:t>
      </w:r>
      <w:r w:rsidR="004E4EC1" w:rsidRPr="00610904">
        <w:rPr>
          <w:rFonts w:cs="Arial"/>
          <w:noProof w:val="0"/>
          <w:lang w:val="en-US"/>
        </w:rPr>
        <w:t xml:space="preserve">it </w:t>
      </w:r>
      <w:r w:rsidR="00E16A92" w:rsidRPr="00610904">
        <w:rPr>
          <w:rFonts w:cs="Arial"/>
          <w:noProof w:val="0"/>
          <w:lang w:val="en-US"/>
        </w:rPr>
        <w:t>does not demonstrate this, the Court has broad powers to form its own opinion in this regard.</w:t>
      </w:r>
      <w:r w:rsidRPr="00610904">
        <w:rPr>
          <w:rStyle w:val="FootnoteReference"/>
          <w:rFonts w:cs="Arial"/>
          <w:noProof w:val="0"/>
          <w:lang w:val="en-US"/>
        </w:rPr>
        <w:footnoteReference w:id="348"/>
      </w:r>
    </w:p>
    <w:p w:rsidR="00B628C2" w:rsidRPr="00610904" w:rsidRDefault="00B628C2" w:rsidP="00610904">
      <w:pPr>
        <w:rPr>
          <w:noProof w:val="0"/>
          <w:lang w:val="en-US"/>
        </w:rPr>
      </w:pPr>
    </w:p>
    <w:p w:rsidR="00B628C2" w:rsidRPr="00610904" w:rsidRDefault="00E16A92" w:rsidP="00610904">
      <w:pPr>
        <w:numPr>
          <w:ilvl w:val="0"/>
          <w:numId w:val="1"/>
        </w:numPr>
        <w:contextualSpacing/>
        <w:rPr>
          <w:noProof w:val="0"/>
          <w:lang w:val="en-US"/>
        </w:rPr>
      </w:pPr>
      <w:r w:rsidRPr="00610904">
        <w:rPr>
          <w:rFonts w:cs="Arial"/>
          <w:noProof w:val="0"/>
          <w:lang w:val="en-US"/>
        </w:rPr>
        <w:t>In this case</w:t>
      </w:r>
      <w:r w:rsidR="00B628C2" w:rsidRPr="00610904">
        <w:rPr>
          <w:rFonts w:cs="Arial"/>
          <w:noProof w:val="0"/>
          <w:lang w:val="en-US"/>
        </w:rPr>
        <w:t>,</w:t>
      </w:r>
      <w:r w:rsidRPr="00610904">
        <w:rPr>
          <w:rFonts w:cs="Arial"/>
          <w:noProof w:val="0"/>
          <w:lang w:val="en-US"/>
        </w:rPr>
        <w:t xml:space="preserve"> the </w:t>
      </w:r>
      <w:r w:rsidR="00521F86" w:rsidRPr="00610904">
        <w:rPr>
          <w:rFonts w:cs="Arial"/>
          <w:noProof w:val="0"/>
          <w:lang w:val="en-US"/>
        </w:rPr>
        <w:t xml:space="preserve">criminal proceedings </w:t>
      </w:r>
      <w:r w:rsidRPr="00610904">
        <w:rPr>
          <w:rFonts w:cs="Arial"/>
          <w:noProof w:val="0"/>
          <w:lang w:val="en-US"/>
        </w:rPr>
        <w:t>began with the complaint filed by</w:t>
      </w:r>
      <w:r w:rsidR="00B628C2" w:rsidRPr="00610904">
        <w:rPr>
          <w:rFonts w:cs="Arial"/>
          <w:noProof w:val="0"/>
          <w:lang w:val="en-US"/>
        </w:rPr>
        <w:t xml:space="preserve"> Teresa Lluy </w:t>
      </w:r>
      <w:r w:rsidRPr="00610904">
        <w:rPr>
          <w:rFonts w:cs="Arial"/>
          <w:noProof w:val="0"/>
          <w:lang w:val="en-US"/>
        </w:rPr>
        <w:t xml:space="preserve">on September 29, </w:t>
      </w:r>
      <w:r w:rsidR="00B628C2" w:rsidRPr="00610904">
        <w:rPr>
          <w:rFonts w:cs="Arial"/>
          <w:noProof w:val="0"/>
          <w:lang w:val="en-US"/>
        </w:rPr>
        <w:t>1998</w:t>
      </w:r>
      <w:r w:rsidRPr="00610904">
        <w:rPr>
          <w:rFonts w:cs="Arial"/>
          <w:noProof w:val="0"/>
          <w:lang w:val="en-US"/>
        </w:rPr>
        <w:t>,</w:t>
      </w:r>
      <w:r w:rsidR="009F3D78" w:rsidRPr="00610904">
        <w:rPr>
          <w:rFonts w:cs="Arial"/>
          <w:noProof w:val="0"/>
          <w:lang w:val="en-US"/>
        </w:rPr>
        <w:t xml:space="preserve"> and </w:t>
      </w:r>
      <w:r w:rsidR="00B628C2" w:rsidRPr="00610904">
        <w:rPr>
          <w:rFonts w:cs="Arial"/>
          <w:noProof w:val="0"/>
          <w:lang w:val="en-US"/>
        </w:rPr>
        <w:t>conclu</w:t>
      </w:r>
      <w:r w:rsidRPr="00610904">
        <w:rPr>
          <w:rFonts w:cs="Arial"/>
          <w:noProof w:val="0"/>
          <w:lang w:val="en-US"/>
        </w:rPr>
        <w:t xml:space="preserve">ded with the declaration of the statute of limitations issued on </w:t>
      </w:r>
      <w:r w:rsidR="008E668D" w:rsidRPr="00610904">
        <w:rPr>
          <w:rFonts w:cs="Arial"/>
          <w:noProof w:val="0"/>
          <w:lang w:val="en-US"/>
        </w:rPr>
        <w:t xml:space="preserve">February </w:t>
      </w:r>
      <w:r w:rsidRPr="00610904">
        <w:rPr>
          <w:rFonts w:cs="Arial"/>
          <w:noProof w:val="0"/>
          <w:lang w:val="en-US"/>
        </w:rPr>
        <w:t>2</w:t>
      </w:r>
      <w:r w:rsidR="008E668D" w:rsidRPr="00610904">
        <w:rPr>
          <w:rFonts w:cs="Arial"/>
          <w:noProof w:val="0"/>
          <w:lang w:val="en-US"/>
        </w:rPr>
        <w:t>8,</w:t>
      </w:r>
      <w:r w:rsidR="00B628C2" w:rsidRPr="00610904">
        <w:rPr>
          <w:rFonts w:cs="Arial"/>
          <w:noProof w:val="0"/>
          <w:lang w:val="en-US"/>
        </w:rPr>
        <w:t xml:space="preserve"> 2005 (</w:t>
      </w:r>
      <w:r w:rsidR="00B628C2" w:rsidRPr="00610904">
        <w:rPr>
          <w:rFonts w:cs="Arial"/>
          <w:i/>
          <w:noProof w:val="0"/>
          <w:lang w:val="en-US"/>
        </w:rPr>
        <w:t xml:space="preserve">supra </w:t>
      </w:r>
      <w:r w:rsidR="006E502B" w:rsidRPr="00610904">
        <w:rPr>
          <w:rFonts w:cs="Arial"/>
          <w:noProof w:val="0"/>
          <w:lang w:val="en-US"/>
        </w:rPr>
        <w:t>paras.</w:t>
      </w:r>
      <w:r w:rsidR="00B628C2" w:rsidRPr="00610904">
        <w:rPr>
          <w:rFonts w:cs="Arial"/>
          <w:noProof w:val="0"/>
          <w:lang w:val="en-US"/>
        </w:rPr>
        <w:t xml:space="preserve"> 86</w:t>
      </w:r>
      <w:r w:rsidR="009F3D78" w:rsidRPr="00610904">
        <w:rPr>
          <w:rFonts w:cs="Arial"/>
          <w:noProof w:val="0"/>
          <w:lang w:val="en-US"/>
        </w:rPr>
        <w:t xml:space="preserve"> and </w:t>
      </w:r>
      <w:r w:rsidR="00B628C2" w:rsidRPr="00610904">
        <w:rPr>
          <w:rFonts w:cs="Arial"/>
          <w:noProof w:val="0"/>
          <w:lang w:val="en-US"/>
        </w:rPr>
        <w:t xml:space="preserve">115), </w:t>
      </w:r>
      <w:r w:rsidR="004E4EC1" w:rsidRPr="00610904">
        <w:rPr>
          <w:rFonts w:cs="Arial"/>
          <w:noProof w:val="0"/>
          <w:lang w:val="en-US"/>
        </w:rPr>
        <w:t>so that the proceedings las</w:t>
      </w:r>
      <w:r w:rsidRPr="00610904">
        <w:rPr>
          <w:rFonts w:cs="Arial"/>
          <w:noProof w:val="0"/>
          <w:lang w:val="en-US"/>
        </w:rPr>
        <w:t xml:space="preserve">ted approximately six and a half years. On this basis, the Court </w:t>
      </w:r>
      <w:r w:rsidR="00856968" w:rsidRPr="00610904">
        <w:rPr>
          <w:rFonts w:cs="Arial"/>
          <w:noProof w:val="0"/>
          <w:lang w:val="en-US"/>
        </w:rPr>
        <w:t>will</w:t>
      </w:r>
      <w:r w:rsidRPr="00610904">
        <w:rPr>
          <w:rFonts w:cs="Arial"/>
          <w:noProof w:val="0"/>
          <w:lang w:val="en-US"/>
        </w:rPr>
        <w:t xml:space="preserve"> now determine whether the time was reasonable based on the criteria established in its case law</w:t>
      </w:r>
      <w:r w:rsidR="00B628C2" w:rsidRPr="00610904">
        <w:rPr>
          <w:rFonts w:cs="Arial"/>
          <w:noProof w:val="0"/>
          <w:lang w:val="en-US"/>
        </w:rPr>
        <w:t xml:space="preserve">. </w:t>
      </w:r>
    </w:p>
    <w:p w:rsidR="00B628C2" w:rsidRPr="00610904" w:rsidRDefault="00B628C2" w:rsidP="00610904">
      <w:pPr>
        <w:rPr>
          <w:noProof w:val="0"/>
          <w:lang w:val="en-US"/>
        </w:rPr>
      </w:pPr>
    </w:p>
    <w:p w:rsidR="00B628C2" w:rsidRPr="00610904" w:rsidRDefault="00E16A92" w:rsidP="00610904">
      <w:pPr>
        <w:numPr>
          <w:ilvl w:val="0"/>
          <w:numId w:val="14"/>
        </w:numPr>
        <w:ind w:left="90" w:firstLine="630"/>
        <w:contextualSpacing/>
        <w:rPr>
          <w:noProof w:val="0"/>
          <w:lang w:val="en-US"/>
        </w:rPr>
      </w:pPr>
      <w:r w:rsidRPr="00610904">
        <w:rPr>
          <w:noProof w:val="0"/>
          <w:lang w:val="en-US"/>
        </w:rPr>
        <w:t>The complexity of the matter</w:t>
      </w:r>
    </w:p>
    <w:p w:rsidR="00B628C2" w:rsidRPr="00610904" w:rsidRDefault="00B628C2" w:rsidP="00610904">
      <w:pPr>
        <w:rPr>
          <w:noProof w:val="0"/>
          <w:lang w:val="en-US"/>
        </w:rPr>
      </w:pPr>
    </w:p>
    <w:p w:rsidR="00B628C2" w:rsidRPr="00610904" w:rsidRDefault="00A8072E" w:rsidP="00610904">
      <w:pPr>
        <w:numPr>
          <w:ilvl w:val="0"/>
          <w:numId w:val="1"/>
        </w:numPr>
        <w:contextualSpacing/>
        <w:rPr>
          <w:noProof w:val="0"/>
          <w:lang w:val="en-US"/>
        </w:rPr>
      </w:pPr>
      <w:r w:rsidRPr="00610904">
        <w:rPr>
          <w:rFonts w:cs="Helvetica"/>
          <w:noProof w:val="0"/>
          <w:lang w:val="en-US"/>
        </w:rPr>
        <w:t>This Court</w:t>
      </w:r>
      <w:r w:rsidR="00B628C2" w:rsidRPr="00610904">
        <w:rPr>
          <w:rFonts w:cs="Helvetica"/>
          <w:noProof w:val="0"/>
          <w:lang w:val="en-US"/>
        </w:rPr>
        <w:t xml:space="preserve"> ha</w:t>
      </w:r>
      <w:r w:rsidR="00E16A92" w:rsidRPr="00610904">
        <w:rPr>
          <w:rFonts w:cs="Helvetica"/>
          <w:noProof w:val="0"/>
          <w:lang w:val="en-US"/>
        </w:rPr>
        <w:t xml:space="preserve">s taken into </w:t>
      </w:r>
      <w:r w:rsidR="00856968" w:rsidRPr="00610904">
        <w:rPr>
          <w:rFonts w:cs="Helvetica"/>
          <w:noProof w:val="0"/>
          <w:lang w:val="en-US"/>
        </w:rPr>
        <w:t>account</w:t>
      </w:r>
      <w:r w:rsidR="00E16A92" w:rsidRPr="00610904">
        <w:rPr>
          <w:rFonts w:cs="Helvetica"/>
          <w:noProof w:val="0"/>
          <w:lang w:val="en-US"/>
        </w:rPr>
        <w:t xml:space="preserve"> different criteria </w:t>
      </w:r>
      <w:r w:rsidR="004E4EC1" w:rsidRPr="00610904">
        <w:rPr>
          <w:rFonts w:cs="Helvetica"/>
          <w:noProof w:val="0"/>
          <w:lang w:val="en-US"/>
        </w:rPr>
        <w:t>to determine the complexity of</w:t>
      </w:r>
      <w:r w:rsidR="00E16A92" w:rsidRPr="00610904">
        <w:rPr>
          <w:rFonts w:cs="Helvetica"/>
          <w:noProof w:val="0"/>
          <w:lang w:val="en-US"/>
        </w:rPr>
        <w:t xml:space="preserve"> proceeding</w:t>
      </w:r>
      <w:r w:rsidR="004E4EC1" w:rsidRPr="00610904">
        <w:rPr>
          <w:rFonts w:cs="Helvetica"/>
          <w:noProof w:val="0"/>
          <w:lang w:val="en-US"/>
        </w:rPr>
        <w:t>s</w:t>
      </w:r>
      <w:r w:rsidR="00E16A92" w:rsidRPr="00610904">
        <w:rPr>
          <w:rFonts w:cs="Helvetica"/>
          <w:noProof w:val="0"/>
          <w:lang w:val="en-US"/>
        </w:rPr>
        <w:t>. These include the complexity of the evidence, the number of procedural subjects or the number of victims, the time elapsed since the violation, the characteristics of the remedy under domestic law, and the context in which the violation occurred.</w:t>
      </w:r>
      <w:r w:rsidR="00B628C2" w:rsidRPr="00610904">
        <w:rPr>
          <w:rStyle w:val="FootnoteReference"/>
          <w:noProof w:val="0"/>
          <w:lang w:val="en-US"/>
        </w:rPr>
        <w:footnoteReference w:id="349"/>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BookAntiqua"/>
          <w:noProof w:val="0"/>
          <w:lang w:val="en-US"/>
        </w:rPr>
        <w:t>The Court</w:t>
      </w:r>
      <w:r w:rsidR="00E16A92" w:rsidRPr="00610904">
        <w:rPr>
          <w:rFonts w:cs="BookAntiqua"/>
          <w:noProof w:val="0"/>
          <w:lang w:val="en-US"/>
        </w:rPr>
        <w:t xml:space="preserve"> observes that, in this case, in the context of the </w:t>
      </w:r>
      <w:r w:rsidR="00521F86" w:rsidRPr="00610904">
        <w:rPr>
          <w:rFonts w:cs="BookAntiqua"/>
          <w:noProof w:val="0"/>
          <w:lang w:val="en-US"/>
        </w:rPr>
        <w:t>criminal proceedings,</w:t>
      </w:r>
      <w:r w:rsidR="00E16A92" w:rsidRPr="00610904">
        <w:rPr>
          <w:rFonts w:cs="BookAntiqua"/>
          <w:noProof w:val="0"/>
          <w:lang w:val="en-US"/>
        </w:rPr>
        <w:t xml:space="preserve"> there was a certain level of complexity to obtain the evidence required in order to determine the cause of Talía’s infection because, at the time of the events, the required blood tests could not be performed</w:t>
      </w:r>
      <w:r w:rsidR="00B628C2" w:rsidRPr="00610904">
        <w:rPr>
          <w:rFonts w:cs="BookAntiqua"/>
          <w:noProof w:val="0"/>
          <w:lang w:val="en-US"/>
        </w:rPr>
        <w:t xml:space="preserve"> </w:t>
      </w:r>
      <w:r w:rsidR="00B45E43" w:rsidRPr="00610904">
        <w:rPr>
          <w:rFonts w:cs="BookAntiqua"/>
          <w:noProof w:val="0"/>
          <w:lang w:val="en-US"/>
        </w:rPr>
        <w:t>in Ecuador</w:t>
      </w:r>
      <w:r w:rsidR="00B628C2" w:rsidRPr="00610904">
        <w:rPr>
          <w:rFonts w:cs="BookAntiqua"/>
          <w:noProof w:val="0"/>
          <w:lang w:val="en-US"/>
        </w:rPr>
        <w:t xml:space="preserve"> (</w:t>
      </w:r>
      <w:r w:rsidR="00B628C2" w:rsidRPr="00610904">
        <w:rPr>
          <w:rFonts w:cs="BookAntiqua"/>
          <w:i/>
          <w:noProof w:val="0"/>
          <w:lang w:val="en-US"/>
        </w:rPr>
        <w:t>supra</w:t>
      </w:r>
      <w:r w:rsidR="00B628C2" w:rsidRPr="00610904">
        <w:rPr>
          <w:rFonts w:cs="BookAntiqua"/>
          <w:noProof w:val="0"/>
          <w:lang w:val="en-US"/>
        </w:rPr>
        <w:t xml:space="preserve"> </w:t>
      </w:r>
      <w:r w:rsidR="006E502B" w:rsidRPr="00610904">
        <w:rPr>
          <w:rFonts w:cs="BookAntiqua"/>
          <w:noProof w:val="0"/>
          <w:lang w:val="en-US"/>
        </w:rPr>
        <w:t>para.</w:t>
      </w:r>
      <w:r w:rsidR="00B628C2" w:rsidRPr="00610904">
        <w:rPr>
          <w:rFonts w:cs="BookAntiqua"/>
          <w:noProof w:val="0"/>
          <w:lang w:val="en-US"/>
        </w:rPr>
        <w:t xml:space="preserve"> 95). </w:t>
      </w:r>
      <w:r w:rsidRPr="00610904">
        <w:rPr>
          <w:rFonts w:cs="BookAntiqua"/>
          <w:noProof w:val="0"/>
          <w:lang w:val="en-US"/>
        </w:rPr>
        <w:t>The Court</w:t>
      </w:r>
      <w:r w:rsidR="00B628C2" w:rsidRPr="00610904">
        <w:rPr>
          <w:rFonts w:cs="BookAntiqua"/>
          <w:noProof w:val="0"/>
          <w:lang w:val="en-US"/>
        </w:rPr>
        <w:t xml:space="preserve"> consider</w:t>
      </w:r>
      <w:r w:rsidR="00E16A92" w:rsidRPr="00610904">
        <w:rPr>
          <w:rFonts w:cs="BookAntiqua"/>
          <w:noProof w:val="0"/>
          <w:lang w:val="en-US"/>
        </w:rPr>
        <w:t>s that</w:t>
      </w:r>
      <w:r w:rsidR="004E4EC1" w:rsidRPr="00610904">
        <w:rPr>
          <w:rFonts w:cs="BookAntiqua"/>
          <w:noProof w:val="0"/>
          <w:lang w:val="en-US"/>
        </w:rPr>
        <w:t>, at the time of the facts of this case,</w:t>
      </w:r>
      <w:r w:rsidR="00E16A92" w:rsidRPr="00610904">
        <w:rPr>
          <w:rFonts w:cs="BookAntiqua"/>
          <w:noProof w:val="0"/>
          <w:lang w:val="en-US"/>
        </w:rPr>
        <w:t xml:space="preserve"> the requirements and procedures to obtain the tests from a </w:t>
      </w:r>
      <w:r w:rsidR="004E4EC1" w:rsidRPr="00610904">
        <w:rPr>
          <w:rFonts w:cs="BookAntiqua"/>
          <w:noProof w:val="0"/>
          <w:lang w:val="en-US"/>
        </w:rPr>
        <w:t>European laboratory constituted</w:t>
      </w:r>
      <w:r w:rsidR="00E16A92" w:rsidRPr="00610904">
        <w:rPr>
          <w:rFonts w:cs="BookAntiqua"/>
          <w:noProof w:val="0"/>
          <w:lang w:val="en-US"/>
        </w:rPr>
        <w:t xml:space="preserve"> </w:t>
      </w:r>
      <w:r w:rsidR="004E4EC1" w:rsidRPr="00610904">
        <w:rPr>
          <w:rFonts w:cs="BookAntiqua"/>
          <w:noProof w:val="0"/>
          <w:lang w:val="en-US"/>
        </w:rPr>
        <w:t>an element of complexity in deciding</w:t>
      </w:r>
      <w:r w:rsidR="00E16A92" w:rsidRPr="00610904">
        <w:rPr>
          <w:rFonts w:cs="BookAntiqua"/>
          <w:noProof w:val="0"/>
          <w:lang w:val="en-US"/>
        </w:rPr>
        <w:t xml:space="preserve"> the criminal proceedings.</w:t>
      </w:r>
    </w:p>
    <w:p w:rsidR="00B628C2" w:rsidRPr="00610904" w:rsidRDefault="00B628C2" w:rsidP="00610904">
      <w:pPr>
        <w:rPr>
          <w:noProof w:val="0"/>
          <w:lang w:val="en-US"/>
        </w:rPr>
      </w:pPr>
    </w:p>
    <w:p w:rsidR="00B628C2" w:rsidRPr="00610904" w:rsidRDefault="00B628C2" w:rsidP="00610904">
      <w:pPr>
        <w:pStyle w:val="Heading6"/>
        <w:tabs>
          <w:tab w:val="clear" w:pos="3600"/>
        </w:tabs>
        <w:ind w:left="0" w:firstLine="708"/>
        <w:rPr>
          <w:lang w:val="en-US"/>
        </w:rPr>
      </w:pPr>
      <w:r w:rsidRPr="00610904">
        <w:rPr>
          <w:lang w:val="en-US"/>
        </w:rPr>
        <w:t>b)</w:t>
      </w:r>
      <w:r w:rsidRPr="00610904">
        <w:rPr>
          <w:lang w:val="en-US"/>
        </w:rPr>
        <w:tab/>
      </w:r>
      <w:r w:rsidR="00E16A92" w:rsidRPr="00610904">
        <w:rPr>
          <w:lang w:val="en-US"/>
        </w:rPr>
        <w:t>The procedural activity of the interested party</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Helvetica"/>
          <w:noProof w:val="0"/>
          <w:lang w:val="en-US"/>
        </w:rPr>
        <w:t>The Court</w:t>
      </w:r>
      <w:r w:rsidR="00E16A92" w:rsidRPr="00610904">
        <w:rPr>
          <w:rFonts w:cs="Helvetica"/>
          <w:noProof w:val="0"/>
          <w:lang w:val="en-US"/>
        </w:rPr>
        <w:t xml:space="preserve"> notes that </w:t>
      </w:r>
      <w:r w:rsidRPr="00610904">
        <w:rPr>
          <w:rFonts w:cs="Helvetica"/>
          <w:noProof w:val="0"/>
          <w:lang w:val="en-US"/>
        </w:rPr>
        <w:t xml:space="preserve">the presumed victims </w:t>
      </w:r>
      <w:r w:rsidR="00E16A92" w:rsidRPr="00610904">
        <w:rPr>
          <w:rFonts w:cs="Helvetica"/>
          <w:noProof w:val="0"/>
          <w:lang w:val="en-US"/>
        </w:rPr>
        <w:t xml:space="preserve">endeavored to advance the proceedings </w:t>
      </w:r>
      <w:r w:rsidRPr="00610904">
        <w:rPr>
          <w:rFonts w:cs="Helvetica"/>
          <w:noProof w:val="0"/>
          <w:lang w:val="en-US"/>
        </w:rPr>
        <w:t xml:space="preserve">and </w:t>
      </w:r>
      <w:r w:rsidR="00E16A92" w:rsidRPr="00610904">
        <w:rPr>
          <w:rFonts w:cs="Helvetica"/>
          <w:noProof w:val="0"/>
          <w:lang w:val="en-US"/>
        </w:rPr>
        <w:t>that there is no information on actions by</w:t>
      </w:r>
      <w:r w:rsidR="003309BE" w:rsidRPr="00610904">
        <w:rPr>
          <w:rFonts w:cs="Helvetica"/>
          <w:noProof w:val="0"/>
          <w:lang w:val="en-US"/>
        </w:rPr>
        <w:t xml:space="preserve"> the </w:t>
      </w:r>
      <w:r w:rsidRPr="00610904">
        <w:rPr>
          <w:rFonts w:cs="Helvetica"/>
          <w:noProof w:val="0"/>
          <w:lang w:val="en-US"/>
        </w:rPr>
        <w:t>presumed victims</w:t>
      </w:r>
      <w:r w:rsidR="00B628C2" w:rsidRPr="00610904">
        <w:rPr>
          <w:rFonts w:cs="Helvetica"/>
          <w:noProof w:val="0"/>
          <w:lang w:val="en-US"/>
        </w:rPr>
        <w:t xml:space="preserve"> </w:t>
      </w:r>
      <w:r w:rsidR="00E16A92" w:rsidRPr="00610904">
        <w:rPr>
          <w:rFonts w:cs="Helvetica"/>
          <w:noProof w:val="0"/>
          <w:lang w:val="en-US"/>
        </w:rPr>
        <w:t>designed to obstruct the criminal proceeding</w:t>
      </w:r>
      <w:r w:rsidR="004E4EC1" w:rsidRPr="00610904">
        <w:rPr>
          <w:rFonts w:cs="Helvetica"/>
          <w:noProof w:val="0"/>
          <w:lang w:val="en-US"/>
        </w:rPr>
        <w:t>s</w:t>
      </w:r>
      <w:r w:rsidR="00E16A92" w:rsidRPr="00610904">
        <w:rPr>
          <w:rFonts w:cs="Helvetica"/>
          <w:noProof w:val="0"/>
          <w:lang w:val="en-US"/>
        </w:rPr>
        <w:t xml:space="preserve">. The Court takes into account the State’s argument that the </w:t>
      </w:r>
      <w:r w:rsidRPr="00610904">
        <w:rPr>
          <w:rFonts w:cs="Helvetica"/>
          <w:noProof w:val="0"/>
          <w:lang w:val="en-US"/>
        </w:rPr>
        <w:t>presumed victims</w:t>
      </w:r>
      <w:r w:rsidR="00B628C2" w:rsidRPr="00610904">
        <w:rPr>
          <w:rFonts w:cs="Helvetica"/>
          <w:noProof w:val="0"/>
          <w:lang w:val="en-US"/>
        </w:rPr>
        <w:t xml:space="preserve"> ha</w:t>
      </w:r>
      <w:r w:rsidR="00E16A92" w:rsidRPr="00610904">
        <w:rPr>
          <w:rFonts w:cs="Helvetica"/>
          <w:noProof w:val="0"/>
          <w:lang w:val="en-US"/>
        </w:rPr>
        <w:t xml:space="preserve">d taken judicial measures that had an impact on the duration of the proceedings </w:t>
      </w:r>
      <w:r w:rsidR="00B628C2" w:rsidRPr="00610904">
        <w:rPr>
          <w:rFonts w:cs="BookAntiqua"/>
          <w:noProof w:val="0"/>
          <w:lang w:val="en-US"/>
        </w:rPr>
        <w:t>(</w:t>
      </w:r>
      <w:r w:rsidR="00B628C2" w:rsidRPr="00610904">
        <w:rPr>
          <w:rFonts w:cs="BookAntiqua"/>
          <w:i/>
          <w:noProof w:val="0"/>
          <w:lang w:val="en-US"/>
        </w:rPr>
        <w:t>supra</w:t>
      </w:r>
      <w:r w:rsidR="00B628C2" w:rsidRPr="00610904">
        <w:rPr>
          <w:rFonts w:cs="BookAntiqua"/>
          <w:noProof w:val="0"/>
          <w:lang w:val="en-US"/>
        </w:rPr>
        <w:t xml:space="preserve"> </w:t>
      </w:r>
      <w:r w:rsidR="006E502B" w:rsidRPr="00610904">
        <w:rPr>
          <w:rFonts w:cs="BookAntiqua"/>
          <w:noProof w:val="0"/>
          <w:lang w:val="en-US"/>
        </w:rPr>
        <w:t>para.</w:t>
      </w:r>
      <w:r w:rsidR="00B628C2" w:rsidRPr="00610904">
        <w:rPr>
          <w:rFonts w:cs="BookAntiqua"/>
          <w:noProof w:val="0"/>
          <w:lang w:val="en-US"/>
        </w:rPr>
        <w:t xml:space="preserve"> 298)</w:t>
      </w:r>
      <w:r w:rsidR="00E16A92" w:rsidRPr="00610904">
        <w:rPr>
          <w:rFonts w:cs="Helvetica"/>
          <w:noProof w:val="0"/>
          <w:lang w:val="en-US"/>
        </w:rPr>
        <w:t xml:space="preserve">. Nevertheless, neither the private prosecution filed at the inappropriate time, nor the contestation of a decision that could not be appealed, may be considered actions by </w:t>
      </w:r>
      <w:r w:rsidR="003309BE" w:rsidRPr="00610904">
        <w:rPr>
          <w:rFonts w:cs="Helvetica"/>
          <w:noProof w:val="0"/>
          <w:lang w:val="en-US"/>
        </w:rPr>
        <w:t xml:space="preserve">the </w:t>
      </w:r>
      <w:r w:rsidRPr="00610904">
        <w:rPr>
          <w:rFonts w:cs="Helvetica"/>
          <w:noProof w:val="0"/>
          <w:lang w:val="en-US"/>
        </w:rPr>
        <w:t>presumed victims</w:t>
      </w:r>
      <w:r w:rsidR="00B628C2" w:rsidRPr="00610904">
        <w:rPr>
          <w:rFonts w:cs="Helvetica"/>
          <w:noProof w:val="0"/>
          <w:lang w:val="en-US"/>
        </w:rPr>
        <w:t xml:space="preserve"> </w:t>
      </w:r>
      <w:r w:rsidR="00E16A92" w:rsidRPr="00610904">
        <w:rPr>
          <w:rFonts w:cs="Helvetica"/>
          <w:noProof w:val="0"/>
          <w:lang w:val="en-US"/>
        </w:rPr>
        <w:t xml:space="preserve">that obstructed the proceedings. Taking this into account, it </w:t>
      </w:r>
      <w:r w:rsidR="004E4EC1" w:rsidRPr="00610904">
        <w:rPr>
          <w:rFonts w:cs="Helvetica"/>
          <w:noProof w:val="0"/>
          <w:lang w:val="en-US"/>
        </w:rPr>
        <w:t xml:space="preserve">cannot be concluded that </w:t>
      </w:r>
      <w:r w:rsidR="00E16A92" w:rsidRPr="00610904">
        <w:rPr>
          <w:rFonts w:cs="Helvetica"/>
          <w:noProof w:val="0"/>
          <w:lang w:val="en-US"/>
        </w:rPr>
        <w:t>the</w:t>
      </w:r>
      <w:r w:rsidR="004E4EC1" w:rsidRPr="00610904">
        <w:rPr>
          <w:rFonts w:cs="Helvetica"/>
          <w:noProof w:val="0"/>
          <w:lang w:val="en-US"/>
        </w:rPr>
        <w:t xml:space="preserve"> presumed victims’ lack</w:t>
      </w:r>
      <w:r w:rsidR="00E16A92" w:rsidRPr="00610904">
        <w:rPr>
          <w:rFonts w:cs="Helvetica"/>
          <w:noProof w:val="0"/>
          <w:lang w:val="en-US"/>
        </w:rPr>
        <w:t xml:space="preserve"> of technical </w:t>
      </w:r>
      <w:r w:rsidR="00856968" w:rsidRPr="00610904">
        <w:rPr>
          <w:rFonts w:cs="Helvetica"/>
          <w:noProof w:val="0"/>
          <w:lang w:val="en-US"/>
        </w:rPr>
        <w:t>expertise</w:t>
      </w:r>
      <w:r w:rsidR="00E16A92" w:rsidRPr="00610904">
        <w:rPr>
          <w:rFonts w:cs="Helvetica"/>
          <w:noProof w:val="0"/>
          <w:lang w:val="en-US"/>
        </w:rPr>
        <w:t xml:space="preserve"> as regards litigation truly </w:t>
      </w:r>
      <w:r w:rsidR="004E4EC1" w:rsidRPr="00610904">
        <w:rPr>
          <w:rFonts w:cs="Helvetica"/>
          <w:noProof w:val="0"/>
          <w:lang w:val="en-US"/>
        </w:rPr>
        <w:t>delayed</w:t>
      </w:r>
      <w:r w:rsidR="00E16A92" w:rsidRPr="00610904">
        <w:rPr>
          <w:rFonts w:cs="Helvetica"/>
          <w:noProof w:val="0"/>
          <w:lang w:val="en-US"/>
        </w:rPr>
        <w:t xml:space="preserve"> the criminal proceeding</w:t>
      </w:r>
      <w:r w:rsidR="004E4EC1" w:rsidRPr="00610904">
        <w:rPr>
          <w:rFonts w:cs="Helvetica"/>
          <w:noProof w:val="0"/>
          <w:lang w:val="en-US"/>
        </w:rPr>
        <w:t>s</w:t>
      </w:r>
      <w:r w:rsidR="00E16A92" w:rsidRPr="00610904">
        <w:rPr>
          <w:rFonts w:cs="Helvetica"/>
          <w:noProof w:val="0"/>
          <w:lang w:val="en-US"/>
        </w:rPr>
        <w:t>.</w:t>
      </w:r>
      <w:r w:rsidR="00B628C2" w:rsidRPr="00610904">
        <w:rPr>
          <w:rStyle w:val="FootnoteReference"/>
          <w:noProof w:val="0"/>
          <w:lang w:val="en-US"/>
        </w:rPr>
        <w:footnoteReference w:id="350"/>
      </w:r>
      <w:r w:rsidR="00B628C2" w:rsidRPr="00610904">
        <w:rPr>
          <w:rFonts w:cs="Helvetica"/>
          <w:noProof w:val="0"/>
          <w:lang w:val="en-US"/>
        </w:rPr>
        <w:t xml:space="preserve"> </w:t>
      </w:r>
    </w:p>
    <w:p w:rsidR="00B628C2" w:rsidRPr="00610904" w:rsidRDefault="00B628C2" w:rsidP="00610904">
      <w:pPr>
        <w:rPr>
          <w:noProof w:val="0"/>
          <w:lang w:val="en-US"/>
        </w:rPr>
      </w:pPr>
    </w:p>
    <w:p w:rsidR="00B628C2" w:rsidRPr="00610904" w:rsidRDefault="00B628C2" w:rsidP="00610904">
      <w:pPr>
        <w:ind w:firstLine="720"/>
        <w:rPr>
          <w:noProof w:val="0"/>
          <w:lang w:val="en-US"/>
        </w:rPr>
      </w:pPr>
      <w:r w:rsidRPr="00610904">
        <w:rPr>
          <w:noProof w:val="0"/>
          <w:lang w:val="en-US"/>
        </w:rPr>
        <w:t>c)</w:t>
      </w:r>
      <w:r w:rsidRPr="00610904">
        <w:rPr>
          <w:noProof w:val="0"/>
          <w:lang w:val="en-US"/>
        </w:rPr>
        <w:tab/>
      </w:r>
      <w:r w:rsidR="00E16A92" w:rsidRPr="00610904">
        <w:rPr>
          <w:noProof w:val="0"/>
          <w:lang w:val="en-US"/>
        </w:rPr>
        <w:t>The conduct of the judicial authorities</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Arial"/>
          <w:noProof w:val="0"/>
          <w:lang w:val="en-US"/>
        </w:rPr>
        <w:t>The Court</w:t>
      </w:r>
      <w:r w:rsidR="00BB24ED" w:rsidRPr="00610904">
        <w:rPr>
          <w:rFonts w:cs="Arial"/>
          <w:noProof w:val="0"/>
          <w:lang w:val="en-US"/>
        </w:rPr>
        <w:t xml:space="preserve"> notes that the criminal complaint was filed on September 29, 1998, and on October 19, 1998, the case was opened to processing and various pieces of evidence were collected. Subsequently, on </w:t>
      </w:r>
      <w:r w:rsidR="002112A8" w:rsidRPr="00610904">
        <w:rPr>
          <w:rFonts w:cs="Arial"/>
          <w:noProof w:val="0"/>
          <w:lang w:val="en-US"/>
        </w:rPr>
        <w:t>September 8,</w:t>
      </w:r>
      <w:r w:rsidR="00B628C2" w:rsidRPr="00610904">
        <w:rPr>
          <w:rFonts w:cs="Arial"/>
          <w:noProof w:val="0"/>
          <w:lang w:val="en-US"/>
        </w:rPr>
        <w:t xml:space="preserve"> 1999</w:t>
      </w:r>
      <w:r w:rsidR="00BB24ED" w:rsidRPr="00610904">
        <w:rPr>
          <w:rFonts w:cs="Arial"/>
          <w:noProof w:val="0"/>
          <w:lang w:val="en-US"/>
        </w:rPr>
        <w:t xml:space="preserve">, the judge declare the </w:t>
      </w:r>
      <w:r w:rsidR="004E4EC1" w:rsidRPr="00610904">
        <w:rPr>
          <w:rFonts w:cs="Arial"/>
          <w:noProof w:val="0"/>
          <w:lang w:val="en-US"/>
        </w:rPr>
        <w:t>preliminary investigation</w:t>
      </w:r>
      <w:r w:rsidR="00BB24ED" w:rsidRPr="00610904">
        <w:rPr>
          <w:rFonts w:cs="Arial"/>
          <w:noProof w:val="0"/>
          <w:lang w:val="en-US"/>
        </w:rPr>
        <w:t xml:space="preserve"> concluded for the first time</w:t>
      </w:r>
      <w:r w:rsidR="00B628C2" w:rsidRPr="00610904">
        <w:rPr>
          <w:rFonts w:cs="Arial"/>
          <w:noProof w:val="0"/>
          <w:lang w:val="en-US"/>
        </w:rPr>
        <w:t xml:space="preserve"> </w:t>
      </w:r>
      <w:r w:rsidRPr="00610904">
        <w:rPr>
          <w:rFonts w:cs="Arial"/>
          <w:noProof w:val="0"/>
          <w:lang w:val="en-US"/>
        </w:rPr>
        <w:t xml:space="preserve">and </w:t>
      </w:r>
      <w:r w:rsidR="00B628C2" w:rsidRPr="00610904">
        <w:rPr>
          <w:rFonts w:cs="Arial"/>
          <w:noProof w:val="0"/>
          <w:lang w:val="en-US"/>
        </w:rPr>
        <w:t xml:space="preserve">Teresa Lluy </w:t>
      </w:r>
      <w:r w:rsidR="00BB24ED" w:rsidRPr="00610904">
        <w:rPr>
          <w:rFonts w:cs="Arial"/>
          <w:noProof w:val="0"/>
          <w:lang w:val="en-US"/>
        </w:rPr>
        <w:t xml:space="preserve">requested their re-opening so that the specialized blood test could be performed at the </w:t>
      </w:r>
      <w:r w:rsidR="003A67CA" w:rsidRPr="00610904">
        <w:rPr>
          <w:rFonts w:cs="Arial"/>
          <w:i/>
          <w:noProof w:val="0"/>
          <w:lang w:val="en-US"/>
        </w:rPr>
        <w:t>Université catholique de Louvain</w:t>
      </w:r>
      <w:r w:rsidR="00B628C2" w:rsidRPr="00610904">
        <w:rPr>
          <w:rFonts w:cs="Arial"/>
          <w:noProof w:val="0"/>
          <w:lang w:val="en-US"/>
        </w:rPr>
        <w:t xml:space="preserve">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paras.</w:t>
      </w:r>
      <w:r w:rsidR="00B628C2" w:rsidRPr="00610904">
        <w:rPr>
          <w:rFonts w:cs="Arial"/>
          <w:noProof w:val="0"/>
          <w:lang w:val="en-US"/>
        </w:rPr>
        <w:t xml:space="preserve"> 86, 88</w:t>
      </w:r>
      <w:r w:rsidRPr="00610904">
        <w:rPr>
          <w:rFonts w:cs="Arial"/>
          <w:noProof w:val="0"/>
          <w:lang w:val="en-US"/>
        </w:rPr>
        <w:t xml:space="preserve"> and </w:t>
      </w:r>
      <w:r w:rsidR="00B628C2" w:rsidRPr="00610904">
        <w:rPr>
          <w:rFonts w:cs="Arial"/>
          <w:noProof w:val="0"/>
          <w:lang w:val="en-US"/>
        </w:rPr>
        <w:t xml:space="preserve">96). </w:t>
      </w:r>
      <w:r w:rsidR="00BB24ED" w:rsidRPr="00610904">
        <w:rPr>
          <w:rFonts w:cs="Arial"/>
          <w:noProof w:val="0"/>
          <w:lang w:val="en-US"/>
        </w:rPr>
        <w:t xml:space="preserve">The </w:t>
      </w:r>
      <w:r w:rsidR="004E4EC1" w:rsidRPr="00610904">
        <w:rPr>
          <w:rFonts w:cs="Arial"/>
          <w:noProof w:val="0"/>
          <w:lang w:val="en-US"/>
        </w:rPr>
        <w:t>preliminary investigation</w:t>
      </w:r>
      <w:r w:rsidR="00B628C2" w:rsidRPr="00610904">
        <w:rPr>
          <w:rFonts w:cs="Arial"/>
          <w:noProof w:val="0"/>
          <w:lang w:val="en-US"/>
        </w:rPr>
        <w:t xml:space="preserve"> </w:t>
      </w:r>
      <w:r w:rsidR="004E4EC1" w:rsidRPr="00610904">
        <w:rPr>
          <w:rFonts w:cs="Arial"/>
          <w:noProof w:val="0"/>
          <w:lang w:val="en-US"/>
        </w:rPr>
        <w:t>was</w:t>
      </w:r>
      <w:r w:rsidR="00BB24ED" w:rsidRPr="00610904">
        <w:rPr>
          <w:rFonts w:cs="Arial"/>
          <w:noProof w:val="0"/>
          <w:lang w:val="en-US"/>
        </w:rPr>
        <w:t xml:space="preserve"> re-opened and, on March 22, 2000, </w:t>
      </w:r>
      <w:r w:rsidR="004E4EC1" w:rsidRPr="00610904">
        <w:rPr>
          <w:rFonts w:cs="Arial"/>
          <w:noProof w:val="0"/>
          <w:lang w:val="en-US"/>
        </w:rPr>
        <w:t>it was</w:t>
      </w:r>
      <w:r w:rsidR="00BB24ED" w:rsidRPr="00610904">
        <w:rPr>
          <w:rFonts w:cs="Arial"/>
          <w:noProof w:val="0"/>
          <w:lang w:val="en-US"/>
        </w:rPr>
        <w:t xml:space="preserve"> once again declared that </w:t>
      </w:r>
      <w:r w:rsidR="004E4EC1" w:rsidRPr="00610904">
        <w:rPr>
          <w:rFonts w:cs="Arial"/>
          <w:noProof w:val="0"/>
          <w:lang w:val="en-US"/>
        </w:rPr>
        <w:t>it</w:t>
      </w:r>
      <w:r w:rsidR="00BB24ED" w:rsidRPr="00610904">
        <w:rPr>
          <w:rFonts w:cs="Arial"/>
          <w:noProof w:val="0"/>
          <w:lang w:val="en-US"/>
        </w:rPr>
        <w:t xml:space="preserve"> had concluded, without the test in </w:t>
      </w:r>
      <w:r w:rsidR="00856968" w:rsidRPr="00610904">
        <w:rPr>
          <w:rFonts w:cs="Arial"/>
          <w:noProof w:val="0"/>
          <w:lang w:val="en-US"/>
        </w:rPr>
        <w:t>Louvain</w:t>
      </w:r>
      <w:r w:rsidR="00BB24ED" w:rsidRPr="00610904">
        <w:rPr>
          <w:rFonts w:cs="Arial"/>
          <w:noProof w:val="0"/>
          <w:lang w:val="en-US"/>
        </w:rPr>
        <w:t xml:space="preserve"> having been ordered and, therefore,</w:t>
      </w:r>
      <w:r w:rsidR="00B628C2" w:rsidRPr="00610904">
        <w:rPr>
          <w:rFonts w:cs="Arial"/>
          <w:noProof w:val="0"/>
          <w:lang w:val="en-US"/>
        </w:rPr>
        <w:t xml:space="preserve"> Teresa Lluy </w:t>
      </w:r>
      <w:r w:rsidR="00BB24ED" w:rsidRPr="00610904">
        <w:rPr>
          <w:rFonts w:cs="Arial"/>
          <w:noProof w:val="0"/>
          <w:lang w:val="en-US"/>
        </w:rPr>
        <w:t xml:space="preserve">again requested that the test be performed. The </w:t>
      </w:r>
      <w:r w:rsidR="004E4EC1" w:rsidRPr="00610904">
        <w:rPr>
          <w:rFonts w:cs="Arial"/>
          <w:noProof w:val="0"/>
          <w:lang w:val="en-US"/>
        </w:rPr>
        <w:t>preliminary investigation</w:t>
      </w:r>
      <w:r w:rsidR="00B628C2" w:rsidRPr="00610904">
        <w:rPr>
          <w:rFonts w:cs="Arial"/>
          <w:noProof w:val="0"/>
          <w:lang w:val="en-US"/>
        </w:rPr>
        <w:t xml:space="preserve"> </w:t>
      </w:r>
      <w:r w:rsidR="004E4EC1" w:rsidRPr="00610904">
        <w:rPr>
          <w:rFonts w:cs="Arial"/>
          <w:noProof w:val="0"/>
          <w:lang w:val="en-US"/>
        </w:rPr>
        <w:t>was</w:t>
      </w:r>
      <w:r w:rsidR="00BB24ED" w:rsidRPr="00610904">
        <w:rPr>
          <w:rFonts w:cs="Arial"/>
          <w:noProof w:val="0"/>
          <w:lang w:val="en-US"/>
        </w:rPr>
        <w:t xml:space="preserve"> re-opened again and, on August 31, 2000, </w:t>
      </w:r>
      <w:r w:rsidR="004E4EC1" w:rsidRPr="00610904">
        <w:rPr>
          <w:rFonts w:cs="Arial"/>
          <w:noProof w:val="0"/>
          <w:lang w:val="en-US"/>
        </w:rPr>
        <w:t>it was</w:t>
      </w:r>
      <w:r w:rsidR="00BB24ED" w:rsidRPr="00610904">
        <w:rPr>
          <w:rFonts w:cs="Arial"/>
          <w:noProof w:val="0"/>
          <w:lang w:val="en-US"/>
        </w:rPr>
        <w:t xml:space="preserve"> again declared concluded without this test having been performed. On January 15, 2001, it was decided to re-open the </w:t>
      </w:r>
      <w:r w:rsidR="004E4EC1" w:rsidRPr="00610904">
        <w:rPr>
          <w:rFonts w:cs="Arial"/>
          <w:noProof w:val="0"/>
          <w:lang w:val="en-US"/>
        </w:rPr>
        <w:t>preliminary investigation</w:t>
      </w:r>
      <w:r w:rsidR="00B628C2" w:rsidRPr="00610904">
        <w:rPr>
          <w:rFonts w:cs="Arial"/>
          <w:noProof w:val="0"/>
          <w:lang w:val="en-US"/>
        </w:rPr>
        <w:t xml:space="preserve"> </w:t>
      </w:r>
      <w:r w:rsidR="00BB24ED" w:rsidRPr="00610904">
        <w:rPr>
          <w:rFonts w:cs="Arial"/>
          <w:noProof w:val="0"/>
          <w:lang w:val="en-US"/>
        </w:rPr>
        <w:t>in order to inco</w:t>
      </w:r>
      <w:r w:rsidR="004E4EC1" w:rsidRPr="00610904">
        <w:rPr>
          <w:rFonts w:cs="Arial"/>
          <w:noProof w:val="0"/>
          <w:lang w:val="en-US"/>
        </w:rPr>
        <w:t>r</w:t>
      </w:r>
      <w:r w:rsidR="00BB24ED" w:rsidRPr="00610904">
        <w:rPr>
          <w:rFonts w:cs="Arial"/>
          <w:noProof w:val="0"/>
          <w:lang w:val="en-US"/>
        </w:rPr>
        <w:t>porate the specialized evidence. Subsequently,</w:t>
      </w:r>
      <w:r w:rsidR="00B628C2" w:rsidRPr="00610904">
        <w:rPr>
          <w:rFonts w:cs="Arial"/>
          <w:noProof w:val="0"/>
          <w:lang w:val="en-US"/>
        </w:rPr>
        <w:t xml:space="preserve"> </w:t>
      </w:r>
      <w:r w:rsidR="00BB24ED" w:rsidRPr="00610904">
        <w:rPr>
          <w:rFonts w:cs="Arial"/>
          <w:noProof w:val="0"/>
          <w:lang w:val="en-US"/>
        </w:rPr>
        <w:t xml:space="preserve">the </w:t>
      </w:r>
      <w:r w:rsidR="004E4EC1" w:rsidRPr="00610904">
        <w:rPr>
          <w:rFonts w:cs="Arial"/>
          <w:noProof w:val="0"/>
          <w:lang w:val="en-US"/>
        </w:rPr>
        <w:t>preliminary investigation</w:t>
      </w:r>
      <w:r w:rsidR="00B628C2" w:rsidRPr="00610904">
        <w:rPr>
          <w:rFonts w:cs="Arial"/>
          <w:noProof w:val="0"/>
          <w:lang w:val="en-US"/>
        </w:rPr>
        <w:t xml:space="preserve"> </w:t>
      </w:r>
      <w:r w:rsidR="004E4EC1" w:rsidRPr="00610904">
        <w:rPr>
          <w:rFonts w:cs="Arial"/>
          <w:noProof w:val="0"/>
          <w:lang w:val="en-US"/>
        </w:rPr>
        <w:t xml:space="preserve">was </w:t>
      </w:r>
      <w:r w:rsidR="00BB24ED" w:rsidRPr="00610904">
        <w:rPr>
          <w:rFonts w:cs="Arial"/>
          <w:noProof w:val="0"/>
          <w:lang w:val="en-US"/>
        </w:rPr>
        <w:t>again declared close</w:t>
      </w:r>
      <w:r w:rsidR="004E4EC1" w:rsidRPr="00610904">
        <w:rPr>
          <w:rFonts w:cs="Arial"/>
          <w:noProof w:val="0"/>
          <w:lang w:val="en-US"/>
        </w:rPr>
        <w:t>d</w:t>
      </w:r>
      <w:r w:rsidR="00BB24ED" w:rsidRPr="00610904">
        <w:rPr>
          <w:rFonts w:cs="Arial"/>
          <w:noProof w:val="0"/>
          <w:lang w:val="en-US"/>
        </w:rPr>
        <w:t xml:space="preserve"> on March 26, </w:t>
      </w:r>
      <w:r w:rsidR="00B628C2" w:rsidRPr="00610904">
        <w:rPr>
          <w:rFonts w:cs="Arial"/>
          <w:noProof w:val="0"/>
          <w:lang w:val="en-US"/>
        </w:rPr>
        <w:t>2001</w:t>
      </w:r>
      <w:r w:rsidR="00BB24ED" w:rsidRPr="00610904">
        <w:rPr>
          <w:rFonts w:cs="Arial"/>
          <w:noProof w:val="0"/>
          <w:lang w:val="en-US"/>
        </w:rPr>
        <w:t xml:space="preserve">, and re-opened in April that year to include </w:t>
      </w:r>
      <w:r w:rsidR="00B628C2" w:rsidRPr="00610904">
        <w:rPr>
          <w:rFonts w:cs="Arial"/>
          <w:noProof w:val="0"/>
          <w:lang w:val="en-US"/>
        </w:rPr>
        <w:t>MRR, BRR</w:t>
      </w:r>
      <w:r w:rsidRPr="00610904">
        <w:rPr>
          <w:rFonts w:cs="Arial"/>
          <w:noProof w:val="0"/>
          <w:lang w:val="en-US"/>
        </w:rPr>
        <w:t xml:space="preserve"> and </w:t>
      </w:r>
      <w:r w:rsidR="00B628C2" w:rsidRPr="00610904">
        <w:rPr>
          <w:rFonts w:cs="Arial"/>
          <w:noProof w:val="0"/>
          <w:lang w:val="en-US"/>
        </w:rPr>
        <w:t>PMT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106). </w:t>
      </w:r>
      <w:r w:rsidR="00BB24ED" w:rsidRPr="00610904">
        <w:rPr>
          <w:rFonts w:cs="Arial"/>
          <w:noProof w:val="0"/>
          <w:lang w:val="en-US"/>
        </w:rPr>
        <w:t xml:space="preserve">The case against </w:t>
      </w:r>
      <w:r w:rsidR="00B628C2" w:rsidRPr="00610904">
        <w:rPr>
          <w:rFonts w:cs="Arial"/>
          <w:noProof w:val="0"/>
          <w:lang w:val="en-US"/>
        </w:rPr>
        <w:t>BRR</w:t>
      </w:r>
      <w:r w:rsidRPr="00610904">
        <w:rPr>
          <w:rFonts w:cs="Arial"/>
          <w:noProof w:val="0"/>
          <w:lang w:val="en-US"/>
        </w:rPr>
        <w:t xml:space="preserve"> and </w:t>
      </w:r>
      <w:r w:rsidR="00B628C2" w:rsidRPr="00610904">
        <w:rPr>
          <w:rFonts w:cs="Arial"/>
          <w:noProof w:val="0"/>
          <w:lang w:val="en-US"/>
        </w:rPr>
        <w:t xml:space="preserve">PMT </w:t>
      </w:r>
      <w:r w:rsidR="00BB24ED" w:rsidRPr="00610904">
        <w:rPr>
          <w:rFonts w:cs="Arial"/>
          <w:noProof w:val="0"/>
          <w:lang w:val="en-US"/>
        </w:rPr>
        <w:t xml:space="preserve">was dismissed, and this decision was confirmed by </w:t>
      </w:r>
      <w:r w:rsidR="008E668D" w:rsidRPr="00610904">
        <w:rPr>
          <w:rFonts w:cs="Arial"/>
          <w:noProof w:val="0"/>
          <w:lang w:val="en-US"/>
        </w:rPr>
        <w:t>the First Chamber</w:t>
      </w:r>
      <w:r w:rsidRPr="00610904">
        <w:rPr>
          <w:rFonts w:cs="Arial"/>
          <w:noProof w:val="0"/>
          <w:lang w:val="en-US"/>
        </w:rPr>
        <w:t xml:space="preserve"> of the </w:t>
      </w:r>
      <w:r w:rsidR="006805C3" w:rsidRPr="00610904">
        <w:rPr>
          <w:rFonts w:cs="Arial"/>
          <w:noProof w:val="0"/>
          <w:lang w:val="en-US"/>
        </w:rPr>
        <w:t>Superior Court</w:t>
      </w:r>
      <w:r w:rsidR="00B628C2" w:rsidRPr="00610904">
        <w:rPr>
          <w:rFonts w:cs="Arial"/>
          <w:noProof w:val="0"/>
          <w:lang w:val="en-US"/>
        </w:rPr>
        <w:t xml:space="preserve"> </w:t>
      </w:r>
      <w:r w:rsidR="00BB24ED" w:rsidRPr="00610904">
        <w:rPr>
          <w:rFonts w:cs="Arial"/>
          <w:noProof w:val="0"/>
          <w:lang w:val="en-US"/>
        </w:rPr>
        <w:t xml:space="preserve">on December 18, </w:t>
      </w:r>
      <w:r w:rsidR="00B628C2" w:rsidRPr="00610904">
        <w:rPr>
          <w:rFonts w:cs="Arial"/>
          <w:noProof w:val="0"/>
          <w:lang w:val="en-US"/>
        </w:rPr>
        <w:t>2001 (</w:t>
      </w:r>
      <w:r w:rsidR="00B628C2" w:rsidRPr="00610904">
        <w:rPr>
          <w:rFonts w:cs="Arial"/>
          <w:i/>
          <w:noProof w:val="0"/>
          <w:lang w:val="en-US"/>
        </w:rPr>
        <w:t xml:space="preserve">supra </w:t>
      </w:r>
      <w:r w:rsidR="006E502B" w:rsidRPr="00610904">
        <w:rPr>
          <w:rFonts w:cs="Arial"/>
          <w:noProof w:val="0"/>
          <w:lang w:val="en-US"/>
        </w:rPr>
        <w:t>para.</w:t>
      </w:r>
      <w:r w:rsidR="00B628C2" w:rsidRPr="00610904">
        <w:rPr>
          <w:rFonts w:cs="Arial"/>
          <w:noProof w:val="0"/>
          <w:lang w:val="en-US"/>
        </w:rPr>
        <w:t xml:space="preserve"> 112).  </w:t>
      </w:r>
      <w:r w:rsidR="00BB24ED" w:rsidRPr="00610904">
        <w:rPr>
          <w:rFonts w:cs="Arial"/>
          <w:noProof w:val="0"/>
          <w:lang w:val="en-US"/>
        </w:rPr>
        <w:t xml:space="preserve">Finally, on </w:t>
      </w:r>
      <w:r w:rsidR="008E668D" w:rsidRPr="00610904">
        <w:rPr>
          <w:rFonts w:cs="Arial"/>
          <w:noProof w:val="0"/>
          <w:lang w:val="en-US"/>
        </w:rPr>
        <w:t xml:space="preserve">February </w:t>
      </w:r>
      <w:r w:rsidR="00BB24ED" w:rsidRPr="00610904">
        <w:rPr>
          <w:rFonts w:cs="Arial"/>
          <w:noProof w:val="0"/>
          <w:lang w:val="en-US"/>
        </w:rPr>
        <w:t>2</w:t>
      </w:r>
      <w:r w:rsidR="008E668D" w:rsidRPr="00610904">
        <w:rPr>
          <w:rFonts w:cs="Arial"/>
          <w:noProof w:val="0"/>
          <w:lang w:val="en-US"/>
        </w:rPr>
        <w:t>8,</w:t>
      </w:r>
      <w:r w:rsidR="00BB24ED" w:rsidRPr="00610904">
        <w:rPr>
          <w:rFonts w:cs="Arial"/>
          <w:noProof w:val="0"/>
          <w:lang w:val="en-US"/>
        </w:rPr>
        <w:t xml:space="preserve"> 2005 the</w:t>
      </w:r>
      <w:r w:rsidR="00B628C2" w:rsidRPr="00610904">
        <w:rPr>
          <w:rFonts w:cs="Arial"/>
          <w:noProof w:val="0"/>
          <w:lang w:val="en-US"/>
        </w:rPr>
        <w:t xml:space="preserve"> </w:t>
      </w:r>
      <w:r w:rsidR="00EC0A9D" w:rsidRPr="00610904">
        <w:rPr>
          <w:rFonts w:cs="Arial"/>
          <w:noProof w:val="0"/>
          <w:lang w:val="en-US"/>
        </w:rPr>
        <w:t>Second Criminal Chamber</w:t>
      </w:r>
      <w:r w:rsidRPr="00610904">
        <w:rPr>
          <w:rFonts w:cs="Arial"/>
          <w:noProof w:val="0"/>
          <w:lang w:val="en-US"/>
        </w:rPr>
        <w:t xml:space="preserve"> of the </w:t>
      </w:r>
      <w:r w:rsidR="008E668D" w:rsidRPr="00610904">
        <w:rPr>
          <w:rFonts w:cs="Arial"/>
          <w:noProof w:val="0"/>
          <w:lang w:val="en-US"/>
        </w:rPr>
        <w:t>Superior Court of Justice</w:t>
      </w:r>
      <w:r w:rsidR="00B628C2" w:rsidRPr="00610904">
        <w:rPr>
          <w:rFonts w:cs="Arial"/>
          <w:noProof w:val="0"/>
          <w:lang w:val="en-US"/>
        </w:rPr>
        <w:t xml:space="preserve"> </w:t>
      </w:r>
      <w:r w:rsidR="00BB24ED" w:rsidRPr="00610904">
        <w:rPr>
          <w:rFonts w:cs="Arial"/>
          <w:noProof w:val="0"/>
          <w:lang w:val="en-US"/>
        </w:rPr>
        <w:t>of</w:t>
      </w:r>
      <w:r w:rsidR="00B628C2" w:rsidRPr="00610904">
        <w:rPr>
          <w:rFonts w:cs="Arial"/>
          <w:noProof w:val="0"/>
          <w:lang w:val="en-US"/>
        </w:rPr>
        <w:t xml:space="preserve"> Azuay </w:t>
      </w:r>
      <w:r w:rsidR="00BB24ED" w:rsidRPr="00610904">
        <w:rPr>
          <w:rFonts w:cs="Arial"/>
          <w:noProof w:val="0"/>
          <w:lang w:val="en-US"/>
        </w:rPr>
        <w:t>ruled that the statute of limitation applied to the action owing to the failure to appear of the accused, MRR, at the trial hearing, and that it had not been possible to apprehend her</w:t>
      </w:r>
      <w:r w:rsidR="00B628C2" w:rsidRPr="00610904">
        <w:rPr>
          <w:rFonts w:cs="Arial"/>
          <w:noProof w:val="0"/>
          <w:lang w:val="en-US"/>
        </w:rPr>
        <w:t xml:space="preserve">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115).</w:t>
      </w:r>
    </w:p>
    <w:p w:rsidR="00B628C2" w:rsidRPr="00610904" w:rsidRDefault="00B628C2" w:rsidP="00610904">
      <w:pPr>
        <w:rPr>
          <w:noProof w:val="0"/>
          <w:lang w:val="en-US"/>
        </w:rPr>
      </w:pPr>
    </w:p>
    <w:p w:rsidR="00B628C2" w:rsidRPr="00610904" w:rsidRDefault="00BB24ED" w:rsidP="00610904">
      <w:pPr>
        <w:numPr>
          <w:ilvl w:val="0"/>
          <w:numId w:val="1"/>
        </w:numPr>
        <w:contextualSpacing/>
        <w:rPr>
          <w:noProof w:val="0"/>
          <w:lang w:val="en-US"/>
        </w:rPr>
      </w:pPr>
      <w:r w:rsidRPr="00610904">
        <w:rPr>
          <w:i/>
          <w:noProof w:val="0"/>
          <w:lang w:val="en-US"/>
        </w:rPr>
        <w:t>Base</w:t>
      </w:r>
      <w:r w:rsidRPr="00610904">
        <w:rPr>
          <w:noProof w:val="0"/>
          <w:lang w:val="en-US"/>
        </w:rPr>
        <w:t xml:space="preserve">d on the above, the Court finds that there was a delay in ordering the specialized test and that the numerous closures of the </w:t>
      </w:r>
      <w:r w:rsidR="004E4EC1" w:rsidRPr="00610904">
        <w:rPr>
          <w:noProof w:val="0"/>
          <w:lang w:val="en-US"/>
        </w:rPr>
        <w:t>preliminary investigation</w:t>
      </w:r>
      <w:r w:rsidR="00B628C2" w:rsidRPr="00610904">
        <w:rPr>
          <w:noProof w:val="0"/>
          <w:lang w:val="en-US"/>
        </w:rPr>
        <w:t xml:space="preserve"> </w:t>
      </w:r>
      <w:r w:rsidRPr="00610904">
        <w:rPr>
          <w:noProof w:val="0"/>
          <w:lang w:val="en-US"/>
        </w:rPr>
        <w:t xml:space="preserve">caused delays in </w:t>
      </w:r>
      <w:r w:rsidR="004A6E8B" w:rsidRPr="00610904">
        <w:rPr>
          <w:noProof w:val="0"/>
          <w:lang w:val="en-US"/>
        </w:rPr>
        <w:t>the criminal proceeding</w:t>
      </w:r>
      <w:r w:rsidR="004E4EC1" w:rsidRPr="00610904">
        <w:rPr>
          <w:noProof w:val="0"/>
          <w:lang w:val="en-US"/>
        </w:rPr>
        <w:t>s</w:t>
      </w:r>
      <w:r w:rsidR="00B628C2" w:rsidRPr="00610904">
        <w:rPr>
          <w:noProof w:val="0"/>
          <w:lang w:val="en-US"/>
        </w:rPr>
        <w:t xml:space="preserve">. </w:t>
      </w:r>
      <w:r w:rsidRPr="00610904">
        <w:rPr>
          <w:noProof w:val="0"/>
          <w:lang w:val="en-US"/>
        </w:rPr>
        <w:t>The</w:t>
      </w:r>
      <w:r w:rsidR="00A8072E" w:rsidRPr="00610904">
        <w:rPr>
          <w:noProof w:val="0"/>
          <w:lang w:val="en-US"/>
        </w:rPr>
        <w:t xml:space="preserve"> Court</w:t>
      </w:r>
      <w:r w:rsidRPr="00610904">
        <w:rPr>
          <w:noProof w:val="0"/>
          <w:lang w:val="en-US"/>
        </w:rPr>
        <w:t xml:space="preserve"> considers that the State has not </w:t>
      </w:r>
      <w:r w:rsidR="004E4EC1" w:rsidRPr="00610904">
        <w:rPr>
          <w:noProof w:val="0"/>
          <w:lang w:val="en-US"/>
        </w:rPr>
        <w:t>proved</w:t>
      </w:r>
      <w:r w:rsidRPr="00610904">
        <w:rPr>
          <w:noProof w:val="0"/>
          <w:lang w:val="en-US"/>
        </w:rPr>
        <w:t xml:space="preserve"> that any justification existed for the prolonged delay in ordering the specialized test, or for the delay caused by the </w:t>
      </w:r>
      <w:r w:rsidR="004E4EC1" w:rsidRPr="00610904">
        <w:rPr>
          <w:noProof w:val="0"/>
          <w:lang w:val="en-US"/>
        </w:rPr>
        <w:t>various</w:t>
      </w:r>
      <w:r w:rsidRPr="00610904">
        <w:rPr>
          <w:noProof w:val="0"/>
          <w:lang w:val="en-US"/>
        </w:rPr>
        <w:t xml:space="preserve"> closures of the </w:t>
      </w:r>
      <w:r w:rsidR="004E4EC1" w:rsidRPr="00610904">
        <w:rPr>
          <w:noProof w:val="0"/>
          <w:lang w:val="en-US"/>
        </w:rPr>
        <w:t>preliminary investigation</w:t>
      </w:r>
      <w:r w:rsidR="00B628C2" w:rsidRPr="00610904">
        <w:rPr>
          <w:noProof w:val="0"/>
          <w:lang w:val="en-US"/>
        </w:rPr>
        <w:t xml:space="preserve">. </w:t>
      </w:r>
      <w:r w:rsidRPr="00610904">
        <w:rPr>
          <w:noProof w:val="0"/>
          <w:lang w:val="en-US"/>
        </w:rPr>
        <w:t xml:space="preserve">Consequently, the Court considers that the judicial authority did not ensure, diligently, that a reasonable time was respected </w:t>
      </w:r>
      <w:r w:rsidR="004A6E8B" w:rsidRPr="00610904">
        <w:rPr>
          <w:rFonts w:cs="Arial"/>
          <w:noProof w:val="0"/>
          <w:lang w:val="en-US"/>
        </w:rPr>
        <w:t>in the criminal proceeding</w:t>
      </w:r>
      <w:r w:rsidR="00B628C2" w:rsidRPr="00610904">
        <w:rPr>
          <w:rFonts w:cs="Arial"/>
          <w:noProof w:val="0"/>
          <w:lang w:val="en-US"/>
        </w:rPr>
        <w:t xml:space="preserve">. </w:t>
      </w:r>
    </w:p>
    <w:p w:rsidR="00B628C2" w:rsidRPr="00610904" w:rsidRDefault="00B628C2" w:rsidP="00610904">
      <w:pPr>
        <w:rPr>
          <w:noProof w:val="0"/>
          <w:lang w:val="en-US"/>
        </w:rPr>
      </w:pPr>
    </w:p>
    <w:p w:rsidR="00B628C2" w:rsidRPr="00610904" w:rsidRDefault="00BB24ED" w:rsidP="00610904">
      <w:pPr>
        <w:numPr>
          <w:ilvl w:val="0"/>
          <w:numId w:val="1"/>
        </w:numPr>
        <w:contextualSpacing/>
        <w:rPr>
          <w:noProof w:val="0"/>
          <w:lang w:val="en-US"/>
        </w:rPr>
      </w:pPr>
      <w:r w:rsidRPr="00610904">
        <w:rPr>
          <w:rFonts w:cs="Arial"/>
          <w:noProof w:val="0"/>
          <w:lang w:val="en-US"/>
        </w:rPr>
        <w:t xml:space="preserve">As regards the application of the statute of limitation to </w:t>
      </w:r>
      <w:r w:rsidR="00A8072E" w:rsidRPr="00610904">
        <w:rPr>
          <w:rFonts w:cs="Arial"/>
          <w:noProof w:val="0"/>
          <w:lang w:val="en-US"/>
        </w:rPr>
        <w:t>the criminal action</w:t>
      </w:r>
      <w:r w:rsidR="00B628C2" w:rsidRPr="00610904">
        <w:rPr>
          <w:rFonts w:cs="Arial"/>
          <w:noProof w:val="0"/>
          <w:lang w:val="en-US"/>
        </w:rPr>
        <w:t xml:space="preserve">, </w:t>
      </w:r>
      <w:r w:rsidR="009F3D78" w:rsidRPr="00610904">
        <w:rPr>
          <w:rFonts w:cs="Arial"/>
          <w:noProof w:val="0"/>
          <w:lang w:val="en-US"/>
        </w:rPr>
        <w:t>the Court</w:t>
      </w:r>
      <w:r w:rsidRPr="00610904">
        <w:rPr>
          <w:rFonts w:cs="Arial"/>
          <w:noProof w:val="0"/>
          <w:lang w:val="en-US"/>
        </w:rPr>
        <w:t xml:space="preserve"> observes that this was applied in accordance with the Ecuadorian law in force at the time of the events. Despite this, the Court notes that, after the decision had been issued to open the plenary stage against </w:t>
      </w:r>
      <w:r w:rsidR="00B628C2" w:rsidRPr="00610904">
        <w:rPr>
          <w:rFonts w:cs="Arial"/>
          <w:noProof w:val="0"/>
          <w:lang w:val="en-US"/>
        </w:rPr>
        <w:t xml:space="preserve">MRR, </w:t>
      </w:r>
      <w:r w:rsidRPr="00610904">
        <w:rPr>
          <w:rFonts w:cs="Arial"/>
          <w:noProof w:val="0"/>
          <w:lang w:val="en-US"/>
        </w:rPr>
        <w:t>on October 29,</w:t>
      </w:r>
      <w:r w:rsidR="00B628C2" w:rsidRPr="00610904">
        <w:rPr>
          <w:rFonts w:cs="Arial"/>
          <w:noProof w:val="0"/>
          <w:lang w:val="en-US"/>
        </w:rPr>
        <w:t xml:space="preserve"> 2001, </w:t>
      </w:r>
      <w:r w:rsidRPr="00610904">
        <w:rPr>
          <w:rFonts w:cs="Arial"/>
          <w:noProof w:val="0"/>
          <w:lang w:val="en-US"/>
        </w:rPr>
        <w:t xml:space="preserve">only three notes were issued regarding the </w:t>
      </w:r>
      <w:r w:rsidRPr="00610904">
        <w:rPr>
          <w:rFonts w:cs="Arial"/>
          <w:noProof w:val="0"/>
          <w:lang w:val="en-US"/>
        </w:rPr>
        <w:lastRenderedPageBreak/>
        <w:t xml:space="preserve">capture of </w:t>
      </w:r>
      <w:r w:rsidR="00B628C2" w:rsidRPr="00610904">
        <w:rPr>
          <w:rFonts w:cs="Arial"/>
          <w:noProof w:val="0"/>
          <w:lang w:val="en-US"/>
        </w:rPr>
        <w:t xml:space="preserve">MRR: </w:t>
      </w:r>
      <w:r w:rsidRPr="00610904">
        <w:rPr>
          <w:rFonts w:cs="Arial"/>
          <w:noProof w:val="0"/>
          <w:lang w:val="en-US"/>
        </w:rPr>
        <w:t>one on</w:t>
      </w:r>
      <w:r w:rsidR="00B628C2" w:rsidRPr="00610904">
        <w:rPr>
          <w:rFonts w:cs="Arial"/>
          <w:noProof w:val="0"/>
          <w:lang w:val="en-US"/>
        </w:rPr>
        <w:t xml:space="preserve"> </w:t>
      </w:r>
      <w:r w:rsidRPr="00610904">
        <w:rPr>
          <w:rFonts w:cs="Arial"/>
          <w:noProof w:val="0"/>
          <w:lang w:val="en-US"/>
        </w:rPr>
        <w:t>October 23,</w:t>
      </w:r>
      <w:r w:rsidR="00B628C2" w:rsidRPr="00610904">
        <w:rPr>
          <w:rFonts w:cs="Arial"/>
          <w:noProof w:val="0"/>
          <w:lang w:val="en-US"/>
        </w:rPr>
        <w:t xml:space="preserve"> 2002, </w:t>
      </w:r>
      <w:r w:rsidRPr="00610904">
        <w:rPr>
          <w:rFonts w:cs="Arial"/>
          <w:noProof w:val="0"/>
          <w:lang w:val="en-US"/>
        </w:rPr>
        <w:t>another on</w:t>
      </w:r>
      <w:r w:rsidR="00B628C2" w:rsidRPr="00610904">
        <w:rPr>
          <w:rFonts w:cs="Arial"/>
          <w:noProof w:val="0"/>
          <w:lang w:val="en-US"/>
        </w:rPr>
        <w:t xml:space="preserve"> </w:t>
      </w:r>
      <w:r w:rsidRPr="00610904">
        <w:rPr>
          <w:rFonts w:cs="Arial"/>
          <w:noProof w:val="0"/>
          <w:lang w:val="en-US"/>
        </w:rPr>
        <w:t>June 26,</w:t>
      </w:r>
      <w:r w:rsidR="00B628C2" w:rsidRPr="00610904">
        <w:rPr>
          <w:rFonts w:cs="Arial"/>
          <w:noProof w:val="0"/>
          <w:lang w:val="en-US"/>
        </w:rPr>
        <w:t xml:space="preserve"> 2003</w:t>
      </w:r>
      <w:r w:rsidRPr="00610904">
        <w:rPr>
          <w:rFonts w:cs="Arial"/>
          <w:noProof w:val="0"/>
          <w:lang w:val="en-US"/>
        </w:rPr>
        <w:t xml:space="preserve">, and a third on February 12, </w:t>
      </w:r>
      <w:r w:rsidR="00B628C2" w:rsidRPr="00610904">
        <w:rPr>
          <w:rFonts w:cs="Arial"/>
          <w:noProof w:val="0"/>
          <w:lang w:val="en-US"/>
        </w:rPr>
        <w:t>2004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113</w:t>
      </w:r>
      <w:r w:rsidR="004E4EC1" w:rsidRPr="00610904">
        <w:rPr>
          <w:rFonts w:cs="Arial"/>
          <w:noProof w:val="0"/>
          <w:lang w:val="en-US"/>
        </w:rPr>
        <w:t>). T</w:t>
      </w:r>
      <w:r w:rsidRPr="00610904">
        <w:rPr>
          <w:rFonts w:cs="Arial"/>
          <w:noProof w:val="0"/>
          <w:lang w:val="en-US"/>
        </w:rPr>
        <w:t xml:space="preserve">hese </w:t>
      </w:r>
      <w:r w:rsidR="004E4EC1" w:rsidRPr="00610904">
        <w:rPr>
          <w:rFonts w:cs="Arial"/>
          <w:noProof w:val="0"/>
          <w:lang w:val="en-US"/>
        </w:rPr>
        <w:t>notes merely</w:t>
      </w:r>
      <w:r w:rsidRPr="00610904">
        <w:rPr>
          <w:rFonts w:cs="Arial"/>
          <w:noProof w:val="0"/>
          <w:lang w:val="en-US"/>
        </w:rPr>
        <w:t xml:space="preserve"> ment</w:t>
      </w:r>
      <w:r w:rsidR="004E4EC1" w:rsidRPr="00610904">
        <w:rPr>
          <w:rFonts w:cs="Arial"/>
          <w:noProof w:val="0"/>
          <w:lang w:val="en-US"/>
        </w:rPr>
        <w:t>i</w:t>
      </w:r>
      <w:r w:rsidRPr="00610904">
        <w:rPr>
          <w:rFonts w:cs="Arial"/>
          <w:noProof w:val="0"/>
          <w:lang w:val="en-US"/>
        </w:rPr>
        <w:t xml:space="preserve">oned that orders had been given to apprehend MRR, without </w:t>
      </w:r>
      <w:r w:rsidR="0056398E" w:rsidRPr="00610904">
        <w:rPr>
          <w:rFonts w:cs="Arial"/>
          <w:noProof w:val="0"/>
          <w:lang w:val="en-US"/>
        </w:rPr>
        <w:t>describing</w:t>
      </w:r>
      <w:r w:rsidRPr="00610904">
        <w:rPr>
          <w:rFonts w:cs="Arial"/>
          <w:noProof w:val="0"/>
          <w:lang w:val="en-US"/>
        </w:rPr>
        <w:t xml:space="preserve"> the steps taken to find her. In addition to these three notes, between which several months elapsed, there is no evidence that the State took any other step aimed at finding MRR or in any way advancing the criminal proceeding. Consequently, the Court considers that the authorities did not take diligent measures to locate MRR, which culminated in the application of the statute of limitations to </w:t>
      </w:r>
      <w:r w:rsidR="00A8072E" w:rsidRPr="00610904">
        <w:rPr>
          <w:rFonts w:cs="Arial"/>
          <w:noProof w:val="0"/>
          <w:lang w:val="en-US"/>
        </w:rPr>
        <w:t>the criminal action</w:t>
      </w:r>
      <w:r w:rsidR="00B628C2" w:rsidRPr="00610904">
        <w:rPr>
          <w:rFonts w:cs="Arial"/>
          <w:noProof w:val="0"/>
          <w:lang w:val="en-US"/>
        </w:rPr>
        <w:t xml:space="preserve">. </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B628C2" w:rsidRPr="00610904">
        <w:rPr>
          <w:noProof w:val="0"/>
          <w:lang w:val="en-US"/>
        </w:rPr>
        <w:t xml:space="preserve"> </w:t>
      </w:r>
      <w:r w:rsidR="00BB24ED" w:rsidRPr="00610904">
        <w:rPr>
          <w:noProof w:val="0"/>
          <w:lang w:val="en-US"/>
        </w:rPr>
        <w:t xml:space="preserve">emphasizes that the lack of diligence and effectiveness of the agents of justice to find MRR and to continue investigating the case culminated in the prescription of the </w:t>
      </w:r>
      <w:r w:rsidR="00A8072E" w:rsidRPr="00610904">
        <w:rPr>
          <w:noProof w:val="0"/>
          <w:lang w:val="en-US"/>
        </w:rPr>
        <w:t>criminal action</w:t>
      </w:r>
      <w:r w:rsidR="00B628C2" w:rsidRPr="00610904">
        <w:rPr>
          <w:noProof w:val="0"/>
          <w:lang w:val="en-US"/>
        </w:rPr>
        <w:t xml:space="preserve">. </w:t>
      </w:r>
      <w:r w:rsidR="00BB24ED" w:rsidRPr="00610904">
        <w:rPr>
          <w:noProof w:val="0"/>
          <w:lang w:val="en-US"/>
        </w:rPr>
        <w:t>The delay in the proceeding</w:t>
      </w:r>
      <w:r w:rsidR="004E4EC1" w:rsidRPr="00610904">
        <w:rPr>
          <w:noProof w:val="0"/>
          <w:lang w:val="en-US"/>
        </w:rPr>
        <w:t>s and their</w:t>
      </w:r>
      <w:r w:rsidR="00BB24ED" w:rsidRPr="00610904">
        <w:rPr>
          <w:noProof w:val="0"/>
          <w:lang w:val="en-US"/>
        </w:rPr>
        <w:t xml:space="preserve"> consequent prescription was due, above all, to the lack of action by the Ecuadorian judicial authorities, who were responsible for taking the necessary measures to investigate, prosecute and punish those responsible, as appropriate.</w:t>
      </w:r>
      <w:r w:rsidR="00B628C2" w:rsidRPr="00610904">
        <w:rPr>
          <w:rStyle w:val="FootnoteReference"/>
          <w:noProof w:val="0"/>
          <w:lang w:val="en-US"/>
        </w:rPr>
        <w:footnoteReference w:id="351"/>
      </w:r>
    </w:p>
    <w:p w:rsidR="00B628C2" w:rsidRPr="00610904" w:rsidRDefault="00B628C2" w:rsidP="00610904">
      <w:pPr>
        <w:rPr>
          <w:noProof w:val="0"/>
          <w:lang w:val="en-US"/>
        </w:rPr>
      </w:pPr>
    </w:p>
    <w:p w:rsidR="00B628C2" w:rsidRPr="00610904" w:rsidRDefault="00BB24ED" w:rsidP="00610904">
      <w:pPr>
        <w:numPr>
          <w:ilvl w:val="0"/>
          <w:numId w:val="1"/>
        </w:numPr>
        <w:contextualSpacing/>
        <w:rPr>
          <w:noProof w:val="0"/>
          <w:lang w:val="en-US"/>
        </w:rPr>
      </w:pPr>
      <w:r w:rsidRPr="00610904">
        <w:rPr>
          <w:noProof w:val="0"/>
          <w:lang w:val="en-US"/>
        </w:rPr>
        <w:t xml:space="preserve">In this regard, the Court recalls that, in previous cases, it has analyzed the lack of diligence to locate persons against whom a </w:t>
      </w:r>
      <w:r w:rsidR="00521F86" w:rsidRPr="00610904">
        <w:rPr>
          <w:noProof w:val="0"/>
          <w:lang w:val="en-US"/>
        </w:rPr>
        <w:t xml:space="preserve">criminal </w:t>
      </w:r>
      <w:proofErr w:type="gramStart"/>
      <w:r w:rsidR="00521F86" w:rsidRPr="00610904">
        <w:rPr>
          <w:noProof w:val="0"/>
          <w:lang w:val="en-US"/>
        </w:rPr>
        <w:t>proceedings</w:t>
      </w:r>
      <w:proofErr w:type="gramEnd"/>
      <w:r w:rsidR="00521F86" w:rsidRPr="00610904">
        <w:rPr>
          <w:noProof w:val="0"/>
          <w:lang w:val="en-US"/>
        </w:rPr>
        <w:t xml:space="preserve"> </w:t>
      </w:r>
      <w:r w:rsidRPr="00610904">
        <w:rPr>
          <w:noProof w:val="0"/>
          <w:lang w:val="en-US"/>
        </w:rPr>
        <w:t>has been instituted, as well as the failure of the authorities to advance criminal proceedings</w:t>
      </w:r>
      <w:r w:rsidR="00B628C2" w:rsidRPr="00610904">
        <w:rPr>
          <w:noProof w:val="0"/>
          <w:lang w:val="en-US"/>
        </w:rPr>
        <w:t xml:space="preserve"> </w:t>
      </w:r>
      <w:r w:rsidR="00B45E43" w:rsidRPr="00610904">
        <w:rPr>
          <w:noProof w:val="0"/>
          <w:lang w:val="en-US"/>
        </w:rPr>
        <w:t>in Ecuador</w:t>
      </w:r>
      <w:r w:rsidR="00B628C2" w:rsidRPr="00610904">
        <w:rPr>
          <w:noProof w:val="0"/>
          <w:lang w:val="en-US"/>
        </w:rPr>
        <w:t xml:space="preserve">. </w:t>
      </w:r>
      <w:r w:rsidRPr="00610904">
        <w:rPr>
          <w:noProof w:val="0"/>
          <w:lang w:val="en-US"/>
        </w:rPr>
        <w:t xml:space="preserve">For example, in the </w:t>
      </w:r>
      <w:r w:rsidR="00B628C2" w:rsidRPr="00610904">
        <w:rPr>
          <w:i/>
          <w:noProof w:val="0"/>
          <w:szCs w:val="20"/>
          <w:lang w:val="en-US"/>
        </w:rPr>
        <w:t>Cas</w:t>
      </w:r>
      <w:r w:rsidRPr="00610904">
        <w:rPr>
          <w:i/>
          <w:noProof w:val="0"/>
          <w:szCs w:val="20"/>
          <w:lang w:val="en-US"/>
        </w:rPr>
        <w:t xml:space="preserve">e of </w:t>
      </w:r>
      <w:r w:rsidR="00B628C2" w:rsidRPr="00610904">
        <w:rPr>
          <w:rStyle w:val="Strong"/>
          <w:b w:val="0"/>
          <w:i/>
          <w:noProof w:val="0"/>
          <w:color w:val="000000"/>
          <w:szCs w:val="20"/>
          <w:shd w:val="clear" w:color="auto" w:fill="FFFFFF"/>
          <w:lang w:val="en-US"/>
        </w:rPr>
        <w:t>Albán Cornejo</w:t>
      </w:r>
      <w:r w:rsidR="009F3D78" w:rsidRPr="00610904">
        <w:rPr>
          <w:rStyle w:val="Strong"/>
          <w:b w:val="0"/>
          <w:i/>
          <w:noProof w:val="0"/>
          <w:color w:val="000000"/>
          <w:szCs w:val="20"/>
          <w:shd w:val="clear" w:color="auto" w:fill="FFFFFF"/>
          <w:lang w:val="en-US"/>
        </w:rPr>
        <w:t xml:space="preserve"> </w:t>
      </w:r>
      <w:r w:rsidRPr="00610904">
        <w:rPr>
          <w:rStyle w:val="Strong"/>
          <w:b w:val="0"/>
          <w:i/>
          <w:noProof w:val="0"/>
          <w:color w:val="000000"/>
          <w:szCs w:val="20"/>
          <w:shd w:val="clear" w:color="auto" w:fill="FFFFFF"/>
          <w:lang w:val="en-US"/>
        </w:rPr>
        <w:t>et al.</w:t>
      </w:r>
      <w:r w:rsidR="00B628C2" w:rsidRPr="00610904">
        <w:rPr>
          <w:rStyle w:val="Strong"/>
          <w:b w:val="0"/>
          <w:i/>
          <w:noProof w:val="0"/>
          <w:color w:val="000000"/>
          <w:szCs w:val="20"/>
          <w:shd w:val="clear" w:color="auto" w:fill="FFFFFF"/>
          <w:lang w:val="en-US"/>
        </w:rPr>
        <w:t xml:space="preserve"> </w:t>
      </w:r>
      <w:r w:rsidR="009F3D78" w:rsidRPr="00610904">
        <w:rPr>
          <w:rStyle w:val="Strong"/>
          <w:b w:val="0"/>
          <w:i/>
          <w:noProof w:val="0"/>
          <w:color w:val="000000"/>
          <w:szCs w:val="20"/>
          <w:shd w:val="clear" w:color="auto" w:fill="FFFFFF"/>
          <w:lang w:val="en-US"/>
        </w:rPr>
        <w:t>v.</w:t>
      </w:r>
      <w:r w:rsidR="00B628C2" w:rsidRPr="00610904">
        <w:rPr>
          <w:rStyle w:val="Strong"/>
          <w:b w:val="0"/>
          <w:i/>
          <w:noProof w:val="0"/>
          <w:color w:val="000000"/>
          <w:szCs w:val="20"/>
          <w:shd w:val="clear" w:color="auto" w:fill="FFFFFF"/>
          <w:lang w:val="en-US"/>
        </w:rPr>
        <w:t xml:space="preserve"> Ecuador</w:t>
      </w:r>
      <w:r w:rsidRPr="00610904">
        <w:rPr>
          <w:rStyle w:val="Strong"/>
          <w:b w:val="0"/>
          <w:i/>
          <w:noProof w:val="0"/>
          <w:color w:val="000000"/>
          <w:szCs w:val="20"/>
          <w:shd w:val="clear" w:color="auto" w:fill="FFFFFF"/>
          <w:lang w:val="en-US"/>
        </w:rPr>
        <w:t>,</w:t>
      </w:r>
      <w:r w:rsidR="00B628C2" w:rsidRPr="00610904">
        <w:rPr>
          <w:rStyle w:val="Strong"/>
          <w:b w:val="0"/>
          <w:noProof w:val="0"/>
          <w:color w:val="000000"/>
          <w:szCs w:val="20"/>
          <w:shd w:val="clear" w:color="auto" w:fill="FFFFFF"/>
          <w:lang w:val="en-US"/>
        </w:rPr>
        <w:t xml:space="preserve"> </w:t>
      </w:r>
      <w:r w:rsidRPr="00610904">
        <w:rPr>
          <w:noProof w:val="0"/>
          <w:szCs w:val="20"/>
          <w:lang w:val="en-US"/>
        </w:rPr>
        <w:t xml:space="preserve">the statute of limitations was applied to </w:t>
      </w:r>
      <w:r w:rsidR="00A8072E" w:rsidRPr="00610904">
        <w:rPr>
          <w:noProof w:val="0"/>
          <w:szCs w:val="20"/>
          <w:lang w:val="en-US"/>
        </w:rPr>
        <w:t>the criminal action</w:t>
      </w:r>
      <w:r w:rsidR="00B628C2" w:rsidRPr="00610904">
        <w:rPr>
          <w:noProof w:val="0"/>
          <w:szCs w:val="20"/>
          <w:lang w:val="en-US"/>
        </w:rPr>
        <w:t xml:space="preserve"> in</w:t>
      </w:r>
      <w:r w:rsidRPr="00610904">
        <w:rPr>
          <w:noProof w:val="0"/>
          <w:szCs w:val="20"/>
          <w:lang w:val="en-US"/>
        </w:rPr>
        <w:t xml:space="preserve">stituted against the doctor who treated the victim because he could not be found, and after the 10 years established for the application of the statute of limitations, it was declared that </w:t>
      </w:r>
      <w:r w:rsidR="00A8072E" w:rsidRPr="00610904">
        <w:rPr>
          <w:noProof w:val="0"/>
          <w:szCs w:val="16"/>
          <w:lang w:val="en-US"/>
        </w:rPr>
        <w:t>the criminal action</w:t>
      </w:r>
      <w:r w:rsidR="00B628C2" w:rsidRPr="00610904">
        <w:rPr>
          <w:noProof w:val="0"/>
          <w:szCs w:val="16"/>
          <w:lang w:val="en-US"/>
        </w:rPr>
        <w:t xml:space="preserve"> </w:t>
      </w:r>
      <w:r w:rsidRPr="00610904">
        <w:rPr>
          <w:noProof w:val="0"/>
          <w:szCs w:val="16"/>
          <w:lang w:val="en-US"/>
        </w:rPr>
        <w:t>had prescribed.</w:t>
      </w:r>
      <w:r w:rsidR="00B628C2" w:rsidRPr="00610904">
        <w:rPr>
          <w:rStyle w:val="FootnoteReference"/>
          <w:noProof w:val="0"/>
          <w:lang w:val="en-US"/>
        </w:rPr>
        <w:footnoteReference w:id="352"/>
      </w:r>
      <w:r w:rsidRPr="00610904">
        <w:rPr>
          <w:noProof w:val="0"/>
          <w:lang w:val="en-US"/>
        </w:rPr>
        <w:t xml:space="preserve"> Similarly, in the </w:t>
      </w:r>
      <w:r w:rsidR="00B628C2" w:rsidRPr="00610904">
        <w:rPr>
          <w:rStyle w:val="Strong"/>
          <w:b w:val="0"/>
          <w:i/>
          <w:noProof w:val="0"/>
          <w:color w:val="000000"/>
          <w:szCs w:val="16"/>
          <w:shd w:val="clear" w:color="auto" w:fill="FFFFFF"/>
          <w:lang w:val="en-US"/>
        </w:rPr>
        <w:t>Cas</w:t>
      </w:r>
      <w:r w:rsidRPr="00610904">
        <w:rPr>
          <w:rStyle w:val="Strong"/>
          <w:b w:val="0"/>
          <w:i/>
          <w:noProof w:val="0"/>
          <w:color w:val="000000"/>
          <w:szCs w:val="16"/>
          <w:shd w:val="clear" w:color="auto" w:fill="FFFFFF"/>
          <w:lang w:val="en-US"/>
        </w:rPr>
        <w:t>e of</w:t>
      </w:r>
      <w:r w:rsidR="00B628C2" w:rsidRPr="00610904">
        <w:rPr>
          <w:rStyle w:val="Strong"/>
          <w:b w:val="0"/>
          <w:noProof w:val="0"/>
          <w:color w:val="000000"/>
          <w:szCs w:val="16"/>
          <w:shd w:val="clear" w:color="auto" w:fill="FFFFFF"/>
          <w:lang w:val="en-US"/>
        </w:rPr>
        <w:t xml:space="preserve"> </w:t>
      </w:r>
      <w:r w:rsidR="00B628C2" w:rsidRPr="00610904">
        <w:rPr>
          <w:rStyle w:val="Strong"/>
          <w:b w:val="0"/>
          <w:i/>
          <w:noProof w:val="0"/>
          <w:szCs w:val="16"/>
          <w:shd w:val="clear" w:color="auto" w:fill="FFFFFF"/>
          <w:lang w:val="en-US"/>
        </w:rPr>
        <w:t xml:space="preserve">Suárez Peralta </w:t>
      </w:r>
      <w:r w:rsidR="009F3D78" w:rsidRPr="00610904">
        <w:rPr>
          <w:rStyle w:val="Strong"/>
          <w:b w:val="0"/>
          <w:i/>
          <w:noProof w:val="0"/>
          <w:szCs w:val="16"/>
          <w:shd w:val="clear" w:color="auto" w:fill="FFFFFF"/>
          <w:lang w:val="en-US"/>
        </w:rPr>
        <w:t>v.</w:t>
      </w:r>
      <w:r w:rsidR="00B628C2" w:rsidRPr="00610904">
        <w:rPr>
          <w:rStyle w:val="Strong"/>
          <w:b w:val="0"/>
          <w:i/>
          <w:noProof w:val="0"/>
          <w:szCs w:val="16"/>
          <w:shd w:val="clear" w:color="auto" w:fill="FFFFFF"/>
          <w:lang w:val="en-US"/>
        </w:rPr>
        <w:t xml:space="preserve"> Ecuador</w:t>
      </w:r>
      <w:r w:rsidRPr="00610904">
        <w:rPr>
          <w:rStyle w:val="Strong"/>
          <w:b w:val="0"/>
          <w:i/>
          <w:noProof w:val="0"/>
          <w:szCs w:val="16"/>
          <w:shd w:val="clear" w:color="auto" w:fill="FFFFFF"/>
          <w:lang w:val="en-US"/>
        </w:rPr>
        <w:t>,</w:t>
      </w:r>
      <w:r w:rsidR="00B628C2" w:rsidRPr="00610904">
        <w:rPr>
          <w:rStyle w:val="Strong"/>
          <w:b w:val="0"/>
          <w:noProof w:val="0"/>
          <w:color w:val="000000"/>
          <w:szCs w:val="16"/>
          <w:shd w:val="clear" w:color="auto" w:fill="FFFFFF"/>
          <w:lang w:val="en-US"/>
        </w:rPr>
        <w:t xml:space="preserve"> </w:t>
      </w:r>
      <w:r w:rsidRPr="00610904">
        <w:rPr>
          <w:rStyle w:val="Strong"/>
          <w:b w:val="0"/>
          <w:noProof w:val="0"/>
          <w:color w:val="000000"/>
          <w:szCs w:val="16"/>
          <w:shd w:val="clear" w:color="auto" w:fill="FFFFFF"/>
          <w:lang w:val="en-US"/>
        </w:rPr>
        <w:t xml:space="preserve">it was declared that the statute of limitations applied to </w:t>
      </w:r>
      <w:r w:rsidR="00A8072E" w:rsidRPr="00610904">
        <w:rPr>
          <w:noProof w:val="0"/>
          <w:lang w:val="en-US"/>
        </w:rPr>
        <w:t>the criminal action</w:t>
      </w:r>
      <w:r w:rsidR="00B628C2" w:rsidRPr="00610904">
        <w:rPr>
          <w:noProof w:val="0"/>
          <w:lang w:val="en-US"/>
        </w:rPr>
        <w:t xml:space="preserve">, </w:t>
      </w:r>
      <w:r w:rsidRPr="00610904">
        <w:rPr>
          <w:noProof w:val="0"/>
          <w:lang w:val="en-US"/>
        </w:rPr>
        <w:t>conside</w:t>
      </w:r>
      <w:r w:rsidR="004E4EC1" w:rsidRPr="00610904">
        <w:rPr>
          <w:noProof w:val="0"/>
          <w:lang w:val="en-US"/>
        </w:rPr>
        <w:t xml:space="preserve">ring that five years had </w:t>
      </w:r>
      <w:r w:rsidR="00856968" w:rsidRPr="00610904">
        <w:rPr>
          <w:noProof w:val="0"/>
          <w:lang w:val="en-US"/>
        </w:rPr>
        <w:t>elapsed</w:t>
      </w:r>
      <w:r w:rsidRPr="00610904">
        <w:rPr>
          <w:noProof w:val="0"/>
          <w:lang w:val="en-US"/>
        </w:rPr>
        <w:t xml:space="preserve"> since</w:t>
      </w:r>
      <w:r w:rsidR="00D80BC2" w:rsidRPr="00610904">
        <w:rPr>
          <w:noProof w:val="0"/>
          <w:lang w:val="en-US"/>
        </w:rPr>
        <w:t xml:space="preserve"> the </w:t>
      </w:r>
      <w:r w:rsidR="00AC2638" w:rsidRPr="00610904">
        <w:rPr>
          <w:noProof w:val="0"/>
          <w:lang w:val="en-US"/>
        </w:rPr>
        <w:t>order to investigate the alleged offense</w:t>
      </w:r>
      <w:r w:rsidRPr="00610904">
        <w:rPr>
          <w:noProof w:val="0"/>
          <w:lang w:val="en-US"/>
        </w:rPr>
        <w:t xml:space="preserve"> had been issued, owing to the lack of diligence and effectiveness of the agents of justice to advance the investigation of the case.</w:t>
      </w:r>
      <w:r w:rsidR="00B628C2" w:rsidRPr="00610904">
        <w:rPr>
          <w:rStyle w:val="FootnoteReference"/>
          <w:noProof w:val="0"/>
          <w:lang w:val="en-US"/>
        </w:rPr>
        <w:footnoteReference w:id="353"/>
      </w:r>
      <w:r w:rsidR="00B628C2" w:rsidRPr="00610904">
        <w:rPr>
          <w:rStyle w:val="Strong"/>
          <w:b w:val="0"/>
          <w:noProof w:val="0"/>
          <w:color w:val="000000"/>
          <w:szCs w:val="16"/>
          <w:shd w:val="clear" w:color="auto" w:fill="FFFFFF"/>
          <w:lang w:val="en-US"/>
        </w:rPr>
        <w:t xml:space="preserve"> </w:t>
      </w:r>
      <w:r w:rsidR="00B628C2" w:rsidRPr="00610904">
        <w:rPr>
          <w:noProof w:val="0"/>
          <w:lang w:val="en-US"/>
        </w:rPr>
        <w:t xml:space="preserve"> </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BB24ED" w:rsidRPr="00610904">
        <w:rPr>
          <w:noProof w:val="0"/>
          <w:lang w:val="en-US"/>
        </w:rPr>
        <w:t xml:space="preserve"> notes that the repeated lack of due diligence in cases </w:t>
      </w:r>
      <w:r w:rsidR="004E4EC1" w:rsidRPr="00610904">
        <w:rPr>
          <w:noProof w:val="0"/>
          <w:lang w:val="en-US"/>
        </w:rPr>
        <w:t>concerning</w:t>
      </w:r>
      <w:r w:rsidR="00BB24ED" w:rsidRPr="00610904">
        <w:rPr>
          <w:noProof w:val="0"/>
          <w:lang w:val="en-US"/>
        </w:rPr>
        <w:t xml:space="preserve"> the Ecuadorian State has meant that the statute of limitations has applied to </w:t>
      </w:r>
      <w:r w:rsidR="00A8072E" w:rsidRPr="00610904">
        <w:rPr>
          <w:noProof w:val="0"/>
          <w:lang w:val="en-US"/>
        </w:rPr>
        <w:t xml:space="preserve">criminal </w:t>
      </w:r>
      <w:r w:rsidR="004E4EC1" w:rsidRPr="00610904">
        <w:rPr>
          <w:noProof w:val="0"/>
          <w:lang w:val="en-US"/>
        </w:rPr>
        <w:t>proceedings</w:t>
      </w:r>
      <w:r w:rsidR="00B628C2" w:rsidRPr="00610904">
        <w:rPr>
          <w:noProof w:val="0"/>
          <w:lang w:val="en-US"/>
        </w:rPr>
        <w:t xml:space="preserve"> </w:t>
      </w:r>
      <w:r w:rsidR="00BB24ED" w:rsidRPr="00610904">
        <w:rPr>
          <w:noProof w:val="0"/>
          <w:lang w:val="en-US"/>
        </w:rPr>
        <w:t>on numerous occasions. The Court considers that this negligence in criminal proceedings res</w:t>
      </w:r>
      <w:r w:rsidR="004E4EC1" w:rsidRPr="00610904">
        <w:rPr>
          <w:noProof w:val="0"/>
          <w:lang w:val="en-US"/>
        </w:rPr>
        <w:t xml:space="preserve">ults </w:t>
      </w:r>
      <w:r w:rsidR="00BB24ED" w:rsidRPr="00610904">
        <w:rPr>
          <w:noProof w:val="0"/>
          <w:lang w:val="en-US"/>
        </w:rPr>
        <w:t>in a denial of justice in the context of the proceedings, preventing the effective investigation of those responsible.</w:t>
      </w:r>
    </w:p>
    <w:p w:rsidR="00B628C2" w:rsidRPr="00610904" w:rsidRDefault="00B628C2" w:rsidP="00610904">
      <w:pPr>
        <w:rPr>
          <w:noProof w:val="0"/>
          <w:lang w:val="en-US"/>
        </w:rPr>
      </w:pPr>
    </w:p>
    <w:p w:rsidR="00B628C2" w:rsidRPr="00610904" w:rsidRDefault="00BB24ED" w:rsidP="00610904">
      <w:pPr>
        <w:pStyle w:val="Heading6"/>
        <w:numPr>
          <w:ilvl w:val="0"/>
          <w:numId w:val="11"/>
        </w:numPr>
        <w:rPr>
          <w:lang w:val="en-US"/>
        </w:rPr>
      </w:pPr>
      <w:r w:rsidRPr="00610904">
        <w:rPr>
          <w:lang w:val="en-US"/>
        </w:rPr>
        <w:t>The effects on the legal situation of the person involved in the proceeding</w:t>
      </w:r>
      <w:r w:rsidR="00623A6A" w:rsidRPr="00610904">
        <w:rPr>
          <w:lang w:val="en-US"/>
        </w:rPr>
        <w:t>s</w:t>
      </w:r>
      <w:r w:rsidRPr="00610904">
        <w:rPr>
          <w:lang w:val="en-US"/>
        </w:rPr>
        <w:t xml:space="preserve"> and </w:t>
      </w:r>
      <w:r w:rsidR="00623A6A" w:rsidRPr="00610904">
        <w:rPr>
          <w:lang w:val="en-US"/>
        </w:rPr>
        <w:t xml:space="preserve">the </w:t>
      </w:r>
      <w:r w:rsidRPr="00610904">
        <w:rPr>
          <w:lang w:val="en-US"/>
        </w:rPr>
        <w:t>impact on that person’s rights</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B628C2" w:rsidRPr="00610904">
        <w:rPr>
          <w:noProof w:val="0"/>
          <w:lang w:val="en-US"/>
        </w:rPr>
        <w:t xml:space="preserve"> re</w:t>
      </w:r>
      <w:r w:rsidR="00623A6A" w:rsidRPr="00610904">
        <w:rPr>
          <w:noProof w:val="0"/>
          <w:lang w:val="en-US"/>
        </w:rPr>
        <w:t>calls</w:t>
      </w:r>
      <w:r w:rsidR="00C147D9" w:rsidRPr="00610904">
        <w:rPr>
          <w:noProof w:val="0"/>
          <w:lang w:val="en-US"/>
        </w:rPr>
        <w:t xml:space="preserve"> that, in order to determine whether the time is reasonable, it is necessary to take into account the effects caused by the duration of the proceeding</w:t>
      </w:r>
      <w:r w:rsidR="00623A6A" w:rsidRPr="00610904">
        <w:rPr>
          <w:noProof w:val="0"/>
          <w:lang w:val="en-US"/>
        </w:rPr>
        <w:t>s</w:t>
      </w:r>
      <w:r w:rsidR="00C147D9" w:rsidRPr="00610904">
        <w:rPr>
          <w:noProof w:val="0"/>
          <w:lang w:val="en-US"/>
        </w:rPr>
        <w:t xml:space="preserve"> on the legal situation of the person concerned, considering, among other aspects, the subject of the dispute. Thus, the Court has established that if the passage of time has a relevant impa</w:t>
      </w:r>
      <w:r w:rsidR="00623A6A" w:rsidRPr="00610904">
        <w:rPr>
          <w:noProof w:val="0"/>
          <w:lang w:val="en-US"/>
        </w:rPr>
        <w:t>c</w:t>
      </w:r>
      <w:r w:rsidR="00C147D9" w:rsidRPr="00610904">
        <w:rPr>
          <w:noProof w:val="0"/>
          <w:lang w:val="en-US"/>
        </w:rPr>
        <w:t>t on the legal situation of the individual, the proceeding</w:t>
      </w:r>
      <w:r w:rsidR="00623A6A" w:rsidRPr="00610904">
        <w:rPr>
          <w:noProof w:val="0"/>
          <w:lang w:val="en-US"/>
        </w:rPr>
        <w:t>s must</w:t>
      </w:r>
      <w:r w:rsidR="00C147D9" w:rsidRPr="00610904">
        <w:rPr>
          <w:noProof w:val="0"/>
          <w:lang w:val="en-US"/>
        </w:rPr>
        <w:t xml:space="preserve"> advance more diligently so that the case is decided rapidly.</w:t>
      </w:r>
      <w:r w:rsidR="00B628C2" w:rsidRPr="00610904">
        <w:rPr>
          <w:rStyle w:val="FootnoteReference"/>
          <w:noProof w:val="0"/>
          <w:lang w:val="en-US"/>
        </w:rPr>
        <w:footnoteReference w:id="354"/>
      </w:r>
      <w:r w:rsidR="00B628C2" w:rsidRPr="00610904">
        <w:rPr>
          <w:noProof w:val="0"/>
          <w:lang w:val="en-US"/>
        </w:rPr>
        <w:t xml:space="preserve"> </w:t>
      </w:r>
    </w:p>
    <w:p w:rsidR="00B628C2" w:rsidRPr="00610904" w:rsidRDefault="00B628C2" w:rsidP="00610904">
      <w:pPr>
        <w:rPr>
          <w:noProof w:val="0"/>
          <w:lang w:val="en-US"/>
        </w:rPr>
      </w:pPr>
    </w:p>
    <w:p w:rsidR="00B628C2" w:rsidRPr="00610904" w:rsidRDefault="00C147D9" w:rsidP="00610904">
      <w:pPr>
        <w:numPr>
          <w:ilvl w:val="0"/>
          <w:numId w:val="1"/>
        </w:numPr>
        <w:contextualSpacing/>
        <w:rPr>
          <w:noProof w:val="0"/>
          <w:lang w:val="en-US"/>
        </w:rPr>
      </w:pPr>
      <w:r w:rsidRPr="00610904">
        <w:rPr>
          <w:noProof w:val="0"/>
          <w:lang w:val="en-US"/>
        </w:rPr>
        <w:t>In this case</w:t>
      </w:r>
      <w:r w:rsidR="00B628C2" w:rsidRPr="00610904">
        <w:rPr>
          <w:noProof w:val="0"/>
          <w:lang w:val="en-US"/>
        </w:rPr>
        <w:t xml:space="preserve">, </w:t>
      </w:r>
      <w:r w:rsidR="00623A6A" w:rsidRPr="00610904">
        <w:rPr>
          <w:noProof w:val="0"/>
          <w:lang w:val="en-US"/>
        </w:rPr>
        <w:t>with regard to</w:t>
      </w:r>
      <w:r w:rsidRPr="00610904">
        <w:rPr>
          <w:noProof w:val="0"/>
          <w:lang w:val="en-US"/>
        </w:rPr>
        <w:t xml:space="preserve"> the </w:t>
      </w:r>
      <w:r w:rsidR="00521F86" w:rsidRPr="00610904">
        <w:rPr>
          <w:noProof w:val="0"/>
          <w:lang w:val="en-US"/>
        </w:rPr>
        <w:t>criminal proceedings,</w:t>
      </w:r>
      <w:r w:rsidRPr="00610904">
        <w:rPr>
          <w:noProof w:val="0"/>
          <w:lang w:val="en-US"/>
        </w:rPr>
        <w:t xml:space="preserve"> the Court consider</w:t>
      </w:r>
      <w:r w:rsidR="00623A6A" w:rsidRPr="00610904">
        <w:rPr>
          <w:noProof w:val="0"/>
          <w:lang w:val="en-US"/>
        </w:rPr>
        <w:t>s</w:t>
      </w:r>
      <w:r w:rsidRPr="00610904">
        <w:rPr>
          <w:noProof w:val="0"/>
          <w:lang w:val="en-US"/>
        </w:rPr>
        <w:t xml:space="preserve"> that, even though Talía’s legal situation was not affected, her personal health situation, her condition as </w:t>
      </w:r>
      <w:r w:rsidRPr="00610904">
        <w:rPr>
          <w:noProof w:val="0"/>
          <w:lang w:val="en-US"/>
        </w:rPr>
        <w:lastRenderedPageBreak/>
        <w:t xml:space="preserve">a child, and the medical treatment that she required were affected, </w:t>
      </w:r>
      <w:r w:rsidR="00623A6A" w:rsidRPr="00610904">
        <w:rPr>
          <w:noProof w:val="0"/>
          <w:lang w:val="en-US"/>
        </w:rPr>
        <w:t>bearing in mind the financial situation</w:t>
      </w:r>
      <w:r w:rsidRPr="00610904">
        <w:rPr>
          <w:noProof w:val="0"/>
          <w:lang w:val="en-US"/>
        </w:rPr>
        <w:t xml:space="preserve"> of her family and the resulting difficulties. W</w:t>
      </w:r>
      <w:r w:rsidR="00623A6A" w:rsidRPr="00610904">
        <w:rPr>
          <w:noProof w:val="0"/>
          <w:lang w:val="en-US"/>
        </w:rPr>
        <w:t>ithout a</w:t>
      </w:r>
      <w:r w:rsidRPr="00610904">
        <w:rPr>
          <w:noProof w:val="0"/>
          <w:lang w:val="en-US"/>
        </w:rPr>
        <w:t xml:space="preserve"> criminal judgment </w:t>
      </w:r>
      <w:r w:rsidR="00623A6A" w:rsidRPr="00610904">
        <w:rPr>
          <w:noProof w:val="0"/>
          <w:lang w:val="en-US"/>
        </w:rPr>
        <w:t>determining</w:t>
      </w:r>
      <w:r w:rsidRPr="00610904">
        <w:rPr>
          <w:noProof w:val="0"/>
          <w:lang w:val="en-US"/>
        </w:rPr>
        <w:t xml:space="preserve"> those responsible for the infection of Talía, it was not possible to establish those responsible for the payment of damages, a situation that had an impact on Talía’s life and prolonged her family’s difficult financial situation</w:t>
      </w:r>
      <w:r w:rsidR="00B628C2" w:rsidRPr="00610904">
        <w:rPr>
          <w:noProof w:val="0"/>
          <w:lang w:val="en-US"/>
        </w:rPr>
        <w:t xml:space="preserve"> (</w:t>
      </w:r>
      <w:r w:rsidR="00B628C2" w:rsidRPr="00610904">
        <w:rPr>
          <w:i/>
          <w:noProof w:val="0"/>
          <w:lang w:val="en-US"/>
        </w:rPr>
        <w:t>supra</w:t>
      </w:r>
      <w:r w:rsidR="00B628C2" w:rsidRPr="00610904">
        <w:rPr>
          <w:noProof w:val="0"/>
          <w:lang w:val="en-US"/>
        </w:rPr>
        <w:t xml:space="preserve"> </w:t>
      </w:r>
      <w:r w:rsidR="006E502B" w:rsidRPr="00610904">
        <w:rPr>
          <w:noProof w:val="0"/>
          <w:lang w:val="en-US"/>
        </w:rPr>
        <w:t>para.</w:t>
      </w:r>
      <w:r w:rsidR="00B628C2" w:rsidRPr="00610904">
        <w:rPr>
          <w:noProof w:val="0"/>
          <w:lang w:val="en-US"/>
        </w:rPr>
        <w:t xml:space="preserve"> 131). </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C147D9" w:rsidRPr="00610904">
        <w:rPr>
          <w:noProof w:val="0"/>
          <w:lang w:val="en-US"/>
        </w:rPr>
        <w:t xml:space="preserve"> considers that, in this case, an exceptional due diligence was required owing to Talía’s spe</w:t>
      </w:r>
      <w:r w:rsidR="00623A6A" w:rsidRPr="00610904">
        <w:rPr>
          <w:noProof w:val="0"/>
          <w:lang w:val="en-US"/>
        </w:rPr>
        <w:t>cial situation of vulnerability; thus,</w:t>
      </w:r>
      <w:r w:rsidR="00C147D9" w:rsidRPr="00610904">
        <w:rPr>
          <w:noProof w:val="0"/>
          <w:lang w:val="en-US"/>
        </w:rPr>
        <w:t xml:space="preserve"> it was essential to take pertinent measu</w:t>
      </w:r>
      <w:r w:rsidR="00623A6A" w:rsidRPr="00610904">
        <w:rPr>
          <w:noProof w:val="0"/>
          <w:lang w:val="en-US"/>
        </w:rPr>
        <w:t>res in order to avoid delays in processing</w:t>
      </w:r>
      <w:r w:rsidR="00C147D9" w:rsidRPr="00610904">
        <w:rPr>
          <w:noProof w:val="0"/>
          <w:lang w:val="en-US"/>
        </w:rPr>
        <w:t xml:space="preserve"> the proceedings, </w:t>
      </w:r>
      <w:r w:rsidR="00623A6A" w:rsidRPr="00610904">
        <w:rPr>
          <w:noProof w:val="0"/>
          <w:lang w:val="en-US"/>
        </w:rPr>
        <w:t xml:space="preserve">and </w:t>
      </w:r>
      <w:r w:rsidR="00C147D9" w:rsidRPr="00610904">
        <w:rPr>
          <w:noProof w:val="0"/>
          <w:lang w:val="en-US"/>
        </w:rPr>
        <w:t>to ensure</w:t>
      </w:r>
      <w:r w:rsidR="00623A6A" w:rsidRPr="00610904">
        <w:rPr>
          <w:noProof w:val="0"/>
          <w:lang w:val="en-US"/>
        </w:rPr>
        <w:t xml:space="preserve"> a prompt decision and its swift execution</w:t>
      </w:r>
      <w:r w:rsidR="00C147D9" w:rsidRPr="00610904">
        <w:rPr>
          <w:noProof w:val="0"/>
          <w:lang w:val="en-US"/>
        </w:rPr>
        <w:t>.</w:t>
      </w:r>
      <w:r w:rsidR="00B628C2" w:rsidRPr="00610904">
        <w:rPr>
          <w:rStyle w:val="FootnoteReference"/>
          <w:noProof w:val="0"/>
          <w:lang w:val="en-US"/>
        </w:rPr>
        <w:footnoteReference w:id="355"/>
      </w:r>
      <w:r w:rsidR="00C147D9" w:rsidRPr="00610904">
        <w:rPr>
          <w:noProof w:val="0"/>
          <w:szCs w:val="20"/>
          <w:lang w:val="en-US"/>
        </w:rPr>
        <w:t xml:space="preserve"> </w:t>
      </w:r>
      <w:r w:rsidR="00623A6A" w:rsidRPr="00610904">
        <w:rPr>
          <w:noProof w:val="0"/>
          <w:szCs w:val="20"/>
          <w:lang w:val="en-US"/>
        </w:rPr>
        <w:t>The</w:t>
      </w:r>
      <w:r w:rsidR="00C147D9" w:rsidRPr="00610904">
        <w:rPr>
          <w:noProof w:val="0"/>
          <w:szCs w:val="20"/>
          <w:lang w:val="en-US"/>
        </w:rPr>
        <w:t xml:space="preserve"> Court </w:t>
      </w:r>
      <w:r w:rsidR="00D5755E" w:rsidRPr="00610904">
        <w:rPr>
          <w:noProof w:val="0"/>
          <w:szCs w:val="20"/>
          <w:lang w:val="en-US"/>
        </w:rPr>
        <w:t>also underlines that</w:t>
      </w:r>
      <w:r w:rsidR="00C147D9" w:rsidRPr="00610904">
        <w:rPr>
          <w:noProof w:val="0"/>
          <w:szCs w:val="20"/>
          <w:lang w:val="en-US"/>
        </w:rPr>
        <w:t xml:space="preserve"> a criminal conviction</w:t>
      </w:r>
      <w:r w:rsidR="00D5755E" w:rsidRPr="00610904">
        <w:rPr>
          <w:noProof w:val="0"/>
          <w:szCs w:val="20"/>
          <w:lang w:val="en-US"/>
        </w:rPr>
        <w:t xml:space="preserve"> was required</w:t>
      </w:r>
      <w:r w:rsidR="00C147D9" w:rsidRPr="00610904">
        <w:rPr>
          <w:noProof w:val="0"/>
          <w:szCs w:val="20"/>
          <w:lang w:val="en-US"/>
        </w:rPr>
        <w:t xml:space="preserve"> in order to have recourse to the civil jurisdiction, </w:t>
      </w:r>
      <w:r w:rsidR="00D5755E" w:rsidRPr="00610904">
        <w:rPr>
          <w:noProof w:val="0"/>
          <w:szCs w:val="20"/>
          <w:lang w:val="en-US"/>
        </w:rPr>
        <w:t>and this entai</w:t>
      </w:r>
      <w:r w:rsidR="00C147D9" w:rsidRPr="00610904">
        <w:rPr>
          <w:noProof w:val="0"/>
          <w:szCs w:val="20"/>
          <w:lang w:val="en-US"/>
        </w:rPr>
        <w:t>led an enhanced obligation to act with due diligence in the criminal proceeding.</w:t>
      </w:r>
    </w:p>
    <w:p w:rsidR="00B628C2" w:rsidRPr="00610904" w:rsidRDefault="00B628C2" w:rsidP="00610904">
      <w:pPr>
        <w:rPr>
          <w:noProof w:val="0"/>
          <w:lang w:val="en-US"/>
        </w:rPr>
      </w:pPr>
    </w:p>
    <w:p w:rsidR="00B628C2" w:rsidRPr="00610904" w:rsidRDefault="00C147D9" w:rsidP="00610904">
      <w:pPr>
        <w:numPr>
          <w:ilvl w:val="0"/>
          <w:numId w:val="1"/>
        </w:numPr>
        <w:contextualSpacing/>
        <w:rPr>
          <w:noProof w:val="0"/>
          <w:lang w:val="en-US"/>
        </w:rPr>
      </w:pPr>
      <w:r w:rsidRPr="00610904">
        <w:rPr>
          <w:rFonts w:cs="Arial"/>
          <w:noProof w:val="0"/>
          <w:lang w:val="en-US"/>
        </w:rPr>
        <w:t>In this regard, this Court has established that it is necessary to act with special promp</w:t>
      </w:r>
      <w:r w:rsidR="00D5755E" w:rsidRPr="00610904">
        <w:rPr>
          <w:rFonts w:cs="Arial"/>
          <w:noProof w:val="0"/>
          <w:lang w:val="en-US"/>
        </w:rPr>
        <w:t>tness when, owing to the design</w:t>
      </w:r>
      <w:r w:rsidRPr="00610904">
        <w:rPr>
          <w:rFonts w:cs="Arial"/>
          <w:noProof w:val="0"/>
          <w:lang w:val="en-US"/>
        </w:rPr>
        <w:t xml:space="preserve"> of the domestic laws, the possibility of filing a civil action for damages depends on the criminal proceeding.</w:t>
      </w:r>
      <w:r w:rsidR="00B628C2" w:rsidRPr="00610904">
        <w:rPr>
          <w:rStyle w:val="FootnoteReference"/>
          <w:rFonts w:cs="Arial"/>
          <w:noProof w:val="0"/>
          <w:lang w:val="en-US"/>
        </w:rPr>
        <w:footnoteReference w:id="356"/>
      </w:r>
      <w:r w:rsidRPr="00610904">
        <w:rPr>
          <w:rFonts w:cs="Arial"/>
          <w:noProof w:val="0"/>
          <w:lang w:val="en-US"/>
        </w:rPr>
        <w:t xml:space="preserve"> Moreover, the </w:t>
      </w:r>
      <w:r w:rsidR="00215C41" w:rsidRPr="00610904">
        <w:rPr>
          <w:noProof w:val="0"/>
          <w:szCs w:val="22"/>
          <w:lang w:val="en-US"/>
        </w:rPr>
        <w:t>European Court</w:t>
      </w:r>
      <w:r w:rsidR="00B628C2" w:rsidRPr="00610904">
        <w:rPr>
          <w:noProof w:val="0"/>
          <w:szCs w:val="22"/>
          <w:lang w:val="en-US"/>
        </w:rPr>
        <w:t xml:space="preserve"> h</w:t>
      </w:r>
      <w:r w:rsidR="00D5755E" w:rsidRPr="00610904">
        <w:rPr>
          <w:noProof w:val="0"/>
          <w:szCs w:val="22"/>
          <w:lang w:val="en-US"/>
        </w:rPr>
        <w:t>as indicated that</w:t>
      </w:r>
      <w:r w:rsidRPr="00610904">
        <w:rPr>
          <w:noProof w:val="0"/>
          <w:szCs w:val="22"/>
          <w:lang w:val="en-US"/>
        </w:rPr>
        <w:t xml:space="preserve"> special diligence is required in those cases in which the integrity of the individual is at stake.</w:t>
      </w:r>
      <w:r w:rsidR="00B628C2" w:rsidRPr="00610904">
        <w:rPr>
          <w:rStyle w:val="FootnoteReference"/>
          <w:noProof w:val="0"/>
          <w:szCs w:val="22"/>
          <w:lang w:val="en-US"/>
        </w:rPr>
        <w:footnoteReference w:id="357"/>
      </w:r>
      <w:r w:rsidR="00D5755E" w:rsidRPr="00610904">
        <w:rPr>
          <w:noProof w:val="0"/>
          <w:szCs w:val="22"/>
          <w:lang w:val="en-US"/>
        </w:rPr>
        <w:t xml:space="preserve"> </w:t>
      </w:r>
    </w:p>
    <w:p w:rsidR="00B628C2" w:rsidRPr="00610904" w:rsidRDefault="00B628C2" w:rsidP="00610904">
      <w:pPr>
        <w:rPr>
          <w:noProof w:val="0"/>
          <w:lang w:val="en-US"/>
        </w:rPr>
      </w:pPr>
    </w:p>
    <w:p w:rsidR="00B628C2" w:rsidRPr="00610904" w:rsidRDefault="00D608E3" w:rsidP="00610904">
      <w:pPr>
        <w:numPr>
          <w:ilvl w:val="0"/>
          <w:numId w:val="1"/>
        </w:numPr>
        <w:contextualSpacing/>
        <w:rPr>
          <w:noProof w:val="0"/>
          <w:lang w:val="en-US"/>
        </w:rPr>
      </w:pPr>
      <w:r w:rsidRPr="00610904">
        <w:rPr>
          <w:noProof w:val="0"/>
          <w:lang w:val="en-US"/>
        </w:rPr>
        <w:t>In addition, the</w:t>
      </w:r>
      <w:r w:rsidR="00215C41" w:rsidRPr="00610904">
        <w:rPr>
          <w:noProof w:val="0"/>
          <w:lang w:val="en-US"/>
        </w:rPr>
        <w:t xml:space="preserve"> European Court</w:t>
      </w:r>
      <w:r w:rsidR="00B628C2" w:rsidRPr="00610904">
        <w:rPr>
          <w:noProof w:val="0"/>
          <w:lang w:val="en-US"/>
        </w:rPr>
        <w:t xml:space="preserve"> ha</w:t>
      </w:r>
      <w:r w:rsidRPr="00610904">
        <w:rPr>
          <w:noProof w:val="0"/>
          <w:lang w:val="en-US"/>
        </w:rPr>
        <w:t>s heard cases in which the deliberation</w:t>
      </w:r>
      <w:r w:rsidR="00D5755E" w:rsidRPr="00610904">
        <w:rPr>
          <w:noProof w:val="0"/>
          <w:lang w:val="en-US"/>
        </w:rPr>
        <w:t xml:space="preserve">s </w:t>
      </w:r>
      <w:r w:rsidRPr="00610904">
        <w:rPr>
          <w:noProof w:val="0"/>
          <w:lang w:val="en-US"/>
        </w:rPr>
        <w:t xml:space="preserve">related to the situation of a </w:t>
      </w:r>
      <w:r w:rsidR="00D5755E" w:rsidRPr="00610904">
        <w:rPr>
          <w:noProof w:val="0"/>
          <w:lang w:val="en-US"/>
        </w:rPr>
        <w:t>person with HIV. In the case of</w:t>
      </w:r>
      <w:r w:rsidR="00B628C2" w:rsidRPr="00610904">
        <w:rPr>
          <w:noProof w:val="0"/>
          <w:lang w:val="en-US"/>
        </w:rPr>
        <w:t xml:space="preserve"> </w:t>
      </w:r>
      <w:r w:rsidR="00B628C2" w:rsidRPr="00610904">
        <w:rPr>
          <w:i/>
          <w:noProof w:val="0"/>
          <w:lang w:val="en-US"/>
        </w:rPr>
        <w:t xml:space="preserve">X </w:t>
      </w:r>
      <w:r w:rsidR="009F3D78" w:rsidRPr="00610904">
        <w:rPr>
          <w:i/>
          <w:noProof w:val="0"/>
          <w:lang w:val="en-US"/>
        </w:rPr>
        <w:t>v.</w:t>
      </w:r>
      <w:r w:rsidRPr="00610904">
        <w:rPr>
          <w:i/>
          <w:noProof w:val="0"/>
          <w:lang w:val="en-US"/>
        </w:rPr>
        <w:t xml:space="preserve"> France</w:t>
      </w:r>
      <w:r w:rsidR="00B628C2" w:rsidRPr="00610904">
        <w:rPr>
          <w:i/>
          <w:noProof w:val="0"/>
          <w:lang w:val="en-US"/>
        </w:rPr>
        <w:t>,</w:t>
      </w:r>
      <w:r w:rsidR="00B628C2" w:rsidRPr="00610904">
        <w:rPr>
          <w:noProof w:val="0"/>
          <w:lang w:val="en-US"/>
        </w:rPr>
        <w:t xml:space="preserve"> </w:t>
      </w:r>
      <w:r w:rsidR="009F3D78" w:rsidRPr="00610904">
        <w:rPr>
          <w:noProof w:val="0"/>
          <w:lang w:val="en-US"/>
        </w:rPr>
        <w:t xml:space="preserve">the </w:t>
      </w:r>
      <w:r w:rsidR="00215C41" w:rsidRPr="00610904">
        <w:rPr>
          <w:noProof w:val="0"/>
          <w:lang w:val="en-US"/>
        </w:rPr>
        <w:t>European Court</w:t>
      </w:r>
      <w:r w:rsidRPr="00610904">
        <w:rPr>
          <w:noProof w:val="0"/>
          <w:lang w:val="en-US"/>
        </w:rPr>
        <w:t xml:space="preserve"> examined the failure to comply with the judicial guarantees, taking “the view that wha</w:t>
      </w:r>
      <w:r w:rsidR="00D5755E" w:rsidRPr="00610904">
        <w:rPr>
          <w:noProof w:val="0"/>
          <w:lang w:val="en-US"/>
        </w:rPr>
        <w:t>t was at stake in the contested</w:t>
      </w:r>
      <w:r w:rsidRPr="00610904">
        <w:rPr>
          <w:noProof w:val="0"/>
          <w:lang w:val="en-US"/>
        </w:rPr>
        <w:t xml:space="preserve"> proceedings was of crucial importance for the applicant, </w:t>
      </w:r>
      <w:r w:rsidR="00D5755E" w:rsidRPr="00610904">
        <w:rPr>
          <w:noProof w:val="0"/>
          <w:lang w:val="en-US"/>
        </w:rPr>
        <w:t>having rega</w:t>
      </w:r>
      <w:r w:rsidRPr="00610904">
        <w:rPr>
          <w:noProof w:val="0"/>
          <w:lang w:val="en-US"/>
        </w:rPr>
        <w:t xml:space="preserve">rd to the incurable disease from which he was suffering.” That Court indicated that “exceptional diligence” was called for in the said case, notwithstanding the number of cases </w:t>
      </w:r>
      <w:r w:rsidR="00D5755E" w:rsidRPr="00610904">
        <w:rPr>
          <w:noProof w:val="0"/>
          <w:lang w:val="en-US"/>
        </w:rPr>
        <w:t>that</w:t>
      </w:r>
      <w:r w:rsidRPr="00610904">
        <w:rPr>
          <w:noProof w:val="0"/>
          <w:lang w:val="en-US"/>
        </w:rPr>
        <w:t xml:space="preserve"> were pending.</w:t>
      </w:r>
      <w:r w:rsidR="00B628C2" w:rsidRPr="00610904">
        <w:rPr>
          <w:rStyle w:val="FootnoteReference"/>
          <w:noProof w:val="0"/>
          <w:lang w:val="en-US"/>
        </w:rPr>
        <w:footnoteReference w:id="358"/>
      </w:r>
      <w:r w:rsidR="00B628C2" w:rsidRPr="00610904">
        <w:rPr>
          <w:noProof w:val="0"/>
          <w:lang w:val="en-US"/>
        </w:rPr>
        <w:t xml:space="preserve"> </w:t>
      </w:r>
      <w:r w:rsidRPr="00610904">
        <w:rPr>
          <w:noProof w:val="0"/>
          <w:lang w:val="en-US"/>
        </w:rPr>
        <w:t>Also</w:t>
      </w:r>
      <w:r w:rsidR="00B628C2" w:rsidRPr="00610904">
        <w:rPr>
          <w:noProof w:val="0"/>
          <w:lang w:val="en-US"/>
        </w:rPr>
        <w:t xml:space="preserve">, </w:t>
      </w:r>
      <w:r w:rsidRPr="00610904">
        <w:rPr>
          <w:noProof w:val="0"/>
          <w:lang w:val="en-US"/>
        </w:rPr>
        <w:t>in the case of</w:t>
      </w:r>
      <w:r w:rsidR="00B628C2" w:rsidRPr="00610904">
        <w:rPr>
          <w:noProof w:val="0"/>
          <w:lang w:val="en-US"/>
        </w:rPr>
        <w:t xml:space="preserve"> </w:t>
      </w:r>
      <w:r w:rsidR="00B628C2" w:rsidRPr="00610904">
        <w:rPr>
          <w:i/>
          <w:noProof w:val="0"/>
          <w:lang w:val="en-US"/>
        </w:rPr>
        <w:t xml:space="preserve">F.E. </w:t>
      </w:r>
      <w:r w:rsidR="009F3D78" w:rsidRPr="00610904">
        <w:rPr>
          <w:i/>
          <w:noProof w:val="0"/>
          <w:lang w:val="en-US"/>
        </w:rPr>
        <w:t>v.</w:t>
      </w:r>
      <w:r w:rsidRPr="00610904">
        <w:rPr>
          <w:i/>
          <w:noProof w:val="0"/>
          <w:lang w:val="en-US"/>
        </w:rPr>
        <w:t xml:space="preserve"> France</w:t>
      </w:r>
      <w:r w:rsidR="00B628C2" w:rsidRPr="00610904">
        <w:rPr>
          <w:noProof w:val="0"/>
          <w:lang w:val="en-US"/>
        </w:rPr>
        <w:t xml:space="preserve">, </w:t>
      </w:r>
      <w:r w:rsidRPr="00610904">
        <w:rPr>
          <w:noProof w:val="0"/>
          <w:lang w:val="en-US"/>
        </w:rPr>
        <w:t>the</w:t>
      </w:r>
      <w:r w:rsidR="00215C41" w:rsidRPr="00610904">
        <w:rPr>
          <w:noProof w:val="0"/>
          <w:lang w:val="en-US"/>
        </w:rPr>
        <w:t xml:space="preserve"> European Court</w:t>
      </w:r>
      <w:r w:rsidR="00B628C2" w:rsidRPr="00610904">
        <w:rPr>
          <w:noProof w:val="0"/>
          <w:lang w:val="en-US"/>
        </w:rPr>
        <w:t xml:space="preserve"> </w:t>
      </w:r>
      <w:r w:rsidRPr="00610904">
        <w:rPr>
          <w:noProof w:val="0"/>
          <w:lang w:val="en-US"/>
        </w:rPr>
        <w:t xml:space="preserve">indicated that this exceptional diligence was called for, </w:t>
      </w:r>
      <w:r w:rsidR="00D5755E" w:rsidRPr="00610904">
        <w:rPr>
          <w:noProof w:val="0"/>
          <w:lang w:val="en-US"/>
        </w:rPr>
        <w:t>despite</w:t>
      </w:r>
      <w:r w:rsidRPr="00610904">
        <w:rPr>
          <w:noProof w:val="0"/>
          <w:lang w:val="en-US"/>
        </w:rPr>
        <w:t xml:space="preserve"> a certain </w:t>
      </w:r>
      <w:r w:rsidR="00856968" w:rsidRPr="00610904">
        <w:rPr>
          <w:noProof w:val="0"/>
          <w:lang w:val="en-US"/>
        </w:rPr>
        <w:t>complexity in</w:t>
      </w:r>
      <w:r w:rsidRPr="00610904">
        <w:rPr>
          <w:noProof w:val="0"/>
          <w:lang w:val="en-US"/>
        </w:rPr>
        <w:t xml:space="preserve"> this type of case.</w:t>
      </w:r>
      <w:r w:rsidR="00B628C2" w:rsidRPr="00610904">
        <w:rPr>
          <w:rStyle w:val="FootnoteReference"/>
          <w:noProof w:val="0"/>
          <w:lang w:val="en-US"/>
        </w:rPr>
        <w:footnoteReference w:id="359"/>
      </w:r>
      <w:r w:rsidR="00B628C2" w:rsidRPr="00610904">
        <w:rPr>
          <w:noProof w:val="0"/>
          <w:lang w:val="en-US"/>
        </w:rPr>
        <w:t>.</w:t>
      </w:r>
    </w:p>
    <w:p w:rsidR="00B628C2" w:rsidRPr="00610904" w:rsidRDefault="00B628C2" w:rsidP="00610904">
      <w:pPr>
        <w:rPr>
          <w:noProof w:val="0"/>
          <w:lang w:val="en-US"/>
        </w:rPr>
      </w:pPr>
    </w:p>
    <w:p w:rsidR="00B628C2" w:rsidRPr="00610904" w:rsidRDefault="00D608E3" w:rsidP="00610904">
      <w:pPr>
        <w:numPr>
          <w:ilvl w:val="0"/>
          <w:numId w:val="1"/>
        </w:numPr>
        <w:contextualSpacing/>
        <w:rPr>
          <w:noProof w:val="0"/>
          <w:lang w:val="en-US"/>
        </w:rPr>
      </w:pPr>
      <w:r w:rsidRPr="00610904">
        <w:rPr>
          <w:noProof w:val="0"/>
          <w:lang w:val="en-US"/>
        </w:rPr>
        <w:t xml:space="preserve">In a similar situation, this Court considered that: </w:t>
      </w:r>
    </w:p>
    <w:p w:rsidR="00B628C2" w:rsidRPr="00610904" w:rsidRDefault="00B628C2" w:rsidP="00610904">
      <w:pPr>
        <w:rPr>
          <w:noProof w:val="0"/>
          <w:sz w:val="18"/>
          <w:szCs w:val="18"/>
          <w:lang w:val="en-US"/>
        </w:rPr>
      </w:pPr>
    </w:p>
    <w:p w:rsidR="00B628C2" w:rsidRPr="0067538E" w:rsidRDefault="007F5E22" w:rsidP="0067538E">
      <w:pPr>
        <w:autoSpaceDE w:val="0"/>
        <w:autoSpaceDN w:val="0"/>
        <w:adjustRightInd w:val="0"/>
        <w:ind w:left="709" w:right="475"/>
        <w:rPr>
          <w:noProof w:val="0"/>
          <w:sz w:val="16"/>
          <w:szCs w:val="16"/>
          <w:lang w:val="en-US"/>
        </w:rPr>
      </w:pPr>
      <w:r w:rsidRPr="0067538E">
        <w:rPr>
          <w:noProof w:val="0"/>
          <w:sz w:val="16"/>
          <w:szCs w:val="16"/>
          <w:lang w:val="en-US"/>
        </w:rPr>
        <w:t xml:space="preserve">The failure to conclude the criminal proceedings ha[d] had particular repercussions […], because, under the State’s laws, civil reparation for the harm caused </w:t>
      </w:r>
      <w:r w:rsidR="00D5755E" w:rsidRPr="0067538E">
        <w:rPr>
          <w:noProof w:val="0"/>
          <w:sz w:val="16"/>
          <w:szCs w:val="16"/>
          <w:lang w:val="en-US"/>
        </w:rPr>
        <w:t>by a wrongful act defined under</w:t>
      </w:r>
      <w:r w:rsidRPr="0067538E">
        <w:rPr>
          <w:noProof w:val="0"/>
          <w:sz w:val="16"/>
          <w:szCs w:val="16"/>
          <w:lang w:val="en-US"/>
        </w:rPr>
        <w:t xml:space="preserve"> the criminal law</w:t>
      </w:r>
      <w:r w:rsidR="00D5755E" w:rsidRPr="0067538E">
        <w:rPr>
          <w:noProof w:val="0"/>
          <w:sz w:val="16"/>
          <w:szCs w:val="16"/>
          <w:lang w:val="en-US"/>
        </w:rPr>
        <w:t>s</w:t>
      </w:r>
      <w:r w:rsidRPr="0067538E">
        <w:rPr>
          <w:noProof w:val="0"/>
          <w:sz w:val="16"/>
          <w:szCs w:val="16"/>
          <w:lang w:val="en-US"/>
        </w:rPr>
        <w:t xml:space="preserve"> could be subject to the</w:t>
      </w:r>
      <w:r w:rsidR="00D5755E" w:rsidRPr="0067538E">
        <w:rPr>
          <w:noProof w:val="0"/>
          <w:sz w:val="16"/>
          <w:szCs w:val="16"/>
          <w:lang w:val="en-US"/>
        </w:rPr>
        <w:t xml:space="preserve"> establishment of the crime in</w:t>
      </w:r>
      <w:r w:rsidRPr="0067538E">
        <w:rPr>
          <w:noProof w:val="0"/>
          <w:sz w:val="16"/>
          <w:szCs w:val="16"/>
          <w:lang w:val="en-US"/>
        </w:rPr>
        <w:t xml:space="preserve"> </w:t>
      </w:r>
      <w:r w:rsidR="00D5755E" w:rsidRPr="0067538E">
        <w:rPr>
          <w:noProof w:val="0"/>
          <w:sz w:val="16"/>
          <w:szCs w:val="16"/>
          <w:lang w:val="en-US"/>
        </w:rPr>
        <w:t xml:space="preserve">criminal proceedings; hence, </w:t>
      </w:r>
      <w:r w:rsidRPr="0067538E">
        <w:rPr>
          <w:noProof w:val="0"/>
          <w:sz w:val="16"/>
          <w:szCs w:val="16"/>
          <w:lang w:val="en-US"/>
        </w:rPr>
        <w:t>no</w:t>
      </w:r>
      <w:r w:rsidR="00D5755E" w:rsidRPr="0067538E">
        <w:rPr>
          <w:noProof w:val="0"/>
          <w:sz w:val="16"/>
          <w:szCs w:val="16"/>
          <w:lang w:val="en-US"/>
        </w:rPr>
        <w:t xml:space="preserve"> first instance</w:t>
      </w:r>
      <w:r w:rsidRPr="0067538E">
        <w:rPr>
          <w:noProof w:val="0"/>
          <w:sz w:val="16"/>
          <w:szCs w:val="16"/>
          <w:lang w:val="en-US"/>
        </w:rPr>
        <w:t xml:space="preserve"> judgment had been delivered </w:t>
      </w:r>
      <w:r w:rsidR="00D5755E" w:rsidRPr="0067538E">
        <w:rPr>
          <w:noProof w:val="0"/>
          <w:sz w:val="16"/>
          <w:szCs w:val="16"/>
          <w:lang w:val="en-US"/>
        </w:rPr>
        <w:t>in the civil action</w:t>
      </w:r>
      <w:r w:rsidRPr="0067538E">
        <w:rPr>
          <w:noProof w:val="0"/>
          <w:sz w:val="16"/>
          <w:szCs w:val="16"/>
          <w:lang w:val="en-US"/>
        </w:rPr>
        <w:t xml:space="preserve"> for damages either. In other words, the lack of justice in the criminal jurisdiction ha[d] prevented [obtaining] civil compensation for the facts of the […] case.</w:t>
      </w:r>
      <w:r w:rsidR="00B628C2" w:rsidRPr="0067538E">
        <w:rPr>
          <w:noProof w:val="0"/>
          <w:sz w:val="16"/>
          <w:szCs w:val="16"/>
          <w:vertAlign w:val="superscript"/>
          <w:lang w:val="en-US"/>
        </w:rPr>
        <w:footnoteReference w:id="360"/>
      </w:r>
    </w:p>
    <w:p w:rsidR="00B628C2" w:rsidRPr="00610904" w:rsidRDefault="00B628C2" w:rsidP="00610904">
      <w:pPr>
        <w:rPr>
          <w:noProof w:val="0"/>
          <w:lang w:val="en-US"/>
        </w:rPr>
      </w:pPr>
    </w:p>
    <w:p w:rsidR="00B628C2" w:rsidRPr="00610904" w:rsidRDefault="00B628C2" w:rsidP="00610904">
      <w:pPr>
        <w:numPr>
          <w:ilvl w:val="0"/>
          <w:numId w:val="1"/>
        </w:numPr>
        <w:contextualSpacing/>
        <w:rPr>
          <w:noProof w:val="0"/>
          <w:lang w:val="en-US"/>
        </w:rPr>
      </w:pPr>
      <w:r w:rsidRPr="00610904">
        <w:rPr>
          <w:noProof w:val="0"/>
          <w:lang w:val="en-US"/>
        </w:rPr>
        <w:t>T</w:t>
      </w:r>
      <w:r w:rsidR="007F5E22" w:rsidRPr="00610904">
        <w:rPr>
          <w:noProof w:val="0"/>
          <w:lang w:val="en-US"/>
        </w:rPr>
        <w:t xml:space="preserve">aking into consideration: (i) that, in this case, Talía’s integrity was at stake; (ii) the consequent urgency derived from her situation as a child with HIV, and (iii) the crucial importance of </w:t>
      </w:r>
      <w:r w:rsidR="00D5755E" w:rsidRPr="00610904">
        <w:rPr>
          <w:noProof w:val="0"/>
          <w:lang w:val="en-US"/>
        </w:rPr>
        <w:t xml:space="preserve">concluding </w:t>
      </w:r>
      <w:r w:rsidR="007F5E22" w:rsidRPr="00610904">
        <w:rPr>
          <w:noProof w:val="0"/>
          <w:lang w:val="en-US"/>
        </w:rPr>
        <w:t xml:space="preserve">the proceedings </w:t>
      </w:r>
      <w:r w:rsidR="00D5755E" w:rsidRPr="00610904">
        <w:rPr>
          <w:noProof w:val="0"/>
          <w:lang w:val="en-US"/>
        </w:rPr>
        <w:t>so that</w:t>
      </w:r>
      <w:r w:rsidR="007F5E22" w:rsidRPr="00610904">
        <w:rPr>
          <w:noProof w:val="0"/>
          <w:lang w:val="en-US"/>
        </w:rPr>
        <w:t xml:space="preserve"> </w:t>
      </w:r>
      <w:r w:rsidRPr="00610904">
        <w:rPr>
          <w:noProof w:val="0"/>
          <w:szCs w:val="20"/>
          <w:lang w:val="en-US"/>
        </w:rPr>
        <w:t>Talía</w:t>
      </w:r>
      <w:r w:rsidR="009F3D78" w:rsidRPr="00610904">
        <w:rPr>
          <w:noProof w:val="0"/>
          <w:lang w:val="en-US"/>
        </w:rPr>
        <w:t xml:space="preserve"> and </w:t>
      </w:r>
      <w:r w:rsidR="007F5E22" w:rsidRPr="00610904">
        <w:rPr>
          <w:noProof w:val="0"/>
          <w:lang w:val="en-US"/>
        </w:rPr>
        <w:t xml:space="preserve">her family </w:t>
      </w:r>
      <w:r w:rsidR="00D5755E" w:rsidRPr="00610904">
        <w:rPr>
          <w:noProof w:val="0"/>
          <w:lang w:val="en-US"/>
        </w:rPr>
        <w:t>could have</w:t>
      </w:r>
      <w:r w:rsidR="007F5E22" w:rsidRPr="00610904">
        <w:rPr>
          <w:noProof w:val="0"/>
          <w:lang w:val="en-US"/>
        </w:rPr>
        <w:t xml:space="preserve"> access </w:t>
      </w:r>
      <w:r w:rsidR="00D5755E" w:rsidRPr="00610904">
        <w:rPr>
          <w:noProof w:val="0"/>
          <w:lang w:val="en-US"/>
        </w:rPr>
        <w:t xml:space="preserve">to </w:t>
      </w:r>
      <w:r w:rsidR="007F5E22" w:rsidRPr="00610904">
        <w:rPr>
          <w:noProof w:val="0"/>
          <w:lang w:val="en-US"/>
        </w:rPr>
        <w:t>reparation for damages, the Court concludes that there was a special obligation to act with due diligence, and that the State did not comply with this obligation.</w:t>
      </w:r>
    </w:p>
    <w:p w:rsidR="00B628C2" w:rsidRPr="00610904" w:rsidRDefault="00B628C2" w:rsidP="00610904">
      <w:pPr>
        <w:rPr>
          <w:noProof w:val="0"/>
          <w:lang w:val="en-US"/>
        </w:rPr>
      </w:pPr>
    </w:p>
    <w:p w:rsidR="00B628C2" w:rsidRPr="00610904" w:rsidRDefault="00D608E3" w:rsidP="00610904">
      <w:pPr>
        <w:pStyle w:val="Heading6"/>
        <w:numPr>
          <w:ilvl w:val="0"/>
          <w:numId w:val="11"/>
        </w:numPr>
        <w:rPr>
          <w:lang w:val="en-US"/>
        </w:rPr>
      </w:pPr>
      <w:r w:rsidRPr="00610904">
        <w:rPr>
          <w:lang w:val="en-US"/>
        </w:rPr>
        <w:t>Conclusio</w:t>
      </w:r>
      <w:r w:rsidR="00B628C2" w:rsidRPr="00610904">
        <w:rPr>
          <w:lang w:val="en-US"/>
        </w:rPr>
        <w:t xml:space="preserve">n </w:t>
      </w:r>
      <w:r w:rsidRPr="00610904">
        <w:rPr>
          <w:lang w:val="en-US"/>
        </w:rPr>
        <w:t>concerning</w:t>
      </w:r>
      <w:r w:rsidR="007F5E22" w:rsidRPr="00610904">
        <w:rPr>
          <w:lang w:val="en-US"/>
        </w:rPr>
        <w:t xml:space="preserve"> a</w:t>
      </w:r>
      <w:r w:rsidRPr="00610904">
        <w:rPr>
          <w:lang w:val="en-US"/>
        </w:rPr>
        <w:t xml:space="preserve"> reasonable time</w:t>
      </w:r>
      <w:r w:rsidR="00B628C2" w:rsidRPr="00610904">
        <w:rPr>
          <w:lang w:val="en-US"/>
        </w:rPr>
        <w:t xml:space="preserve"> </w:t>
      </w:r>
      <w:r w:rsidR="004A6E8B" w:rsidRPr="00610904">
        <w:rPr>
          <w:lang w:val="en-US"/>
        </w:rPr>
        <w:t xml:space="preserve">in the </w:t>
      </w:r>
      <w:r w:rsidR="00521F86" w:rsidRPr="00610904">
        <w:rPr>
          <w:lang w:val="en-US"/>
        </w:rPr>
        <w:t xml:space="preserve">criminal proceedings </w:t>
      </w:r>
    </w:p>
    <w:p w:rsidR="00B628C2" w:rsidRPr="00610904" w:rsidRDefault="00B628C2" w:rsidP="00610904">
      <w:pPr>
        <w:rPr>
          <w:noProof w:val="0"/>
          <w:lang w:val="en-US"/>
        </w:rPr>
      </w:pPr>
    </w:p>
    <w:p w:rsidR="00B628C2" w:rsidRPr="00610904" w:rsidRDefault="007F5E22" w:rsidP="00610904">
      <w:pPr>
        <w:numPr>
          <w:ilvl w:val="0"/>
          <w:numId w:val="1"/>
        </w:numPr>
        <w:contextualSpacing/>
        <w:rPr>
          <w:noProof w:val="0"/>
          <w:lang w:val="en-US"/>
        </w:rPr>
      </w:pPr>
      <w:r w:rsidRPr="00610904">
        <w:rPr>
          <w:noProof w:val="0"/>
          <w:lang w:val="en-US"/>
        </w:rPr>
        <w:t xml:space="preserve">Having examined the four elements to determine the reasonableness of the </w:t>
      </w:r>
      <w:r w:rsidR="00D5755E" w:rsidRPr="00610904">
        <w:rPr>
          <w:noProof w:val="0"/>
          <w:lang w:val="en-US"/>
        </w:rPr>
        <w:t>duration</w:t>
      </w:r>
      <w:r w:rsidRPr="00610904">
        <w:rPr>
          <w:noProof w:val="0"/>
          <w:lang w:val="en-US"/>
        </w:rPr>
        <w:t xml:space="preserve"> of the criminal proceedings </w:t>
      </w:r>
      <w:r w:rsidR="00B628C2" w:rsidRPr="00610904">
        <w:rPr>
          <w:noProof w:val="0"/>
          <w:lang w:val="en-US"/>
        </w:rPr>
        <w:t>(</w:t>
      </w:r>
      <w:r w:rsidR="00B628C2" w:rsidRPr="00610904">
        <w:rPr>
          <w:i/>
          <w:noProof w:val="0"/>
          <w:lang w:val="en-US"/>
        </w:rPr>
        <w:t>supra</w:t>
      </w:r>
      <w:r w:rsidR="00B628C2" w:rsidRPr="00610904">
        <w:rPr>
          <w:noProof w:val="0"/>
          <w:lang w:val="en-US"/>
        </w:rPr>
        <w:t xml:space="preserve"> </w:t>
      </w:r>
      <w:r w:rsidR="006E502B" w:rsidRPr="00610904">
        <w:rPr>
          <w:noProof w:val="0"/>
          <w:lang w:val="en-US"/>
        </w:rPr>
        <w:t>para.</w:t>
      </w:r>
      <w:r w:rsidR="00B628C2" w:rsidRPr="00610904">
        <w:rPr>
          <w:noProof w:val="0"/>
          <w:lang w:val="en-US"/>
        </w:rPr>
        <w:t xml:space="preserve"> 300),</w:t>
      </w:r>
      <w:r w:rsidR="009F3D78" w:rsidRPr="00610904">
        <w:rPr>
          <w:noProof w:val="0"/>
          <w:lang w:val="en-US"/>
        </w:rPr>
        <w:t xml:space="preserve"> and </w:t>
      </w:r>
      <w:r w:rsidRPr="00610904">
        <w:rPr>
          <w:noProof w:val="0"/>
          <w:lang w:val="en-US"/>
        </w:rPr>
        <w:t xml:space="preserve">taking into account that there was an obligation to act with exceptional due diligence considering </w:t>
      </w:r>
      <w:r w:rsidR="00B628C2" w:rsidRPr="00610904">
        <w:rPr>
          <w:noProof w:val="0"/>
          <w:szCs w:val="20"/>
          <w:lang w:val="en-US"/>
        </w:rPr>
        <w:t>Talía</w:t>
      </w:r>
      <w:r w:rsidRPr="00610904">
        <w:rPr>
          <w:noProof w:val="0"/>
          <w:szCs w:val="20"/>
          <w:lang w:val="en-US"/>
        </w:rPr>
        <w:t>’s situation</w:t>
      </w:r>
      <w:r w:rsidR="00B628C2" w:rsidRPr="00610904">
        <w:rPr>
          <w:noProof w:val="0"/>
          <w:lang w:val="en-US"/>
        </w:rPr>
        <w:t xml:space="preserve"> (</w:t>
      </w:r>
      <w:r w:rsidR="00B628C2" w:rsidRPr="00610904">
        <w:rPr>
          <w:i/>
          <w:noProof w:val="0"/>
          <w:lang w:val="en-US"/>
        </w:rPr>
        <w:t>supra</w:t>
      </w:r>
      <w:r w:rsidR="00B628C2" w:rsidRPr="00610904">
        <w:rPr>
          <w:noProof w:val="0"/>
          <w:lang w:val="en-US"/>
        </w:rPr>
        <w:t xml:space="preserve"> </w:t>
      </w:r>
      <w:r w:rsidR="006E502B" w:rsidRPr="00610904">
        <w:rPr>
          <w:noProof w:val="0"/>
          <w:lang w:val="en-US"/>
        </w:rPr>
        <w:t>para.</w:t>
      </w:r>
      <w:r w:rsidR="00B628C2" w:rsidRPr="00610904">
        <w:rPr>
          <w:noProof w:val="0"/>
          <w:lang w:val="en-US"/>
        </w:rPr>
        <w:t xml:space="preserve"> 317), </w:t>
      </w:r>
      <w:r w:rsidR="009F3D78" w:rsidRPr="00610904">
        <w:rPr>
          <w:noProof w:val="0"/>
          <w:lang w:val="en-US"/>
        </w:rPr>
        <w:t>the Court</w:t>
      </w:r>
      <w:r w:rsidR="00B628C2" w:rsidRPr="00610904">
        <w:rPr>
          <w:noProof w:val="0"/>
          <w:lang w:val="en-US"/>
        </w:rPr>
        <w:t xml:space="preserve"> conclu</w:t>
      </w:r>
      <w:r w:rsidRPr="00610904">
        <w:rPr>
          <w:noProof w:val="0"/>
          <w:lang w:val="en-US"/>
        </w:rPr>
        <w:t xml:space="preserve">des that </w:t>
      </w:r>
      <w:r w:rsidR="00A8072E" w:rsidRPr="00610904">
        <w:rPr>
          <w:noProof w:val="0"/>
          <w:lang w:val="en-US"/>
        </w:rPr>
        <w:t>Ecuador</w:t>
      </w:r>
      <w:r w:rsidR="00B628C2" w:rsidRPr="00610904">
        <w:rPr>
          <w:noProof w:val="0"/>
          <w:lang w:val="en-US"/>
        </w:rPr>
        <w:t xml:space="preserve"> v</w:t>
      </w:r>
      <w:r w:rsidRPr="00610904">
        <w:rPr>
          <w:noProof w:val="0"/>
          <w:lang w:val="en-US"/>
        </w:rPr>
        <w:t xml:space="preserve">iolated the judicial guarantee of a reasonable time established </w:t>
      </w:r>
      <w:r w:rsidR="009F3D78" w:rsidRPr="00610904">
        <w:rPr>
          <w:noProof w:val="0"/>
          <w:lang w:val="en-US"/>
        </w:rPr>
        <w:t>Article</w:t>
      </w:r>
      <w:r w:rsidR="00B628C2" w:rsidRPr="00610904">
        <w:rPr>
          <w:noProof w:val="0"/>
          <w:lang w:val="en-US"/>
        </w:rPr>
        <w:t xml:space="preserve"> </w:t>
      </w:r>
      <w:r w:rsidR="004A6E8B" w:rsidRPr="00610904">
        <w:rPr>
          <w:noProof w:val="0"/>
          <w:lang w:val="en-US"/>
        </w:rPr>
        <w:t>8(1)</w:t>
      </w:r>
      <w:r w:rsidRPr="00610904">
        <w:rPr>
          <w:noProof w:val="0"/>
          <w:lang w:val="en-US"/>
        </w:rPr>
        <w:t>,</w:t>
      </w:r>
      <w:r w:rsidR="00B628C2" w:rsidRPr="00610904">
        <w:rPr>
          <w:noProof w:val="0"/>
          <w:lang w:val="en-US"/>
        </w:rPr>
        <w:t xml:space="preserve"> </w:t>
      </w:r>
      <w:r w:rsidR="004A6E8B" w:rsidRPr="00610904">
        <w:rPr>
          <w:noProof w:val="0"/>
          <w:lang w:val="en-US"/>
        </w:rPr>
        <w:t>in relation to</w:t>
      </w:r>
      <w:r w:rsidR="00B628C2" w:rsidRPr="00610904">
        <w:rPr>
          <w:noProof w:val="0"/>
          <w:lang w:val="en-US"/>
        </w:rPr>
        <w:t xml:space="preserve"> </w:t>
      </w:r>
      <w:r w:rsidR="009F3D78" w:rsidRPr="00610904">
        <w:rPr>
          <w:noProof w:val="0"/>
          <w:lang w:val="en-US"/>
        </w:rPr>
        <w:t>Articles</w:t>
      </w:r>
      <w:r w:rsidR="00B628C2" w:rsidRPr="00610904">
        <w:rPr>
          <w:noProof w:val="0"/>
          <w:lang w:val="en-US"/>
        </w:rPr>
        <w:t xml:space="preserve"> 19</w:t>
      </w:r>
      <w:r w:rsidR="009F3D78" w:rsidRPr="00610904">
        <w:rPr>
          <w:noProof w:val="0"/>
          <w:lang w:val="en-US"/>
        </w:rPr>
        <w:t xml:space="preserve"> and </w:t>
      </w:r>
      <w:r w:rsidRPr="00610904">
        <w:rPr>
          <w:noProof w:val="0"/>
          <w:lang w:val="en-US"/>
        </w:rPr>
        <w:t>1(</w:t>
      </w:r>
      <w:r w:rsidR="00B628C2" w:rsidRPr="00610904">
        <w:rPr>
          <w:noProof w:val="0"/>
          <w:lang w:val="en-US"/>
        </w:rPr>
        <w:t>1</w:t>
      </w:r>
      <w:r w:rsidRPr="00610904">
        <w:rPr>
          <w:noProof w:val="0"/>
          <w:lang w:val="en-US"/>
        </w:rPr>
        <w:t>)</w:t>
      </w:r>
      <w:r w:rsidR="009F3D78" w:rsidRPr="00610904">
        <w:rPr>
          <w:noProof w:val="0"/>
          <w:lang w:val="en-US"/>
        </w:rPr>
        <w:t xml:space="preserve"> of the American Convention</w:t>
      </w:r>
      <w:r w:rsidRPr="00610904">
        <w:rPr>
          <w:noProof w:val="0"/>
          <w:lang w:val="en-US"/>
        </w:rPr>
        <w:t>,</w:t>
      </w:r>
      <w:r w:rsidR="00B628C2" w:rsidRPr="00610904">
        <w:rPr>
          <w:noProof w:val="0"/>
          <w:lang w:val="en-US"/>
        </w:rPr>
        <w:t xml:space="preserve"> </w:t>
      </w:r>
      <w:r w:rsidR="004A6E8B" w:rsidRPr="00610904">
        <w:rPr>
          <w:noProof w:val="0"/>
          <w:lang w:val="en-US"/>
        </w:rPr>
        <w:t>to the detriment of</w:t>
      </w:r>
      <w:r w:rsidR="00B628C2" w:rsidRPr="00610904">
        <w:rPr>
          <w:noProof w:val="0"/>
          <w:lang w:val="en-US"/>
        </w:rPr>
        <w:t xml:space="preserve"> </w:t>
      </w:r>
      <w:r w:rsidR="00B628C2" w:rsidRPr="00610904">
        <w:rPr>
          <w:noProof w:val="0"/>
          <w:szCs w:val="20"/>
          <w:lang w:val="en-US"/>
        </w:rPr>
        <w:t>Talía Gonzales Lluy</w:t>
      </w:r>
      <w:r w:rsidR="00B628C2" w:rsidRPr="00610904">
        <w:rPr>
          <w:noProof w:val="0"/>
          <w:lang w:val="en-US"/>
        </w:rPr>
        <w:t xml:space="preserve">. </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7F5E22" w:rsidRPr="00610904">
        <w:rPr>
          <w:noProof w:val="0"/>
          <w:lang w:val="en-US"/>
        </w:rPr>
        <w:t xml:space="preserve"> observes that</w:t>
      </w:r>
      <w:r w:rsidR="00B628C2" w:rsidRPr="00610904">
        <w:rPr>
          <w:noProof w:val="0"/>
          <w:lang w:val="en-US"/>
        </w:rPr>
        <w:t xml:space="preserve"> </w:t>
      </w:r>
      <w:r w:rsidR="002F5BBA" w:rsidRPr="00610904">
        <w:rPr>
          <w:noProof w:val="0"/>
          <w:lang w:val="en-US"/>
        </w:rPr>
        <w:t>the Commission</w:t>
      </w:r>
      <w:r w:rsidRPr="00610904">
        <w:rPr>
          <w:noProof w:val="0"/>
          <w:lang w:val="en-US"/>
        </w:rPr>
        <w:t xml:space="preserve"> and the representatives</w:t>
      </w:r>
      <w:r w:rsidR="00B628C2" w:rsidRPr="00610904">
        <w:rPr>
          <w:noProof w:val="0"/>
          <w:lang w:val="en-US"/>
        </w:rPr>
        <w:t xml:space="preserve"> a</w:t>
      </w:r>
      <w:r w:rsidR="007F5E22" w:rsidRPr="00610904">
        <w:rPr>
          <w:noProof w:val="0"/>
          <w:lang w:val="en-US"/>
        </w:rPr>
        <w:t xml:space="preserve">rgued that the right to a reasonable time had also been violated </w:t>
      </w:r>
      <w:r w:rsidR="004A6E8B" w:rsidRPr="00610904">
        <w:rPr>
          <w:noProof w:val="0"/>
          <w:lang w:val="en-US"/>
        </w:rPr>
        <w:t>to the detriment of</w:t>
      </w:r>
      <w:r w:rsidR="00B628C2" w:rsidRPr="00610904">
        <w:rPr>
          <w:noProof w:val="0"/>
          <w:lang w:val="en-US"/>
        </w:rPr>
        <w:t xml:space="preserve"> Teresa Lluy</w:t>
      </w:r>
      <w:r w:rsidRPr="00610904">
        <w:rPr>
          <w:noProof w:val="0"/>
          <w:lang w:val="en-US"/>
        </w:rPr>
        <w:t xml:space="preserve"> and </w:t>
      </w:r>
      <w:r w:rsidR="005550B0" w:rsidRPr="00610904">
        <w:rPr>
          <w:noProof w:val="0"/>
          <w:lang w:val="en-US"/>
        </w:rPr>
        <w:t>Iván</w:t>
      </w:r>
      <w:r w:rsidR="00B628C2" w:rsidRPr="00610904">
        <w:rPr>
          <w:noProof w:val="0"/>
          <w:lang w:val="en-US"/>
        </w:rPr>
        <w:t xml:space="preserve"> Lluy. </w:t>
      </w:r>
      <w:r w:rsidR="007F5E22" w:rsidRPr="00610904">
        <w:rPr>
          <w:noProof w:val="0"/>
          <w:lang w:val="en-US"/>
        </w:rPr>
        <w:t>In this regard, the Court considers that the hold</w:t>
      </w:r>
      <w:r w:rsidR="00D5755E" w:rsidRPr="00610904">
        <w:rPr>
          <w:noProof w:val="0"/>
          <w:lang w:val="en-US"/>
        </w:rPr>
        <w:t>er of the rights violated in this</w:t>
      </w:r>
      <w:r w:rsidR="007F5E22" w:rsidRPr="00610904">
        <w:rPr>
          <w:noProof w:val="0"/>
          <w:lang w:val="en-US"/>
        </w:rPr>
        <w:t xml:space="preserve"> case was Talía and that </w:t>
      </w:r>
      <w:r w:rsidR="006D7F48" w:rsidRPr="00610904">
        <w:rPr>
          <w:noProof w:val="0"/>
          <w:lang w:val="en-US"/>
        </w:rPr>
        <w:t>her mother</w:t>
      </w:r>
      <w:r w:rsidR="00B628C2" w:rsidRPr="00610904">
        <w:rPr>
          <w:noProof w:val="0"/>
          <w:lang w:val="en-US"/>
        </w:rPr>
        <w:t xml:space="preserve"> act</w:t>
      </w:r>
      <w:r w:rsidR="007F5E22" w:rsidRPr="00610904">
        <w:rPr>
          <w:noProof w:val="0"/>
          <w:lang w:val="en-US"/>
        </w:rPr>
        <w:t>e</w:t>
      </w:r>
      <w:r w:rsidR="00D5755E" w:rsidRPr="00610904">
        <w:rPr>
          <w:noProof w:val="0"/>
          <w:lang w:val="en-US"/>
        </w:rPr>
        <w:t>d as her representative, but</w:t>
      </w:r>
      <w:r w:rsidR="007F5E22" w:rsidRPr="00610904">
        <w:rPr>
          <w:noProof w:val="0"/>
          <w:lang w:val="en-US"/>
        </w:rPr>
        <w:t xml:space="preserve"> was no</w:t>
      </w:r>
      <w:r w:rsidR="00D5755E" w:rsidRPr="00610904">
        <w:rPr>
          <w:noProof w:val="0"/>
          <w:lang w:val="en-US"/>
        </w:rPr>
        <w:t>t exercising a right of her own; thus,</w:t>
      </w:r>
      <w:r w:rsidR="007F5E22" w:rsidRPr="00610904">
        <w:rPr>
          <w:noProof w:val="0"/>
          <w:lang w:val="en-US"/>
        </w:rPr>
        <w:t xml:space="preserve"> the Court does not consider that it should rule with regard to </w:t>
      </w:r>
      <w:r w:rsidR="00B628C2" w:rsidRPr="00610904">
        <w:rPr>
          <w:noProof w:val="0"/>
          <w:lang w:val="en-US"/>
        </w:rPr>
        <w:t xml:space="preserve">Teresa Lluy. </w:t>
      </w:r>
      <w:r w:rsidR="007F5E22" w:rsidRPr="00610904">
        <w:rPr>
          <w:noProof w:val="0"/>
          <w:lang w:val="en-US"/>
        </w:rPr>
        <w:t xml:space="preserve">As regards, </w:t>
      </w:r>
      <w:r w:rsidR="00B628C2" w:rsidRPr="00610904">
        <w:rPr>
          <w:noProof w:val="0"/>
          <w:lang w:val="en-US"/>
        </w:rPr>
        <w:t>Iván Lluy,</w:t>
      </w:r>
      <w:r w:rsidR="007F5E22" w:rsidRPr="00610904">
        <w:rPr>
          <w:noProof w:val="0"/>
          <w:lang w:val="en-US"/>
        </w:rPr>
        <w:t xml:space="preserve"> in addition</w:t>
      </w:r>
      <w:r w:rsidR="00B628C2" w:rsidRPr="00610904">
        <w:rPr>
          <w:noProof w:val="0"/>
          <w:lang w:val="en-US"/>
        </w:rPr>
        <w:t xml:space="preserve"> </w:t>
      </w:r>
      <w:r w:rsidR="007F5E22" w:rsidRPr="00610904">
        <w:rPr>
          <w:noProof w:val="0"/>
          <w:lang w:val="en-US"/>
        </w:rPr>
        <w:t>to the fact that Talía was the holder of the violated rights</w:t>
      </w:r>
      <w:r w:rsidR="00D5755E" w:rsidRPr="00610904">
        <w:rPr>
          <w:noProof w:val="0"/>
          <w:lang w:val="en-US"/>
        </w:rPr>
        <w:t>,</w:t>
      </w:r>
      <w:r w:rsidR="007F5E22" w:rsidRPr="00610904">
        <w:rPr>
          <w:noProof w:val="0"/>
          <w:lang w:val="en-US"/>
        </w:rPr>
        <w:t xml:space="preserve"> and not </w:t>
      </w:r>
      <w:r w:rsidR="00B628C2" w:rsidRPr="00610904">
        <w:rPr>
          <w:noProof w:val="0"/>
          <w:lang w:val="en-US"/>
        </w:rPr>
        <w:t>Teresa o</w:t>
      </w:r>
      <w:r w:rsidR="007F5E22" w:rsidRPr="00610904">
        <w:rPr>
          <w:noProof w:val="0"/>
          <w:lang w:val="en-US"/>
        </w:rPr>
        <w:t>r</w:t>
      </w:r>
      <w:r w:rsidR="00B628C2" w:rsidRPr="00610904">
        <w:rPr>
          <w:noProof w:val="0"/>
          <w:lang w:val="en-US"/>
        </w:rPr>
        <w:t xml:space="preserve"> Iván, </w:t>
      </w:r>
      <w:r w:rsidRPr="00610904">
        <w:rPr>
          <w:noProof w:val="0"/>
          <w:lang w:val="en-US"/>
        </w:rPr>
        <w:t>the Court</w:t>
      </w:r>
      <w:r w:rsidR="00B628C2" w:rsidRPr="00610904">
        <w:rPr>
          <w:noProof w:val="0"/>
          <w:lang w:val="en-US"/>
        </w:rPr>
        <w:t xml:space="preserve"> observ</w:t>
      </w:r>
      <w:r w:rsidR="007F5E22" w:rsidRPr="00610904">
        <w:rPr>
          <w:noProof w:val="0"/>
          <w:lang w:val="en-US"/>
        </w:rPr>
        <w:t xml:space="preserve">es that there is no evidence of </w:t>
      </w:r>
      <w:r w:rsidR="00D5755E" w:rsidRPr="00610904">
        <w:rPr>
          <w:noProof w:val="0"/>
          <w:lang w:val="en-US"/>
        </w:rPr>
        <w:t>to what extent</w:t>
      </w:r>
      <w:r w:rsidR="007F5E22" w:rsidRPr="00610904">
        <w:rPr>
          <w:noProof w:val="0"/>
          <w:lang w:val="en-US"/>
        </w:rPr>
        <w:t xml:space="preserve"> Iván partic</w:t>
      </w:r>
      <w:r w:rsidR="00D5755E" w:rsidRPr="00610904">
        <w:rPr>
          <w:noProof w:val="0"/>
          <w:lang w:val="en-US"/>
        </w:rPr>
        <w:t>ipated in the criminal proceedi</w:t>
      </w:r>
      <w:r w:rsidR="007F5E22" w:rsidRPr="00610904">
        <w:rPr>
          <w:noProof w:val="0"/>
          <w:lang w:val="en-US"/>
        </w:rPr>
        <w:t xml:space="preserve">ngs or in the civil </w:t>
      </w:r>
      <w:r w:rsidR="00D5755E" w:rsidRPr="00610904">
        <w:rPr>
          <w:noProof w:val="0"/>
          <w:lang w:val="en-US"/>
        </w:rPr>
        <w:t>action</w:t>
      </w:r>
      <w:r w:rsidR="007F5E22" w:rsidRPr="00610904">
        <w:rPr>
          <w:noProof w:val="0"/>
          <w:lang w:val="en-US"/>
        </w:rPr>
        <w:t>, because it was only Teresa w</w:t>
      </w:r>
      <w:r w:rsidR="00D5755E" w:rsidRPr="00610904">
        <w:rPr>
          <w:noProof w:val="0"/>
          <w:lang w:val="en-US"/>
        </w:rPr>
        <w:t>ho took part in the proceedings</w:t>
      </w:r>
      <w:r w:rsidR="007F5E22" w:rsidRPr="00610904">
        <w:rPr>
          <w:noProof w:val="0"/>
          <w:lang w:val="en-US"/>
        </w:rPr>
        <w:t xml:space="preserve"> on behalf of Talía. Consequently, the Court does not consider that it is necessary to rule with regard to</w:t>
      </w:r>
      <w:r w:rsidR="00B628C2" w:rsidRPr="00610904">
        <w:rPr>
          <w:noProof w:val="0"/>
          <w:lang w:val="en-US"/>
        </w:rPr>
        <w:t xml:space="preserve"> Iván Lluy.</w:t>
      </w:r>
    </w:p>
    <w:p w:rsidR="00B628C2" w:rsidRPr="00610904" w:rsidRDefault="00B628C2" w:rsidP="00610904">
      <w:pPr>
        <w:rPr>
          <w:noProof w:val="0"/>
          <w:lang w:val="en-US"/>
        </w:rPr>
      </w:pPr>
    </w:p>
    <w:p w:rsidR="00B628C2" w:rsidRPr="00610904" w:rsidRDefault="00B628C2" w:rsidP="00610904">
      <w:pPr>
        <w:pStyle w:val="Heading3"/>
        <w:rPr>
          <w:noProof w:val="0"/>
          <w:lang w:val="en-US"/>
        </w:rPr>
      </w:pPr>
      <w:bookmarkStart w:id="132" w:name="_Toc429519514"/>
      <w:bookmarkStart w:id="133" w:name="_Toc443399113"/>
      <w:r w:rsidRPr="00610904">
        <w:rPr>
          <w:noProof w:val="0"/>
          <w:lang w:val="en-US"/>
        </w:rPr>
        <w:t xml:space="preserve">A.2. </w:t>
      </w:r>
      <w:r w:rsidR="007F5E22" w:rsidRPr="00610904">
        <w:rPr>
          <w:noProof w:val="0"/>
          <w:lang w:val="en-US"/>
        </w:rPr>
        <w:t>Due diligence and reasonable time in the civil proceedings</w:t>
      </w:r>
      <w:bookmarkEnd w:id="132"/>
      <w:bookmarkEnd w:id="133"/>
    </w:p>
    <w:p w:rsidR="00B628C2" w:rsidRPr="00610904" w:rsidRDefault="00B628C2" w:rsidP="00610904">
      <w:pPr>
        <w:rPr>
          <w:noProof w:val="0"/>
          <w:lang w:val="en-US"/>
        </w:rPr>
      </w:pPr>
    </w:p>
    <w:p w:rsidR="00B628C2" w:rsidRPr="00610904" w:rsidRDefault="00882CCC" w:rsidP="00610904">
      <w:pPr>
        <w:ind w:left="360"/>
        <w:rPr>
          <w:i/>
          <w:noProof w:val="0"/>
          <w:lang w:val="en-US"/>
        </w:rPr>
      </w:pPr>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B628C2" w:rsidRPr="00610904" w:rsidRDefault="00B628C2" w:rsidP="00610904">
      <w:pPr>
        <w:rPr>
          <w:noProof w:val="0"/>
          <w:lang w:val="en-US"/>
        </w:rPr>
      </w:pPr>
    </w:p>
    <w:p w:rsidR="00B628C2" w:rsidRPr="00610904" w:rsidRDefault="002F5BBA" w:rsidP="00610904">
      <w:pPr>
        <w:numPr>
          <w:ilvl w:val="0"/>
          <w:numId w:val="1"/>
        </w:numPr>
        <w:contextualSpacing/>
        <w:rPr>
          <w:noProof w:val="0"/>
          <w:lang w:val="en-US"/>
        </w:rPr>
      </w:pPr>
      <w:r w:rsidRPr="00610904">
        <w:rPr>
          <w:noProof w:val="0"/>
          <w:szCs w:val="22"/>
          <w:lang w:val="en-US"/>
        </w:rPr>
        <w:t>The Commission</w:t>
      </w:r>
      <w:r w:rsidR="00B628C2" w:rsidRPr="00610904">
        <w:rPr>
          <w:noProof w:val="0"/>
          <w:szCs w:val="22"/>
          <w:lang w:val="en-US"/>
        </w:rPr>
        <w:t xml:space="preserve"> </w:t>
      </w:r>
      <w:r w:rsidR="00521F86" w:rsidRPr="00610904">
        <w:rPr>
          <w:noProof w:val="0"/>
          <w:szCs w:val="22"/>
          <w:lang w:val="en-US"/>
        </w:rPr>
        <w:t xml:space="preserve">indicated that the civil </w:t>
      </w:r>
      <w:r w:rsidR="00D5755E" w:rsidRPr="00610904">
        <w:rPr>
          <w:noProof w:val="0"/>
          <w:szCs w:val="22"/>
          <w:lang w:val="en-US"/>
        </w:rPr>
        <w:t>action</w:t>
      </w:r>
      <w:r w:rsidR="00521F86" w:rsidRPr="00610904">
        <w:rPr>
          <w:noProof w:val="0"/>
          <w:szCs w:val="22"/>
          <w:lang w:val="en-US"/>
        </w:rPr>
        <w:t xml:space="preserve"> had ended by a declaration of the nullity of </w:t>
      </w:r>
      <w:r w:rsidR="00D5755E" w:rsidRPr="00610904">
        <w:rPr>
          <w:noProof w:val="0"/>
          <w:szCs w:val="22"/>
          <w:lang w:val="en-US"/>
        </w:rPr>
        <w:t xml:space="preserve">all </w:t>
      </w:r>
      <w:r w:rsidR="00521F86" w:rsidRPr="00610904">
        <w:rPr>
          <w:noProof w:val="0"/>
          <w:szCs w:val="22"/>
          <w:lang w:val="en-US"/>
        </w:rPr>
        <w:t xml:space="preserve">the proceedings </w:t>
      </w:r>
      <w:r w:rsidR="00D5755E" w:rsidRPr="00610904">
        <w:rPr>
          <w:noProof w:val="0"/>
          <w:szCs w:val="22"/>
          <w:lang w:val="en-US"/>
        </w:rPr>
        <w:t>following the moment</w:t>
      </w:r>
      <w:r w:rsidR="00521F86" w:rsidRPr="00610904">
        <w:rPr>
          <w:noProof w:val="0"/>
          <w:szCs w:val="22"/>
          <w:lang w:val="en-US"/>
        </w:rPr>
        <w:t xml:space="preserve"> the complaint </w:t>
      </w:r>
      <w:r w:rsidR="00D5755E" w:rsidRPr="00610904">
        <w:rPr>
          <w:noProof w:val="0"/>
          <w:szCs w:val="22"/>
          <w:lang w:val="en-US"/>
        </w:rPr>
        <w:t>was</w:t>
      </w:r>
      <w:r w:rsidR="00521F86" w:rsidRPr="00610904">
        <w:rPr>
          <w:noProof w:val="0"/>
          <w:szCs w:val="22"/>
          <w:lang w:val="en-US"/>
        </w:rPr>
        <w:t xml:space="preserve"> admitted; thus, “in the context of the civil proceedings, the judicial authorities took four years to make a final ruling that the civil claim did not meet the</w:t>
      </w:r>
      <w:r w:rsidR="00D5755E" w:rsidRPr="00610904">
        <w:rPr>
          <w:noProof w:val="0"/>
          <w:szCs w:val="22"/>
          <w:lang w:val="en-US"/>
        </w:rPr>
        <w:t xml:space="preserve"> admissibility</w:t>
      </w:r>
      <w:r w:rsidR="00521F86" w:rsidRPr="00610904">
        <w:rPr>
          <w:noProof w:val="0"/>
          <w:szCs w:val="22"/>
          <w:lang w:val="en-US"/>
        </w:rPr>
        <w:t xml:space="preserve"> requirements.</w:t>
      </w:r>
      <w:r w:rsidR="00B628C2" w:rsidRPr="00610904">
        <w:rPr>
          <w:noProof w:val="0"/>
          <w:szCs w:val="22"/>
          <w:lang w:val="en-US"/>
        </w:rPr>
        <w:t>”</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eastAsia="es-CR"/>
        </w:rPr>
        <w:t>The representatives</w:t>
      </w:r>
      <w:r w:rsidR="00B628C2" w:rsidRPr="00610904">
        <w:rPr>
          <w:noProof w:val="0"/>
          <w:lang w:val="en-US" w:eastAsia="es-CR"/>
        </w:rPr>
        <w:t xml:space="preserve"> </w:t>
      </w:r>
      <w:r w:rsidR="00521F86" w:rsidRPr="00610904">
        <w:rPr>
          <w:noProof w:val="0"/>
          <w:lang w:val="en-US" w:eastAsia="es-CR"/>
        </w:rPr>
        <w:t>indicated that they considered that the Lluy family had had to invest an excessive time in the civil proceedings and were not duly heard during th</w:t>
      </w:r>
      <w:r w:rsidR="00D5755E" w:rsidRPr="00610904">
        <w:rPr>
          <w:noProof w:val="0"/>
          <w:lang w:val="en-US" w:eastAsia="es-CR"/>
        </w:rPr>
        <w:t>os</w:t>
      </w:r>
      <w:r w:rsidR="00521F86" w:rsidRPr="00610904">
        <w:rPr>
          <w:noProof w:val="0"/>
          <w:lang w:val="en-US" w:eastAsia="es-CR"/>
        </w:rPr>
        <w:t xml:space="preserve">e proceedings </w:t>
      </w:r>
      <w:r w:rsidR="00B628C2" w:rsidRPr="00610904">
        <w:rPr>
          <w:rFonts w:cs="Arial"/>
          <w:noProof w:val="0"/>
          <w:lang w:val="en-US"/>
        </w:rPr>
        <w:t>(</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296).</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Arial"/>
          <w:noProof w:val="0"/>
          <w:lang w:val="en-US"/>
        </w:rPr>
        <w:t>The State</w:t>
      </w:r>
      <w:r w:rsidR="00B628C2" w:rsidRPr="00610904">
        <w:rPr>
          <w:rFonts w:cs="Arial"/>
          <w:noProof w:val="0"/>
          <w:lang w:val="en-US"/>
        </w:rPr>
        <w:t xml:space="preserve"> a</w:t>
      </w:r>
      <w:r w:rsidR="00521F86" w:rsidRPr="00610904">
        <w:rPr>
          <w:rFonts w:cs="Arial"/>
          <w:noProof w:val="0"/>
          <w:lang w:val="en-US"/>
        </w:rPr>
        <w:t xml:space="preserve">rgued that </w:t>
      </w:r>
      <w:r w:rsidRPr="00610904">
        <w:rPr>
          <w:rFonts w:cs="Arial"/>
          <w:noProof w:val="0"/>
          <w:lang w:val="en-US"/>
        </w:rPr>
        <w:t>the presumed victims</w:t>
      </w:r>
      <w:r w:rsidR="00B628C2" w:rsidRPr="00610904">
        <w:rPr>
          <w:rFonts w:cs="Arial"/>
          <w:noProof w:val="0"/>
          <w:lang w:val="en-US"/>
        </w:rPr>
        <w:t xml:space="preserve"> </w:t>
      </w:r>
      <w:r w:rsidR="00521F86" w:rsidRPr="00610904">
        <w:rPr>
          <w:rFonts w:cs="Arial"/>
          <w:noProof w:val="0"/>
          <w:lang w:val="en-US"/>
        </w:rPr>
        <w:t xml:space="preserve">had always been heard in the course of the proceedings </w:t>
      </w:r>
      <w:r w:rsidR="00B628C2" w:rsidRPr="00610904">
        <w:rPr>
          <w:rFonts w:cs="Arial"/>
          <w:noProof w:val="0"/>
          <w:lang w:val="en-US"/>
        </w:rPr>
        <w:t>(</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299);</w:t>
      </w:r>
      <w:r w:rsidRPr="00610904">
        <w:rPr>
          <w:rFonts w:cs="Arial"/>
          <w:noProof w:val="0"/>
          <w:lang w:val="en-US"/>
        </w:rPr>
        <w:t xml:space="preserve"> and </w:t>
      </w:r>
      <w:r w:rsidR="00521F86" w:rsidRPr="00610904">
        <w:rPr>
          <w:rFonts w:cs="Arial"/>
          <w:noProof w:val="0"/>
          <w:lang w:val="en-US"/>
        </w:rPr>
        <w:t xml:space="preserve">indicated that </w:t>
      </w:r>
      <w:r w:rsidRPr="00610904">
        <w:rPr>
          <w:rFonts w:cs="Arial"/>
          <w:noProof w:val="0"/>
          <w:lang w:val="en-US"/>
        </w:rPr>
        <w:t>the representatives</w:t>
      </w:r>
      <w:r w:rsidR="00B628C2" w:rsidRPr="00610904">
        <w:rPr>
          <w:rFonts w:cs="Arial"/>
          <w:noProof w:val="0"/>
          <w:lang w:val="en-US"/>
        </w:rPr>
        <w:t xml:space="preserve"> </w:t>
      </w:r>
      <w:r w:rsidR="00521F86" w:rsidRPr="00610904">
        <w:rPr>
          <w:rFonts w:cs="Arial"/>
          <w:noProof w:val="0"/>
          <w:lang w:val="en-US"/>
        </w:rPr>
        <w:t>had merged their analysis of the civil and the criminal proceedings, without making a distinction between the processing, times, formalities a</w:t>
      </w:r>
      <w:r w:rsidR="00D5755E" w:rsidRPr="00610904">
        <w:rPr>
          <w:rFonts w:cs="Arial"/>
          <w:noProof w:val="0"/>
          <w:lang w:val="en-US"/>
        </w:rPr>
        <w:t>nd characteristics of each</w:t>
      </w:r>
      <w:r w:rsidR="0058644E" w:rsidRPr="00610904">
        <w:rPr>
          <w:rFonts w:cs="Arial"/>
          <w:noProof w:val="0"/>
          <w:lang w:val="en-US"/>
        </w:rPr>
        <w:t xml:space="preserve"> litiga</w:t>
      </w:r>
      <w:r w:rsidR="00D5755E" w:rsidRPr="00610904">
        <w:rPr>
          <w:rFonts w:cs="Arial"/>
          <w:noProof w:val="0"/>
          <w:lang w:val="en-US"/>
        </w:rPr>
        <w:t>tion</w:t>
      </w:r>
      <w:r w:rsidR="00521F86" w:rsidRPr="00610904">
        <w:rPr>
          <w:rFonts w:cs="Arial"/>
          <w:noProof w:val="0"/>
          <w:lang w:val="en-US"/>
        </w:rPr>
        <w:t>. According to the State, this could lead the Court to make an erroneous assessment of the facts.</w:t>
      </w:r>
    </w:p>
    <w:p w:rsidR="00B628C2" w:rsidRPr="00610904" w:rsidRDefault="00B628C2" w:rsidP="00610904">
      <w:pPr>
        <w:rPr>
          <w:i/>
          <w:noProof w:val="0"/>
          <w:lang w:val="en-US"/>
        </w:rPr>
      </w:pPr>
    </w:p>
    <w:p w:rsidR="00B628C2"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rFonts w:cs="Arial"/>
          <w:noProof w:val="0"/>
          <w:lang w:val="en-US"/>
        </w:rPr>
        <w:t>The Court</w:t>
      </w:r>
      <w:r w:rsidR="00B628C2" w:rsidRPr="00610904">
        <w:rPr>
          <w:rFonts w:cs="Arial"/>
          <w:noProof w:val="0"/>
          <w:lang w:val="en-US"/>
        </w:rPr>
        <w:t xml:space="preserve"> not</w:t>
      </w:r>
      <w:r w:rsidR="00521F86" w:rsidRPr="00610904">
        <w:rPr>
          <w:rFonts w:cs="Arial"/>
          <w:noProof w:val="0"/>
          <w:lang w:val="en-US"/>
        </w:rPr>
        <w:t>es that the civil proceedings began with the request to</w:t>
      </w:r>
      <w:r w:rsidR="00B628C2" w:rsidRPr="00610904">
        <w:rPr>
          <w:rFonts w:cs="Arial"/>
          <w:noProof w:val="0"/>
          <w:lang w:val="en-US"/>
        </w:rPr>
        <w:t xml:space="preserve"> </w:t>
      </w:r>
      <w:r w:rsidR="00521F86" w:rsidRPr="00610904">
        <w:rPr>
          <w:rFonts w:cs="Arial"/>
          <w:noProof w:val="0"/>
          <w:lang w:val="en-US"/>
        </w:rPr>
        <w:t xml:space="preserve">waiver court </w:t>
      </w:r>
      <w:r w:rsidR="003A67CA" w:rsidRPr="00610904">
        <w:rPr>
          <w:rFonts w:cs="Arial"/>
          <w:noProof w:val="0"/>
          <w:lang w:val="en-US"/>
        </w:rPr>
        <w:t>costs</w:t>
      </w:r>
      <w:r w:rsidR="00B628C2" w:rsidRPr="00610904">
        <w:rPr>
          <w:rFonts w:cs="Arial"/>
          <w:noProof w:val="0"/>
          <w:lang w:val="en-US"/>
        </w:rPr>
        <w:t xml:space="preserve"> </w:t>
      </w:r>
      <w:r w:rsidR="00521F86" w:rsidRPr="00610904">
        <w:rPr>
          <w:rFonts w:cs="Arial"/>
          <w:noProof w:val="0"/>
          <w:lang w:val="en-US"/>
        </w:rPr>
        <w:t>submitted by</w:t>
      </w:r>
      <w:r w:rsidR="00B628C2" w:rsidRPr="00610904">
        <w:rPr>
          <w:rFonts w:cs="Arial"/>
          <w:noProof w:val="0"/>
          <w:lang w:val="en-US"/>
        </w:rPr>
        <w:t xml:space="preserve"> Teresa Lluy </w:t>
      </w:r>
      <w:r w:rsidR="00521F86" w:rsidRPr="00610904">
        <w:rPr>
          <w:rFonts w:cs="Arial"/>
          <w:noProof w:val="0"/>
          <w:lang w:val="en-US"/>
        </w:rPr>
        <w:t xml:space="preserve">on September 26, </w:t>
      </w:r>
      <w:r w:rsidR="00B628C2" w:rsidRPr="00610904">
        <w:rPr>
          <w:rFonts w:cs="Arial"/>
          <w:noProof w:val="0"/>
          <w:lang w:val="en-US"/>
        </w:rPr>
        <w:t>2001 (</w:t>
      </w:r>
      <w:r w:rsidR="00B628C2" w:rsidRPr="00610904">
        <w:rPr>
          <w:rFonts w:cs="Arial"/>
          <w:i/>
          <w:noProof w:val="0"/>
          <w:lang w:val="en-US"/>
        </w:rPr>
        <w:t xml:space="preserve">supra </w:t>
      </w:r>
      <w:r w:rsidR="006E502B" w:rsidRPr="00610904">
        <w:rPr>
          <w:rFonts w:cs="Arial"/>
          <w:noProof w:val="0"/>
          <w:lang w:val="en-US"/>
        </w:rPr>
        <w:t>para.</w:t>
      </w:r>
      <w:r w:rsidR="00B628C2" w:rsidRPr="00610904">
        <w:rPr>
          <w:rFonts w:cs="Arial"/>
          <w:noProof w:val="0"/>
          <w:lang w:val="en-US"/>
        </w:rPr>
        <w:t xml:space="preserve"> 118)</w:t>
      </w:r>
      <w:r w:rsidR="00521F86" w:rsidRPr="00610904">
        <w:rPr>
          <w:rFonts w:cs="Arial"/>
          <w:noProof w:val="0"/>
          <w:lang w:val="en-US"/>
        </w:rPr>
        <w:t>,</w:t>
      </w:r>
      <w:r w:rsidRPr="00610904">
        <w:rPr>
          <w:rFonts w:cs="Arial"/>
          <w:noProof w:val="0"/>
          <w:lang w:val="en-US"/>
        </w:rPr>
        <w:t xml:space="preserve"> and </w:t>
      </w:r>
      <w:r w:rsidR="00B628C2" w:rsidRPr="00610904">
        <w:rPr>
          <w:rFonts w:cs="Arial"/>
          <w:noProof w:val="0"/>
          <w:lang w:val="en-US"/>
        </w:rPr>
        <w:t>conclu</w:t>
      </w:r>
      <w:r w:rsidR="00521F86" w:rsidRPr="00610904">
        <w:rPr>
          <w:rFonts w:cs="Arial"/>
          <w:noProof w:val="0"/>
          <w:lang w:val="en-US"/>
        </w:rPr>
        <w:t xml:space="preserve">ded with the declaration of the nullity of all the preceding acts in the proceedings issued on </w:t>
      </w:r>
      <w:r w:rsidR="008E668D" w:rsidRPr="00610904">
        <w:rPr>
          <w:rFonts w:cs="Arial"/>
          <w:noProof w:val="0"/>
          <w:lang w:val="en-US"/>
        </w:rPr>
        <w:t>May 18,</w:t>
      </w:r>
      <w:r w:rsidR="00B628C2" w:rsidRPr="00610904">
        <w:rPr>
          <w:rFonts w:cs="Arial"/>
          <w:noProof w:val="0"/>
          <w:lang w:val="en-US"/>
        </w:rPr>
        <w:t xml:space="preserve"> 2006 (</w:t>
      </w:r>
      <w:r w:rsidR="00B628C2" w:rsidRPr="00610904">
        <w:rPr>
          <w:rFonts w:cs="Arial"/>
          <w:i/>
          <w:noProof w:val="0"/>
          <w:lang w:val="en-US"/>
        </w:rPr>
        <w:t xml:space="preserve">supra </w:t>
      </w:r>
      <w:r w:rsidR="006E502B" w:rsidRPr="00610904">
        <w:rPr>
          <w:rFonts w:cs="Arial"/>
          <w:noProof w:val="0"/>
          <w:lang w:val="en-US"/>
        </w:rPr>
        <w:t>para.</w:t>
      </w:r>
      <w:r w:rsidR="00B628C2" w:rsidRPr="00610904">
        <w:rPr>
          <w:rFonts w:cs="Arial"/>
          <w:noProof w:val="0"/>
          <w:lang w:val="en-US"/>
        </w:rPr>
        <w:t xml:space="preserve"> 131)</w:t>
      </w:r>
      <w:r w:rsidR="00521F86" w:rsidRPr="00610904">
        <w:rPr>
          <w:rFonts w:cs="Arial"/>
          <w:noProof w:val="0"/>
          <w:lang w:val="en-US"/>
        </w:rPr>
        <w:t>; in other words, the proceedings lasted approximately four and a half years.</w:t>
      </w:r>
    </w:p>
    <w:p w:rsidR="00B628C2" w:rsidRPr="00610904" w:rsidRDefault="00B628C2" w:rsidP="00610904">
      <w:pPr>
        <w:rPr>
          <w:noProof w:val="0"/>
          <w:lang w:val="en-US"/>
        </w:rPr>
      </w:pPr>
    </w:p>
    <w:p w:rsidR="00B628C2" w:rsidRPr="00610904" w:rsidRDefault="00521F86" w:rsidP="00610904">
      <w:pPr>
        <w:numPr>
          <w:ilvl w:val="0"/>
          <w:numId w:val="1"/>
        </w:numPr>
        <w:contextualSpacing/>
        <w:rPr>
          <w:noProof w:val="0"/>
          <w:lang w:val="en-US"/>
        </w:rPr>
      </w:pPr>
      <w:r w:rsidRPr="00610904">
        <w:rPr>
          <w:rFonts w:cs="Arial"/>
          <w:noProof w:val="0"/>
          <w:lang w:val="en-US"/>
        </w:rPr>
        <w:t>Thus, based on the four criteria established in its case law in this regard</w:t>
      </w:r>
      <w:r w:rsidR="00B628C2" w:rsidRPr="00610904">
        <w:rPr>
          <w:rFonts w:cs="Arial"/>
          <w:noProof w:val="0"/>
          <w:lang w:val="en-US"/>
        </w:rPr>
        <w:t xml:space="preserve">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300), </w:t>
      </w:r>
      <w:r w:rsidR="009F3D78" w:rsidRPr="00610904">
        <w:rPr>
          <w:rFonts w:cs="Arial"/>
          <w:noProof w:val="0"/>
          <w:lang w:val="en-US"/>
        </w:rPr>
        <w:t>the Court</w:t>
      </w:r>
      <w:r w:rsidRPr="00610904">
        <w:rPr>
          <w:rFonts w:cs="Arial"/>
          <w:noProof w:val="0"/>
          <w:lang w:val="en-US"/>
        </w:rPr>
        <w:t xml:space="preserve"> considers that no evidence has been provided that would allow it to conclude that the duration of the civil proceedings violated the guarantees of a reasonable time and due diligence.</w:t>
      </w:r>
      <w:r w:rsidR="00B628C2" w:rsidRPr="00610904">
        <w:rPr>
          <w:rFonts w:cs="Arial"/>
          <w:noProof w:val="0"/>
          <w:lang w:val="en-US"/>
        </w:rPr>
        <w:t xml:space="preserve"> </w:t>
      </w:r>
    </w:p>
    <w:p w:rsidR="00B628C2" w:rsidRPr="00610904" w:rsidRDefault="00B628C2" w:rsidP="00610904">
      <w:pPr>
        <w:rPr>
          <w:noProof w:val="0"/>
          <w:lang w:val="en-US"/>
        </w:rPr>
      </w:pPr>
    </w:p>
    <w:p w:rsidR="00B628C2" w:rsidRPr="00610904" w:rsidRDefault="00B628C2" w:rsidP="00610904">
      <w:pPr>
        <w:pStyle w:val="Heading3"/>
        <w:ind w:left="0" w:firstLine="709"/>
        <w:rPr>
          <w:noProof w:val="0"/>
          <w:lang w:val="en-US"/>
        </w:rPr>
      </w:pPr>
      <w:bookmarkStart w:id="134" w:name="_Toc429519515"/>
      <w:bookmarkStart w:id="135" w:name="_Toc443399114"/>
      <w:r w:rsidRPr="00610904">
        <w:rPr>
          <w:noProof w:val="0"/>
          <w:lang w:val="en-US"/>
        </w:rPr>
        <w:t xml:space="preserve">A.3. </w:t>
      </w:r>
      <w:r w:rsidR="00CC5FB6" w:rsidRPr="00610904">
        <w:rPr>
          <w:noProof w:val="0"/>
          <w:lang w:val="en-US"/>
        </w:rPr>
        <w:t>Alleged impact of the lack of a prior judgment on the access to justice</w:t>
      </w:r>
      <w:bookmarkEnd w:id="134"/>
      <w:bookmarkEnd w:id="135"/>
      <w:r w:rsidRPr="00610904">
        <w:rPr>
          <w:noProof w:val="0"/>
          <w:lang w:val="en-US"/>
        </w:rPr>
        <w:t xml:space="preserve"> </w:t>
      </w:r>
    </w:p>
    <w:p w:rsidR="00B628C2" w:rsidRPr="00610904" w:rsidRDefault="00B628C2" w:rsidP="00610904">
      <w:pPr>
        <w:rPr>
          <w:b/>
          <w:i/>
          <w:noProof w:val="0"/>
          <w:lang w:val="en-US"/>
        </w:rPr>
      </w:pPr>
    </w:p>
    <w:p w:rsidR="00B628C2" w:rsidRPr="00610904" w:rsidRDefault="00882CCC" w:rsidP="00610904">
      <w:pPr>
        <w:ind w:left="426"/>
        <w:rPr>
          <w:i/>
          <w:noProof w:val="0"/>
          <w:lang w:val="en-US"/>
        </w:rPr>
      </w:pPr>
      <w:r w:rsidRPr="00610904">
        <w:rPr>
          <w:i/>
          <w:noProof w:val="0"/>
          <w:lang w:val="en-US"/>
        </w:rPr>
        <w:lastRenderedPageBreak/>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B628C2" w:rsidRPr="00610904" w:rsidRDefault="00B628C2" w:rsidP="00610904">
      <w:pPr>
        <w:rPr>
          <w:noProof w:val="0"/>
          <w:lang w:val="en-US"/>
        </w:rPr>
      </w:pPr>
    </w:p>
    <w:p w:rsidR="00CC5FB6" w:rsidRPr="00610904" w:rsidRDefault="002F5BBA" w:rsidP="00610904">
      <w:pPr>
        <w:numPr>
          <w:ilvl w:val="0"/>
          <w:numId w:val="1"/>
        </w:numPr>
        <w:contextualSpacing/>
        <w:rPr>
          <w:noProof w:val="0"/>
          <w:lang w:val="en-US"/>
        </w:rPr>
      </w:pPr>
      <w:r w:rsidRPr="00610904">
        <w:rPr>
          <w:noProof w:val="0"/>
          <w:lang w:val="en-US"/>
        </w:rPr>
        <w:t>The Commission</w:t>
      </w:r>
      <w:r w:rsidR="00B628C2" w:rsidRPr="00610904">
        <w:rPr>
          <w:noProof w:val="0"/>
          <w:lang w:val="en-US"/>
        </w:rPr>
        <w:t xml:space="preserve"> a</w:t>
      </w:r>
      <w:r w:rsidR="00CC5FB6" w:rsidRPr="00610904">
        <w:rPr>
          <w:noProof w:val="0"/>
          <w:lang w:val="en-US"/>
        </w:rPr>
        <w:t xml:space="preserve">rgued that the action for damages was rejected as a result of the absence of a final criminal </w:t>
      </w:r>
      <w:r w:rsidR="0058644E" w:rsidRPr="00610904">
        <w:rPr>
          <w:noProof w:val="0"/>
          <w:lang w:val="en-US"/>
        </w:rPr>
        <w:t>conviction</w:t>
      </w:r>
      <w:r w:rsidR="00CC5FB6" w:rsidRPr="00610904">
        <w:rPr>
          <w:noProof w:val="0"/>
          <w:lang w:val="en-US"/>
        </w:rPr>
        <w:t>. It als</w:t>
      </w:r>
      <w:r w:rsidR="0058644E" w:rsidRPr="00610904">
        <w:rPr>
          <w:noProof w:val="0"/>
          <w:lang w:val="en-US"/>
        </w:rPr>
        <w:t>o indicated that “it is not clear how the so-</w:t>
      </w:r>
      <w:r w:rsidR="00CC5FB6" w:rsidRPr="00610904">
        <w:rPr>
          <w:noProof w:val="0"/>
          <w:lang w:val="en-US"/>
        </w:rPr>
        <w:t>called lack of a prior judgment (</w:t>
      </w:r>
      <w:r w:rsidR="00CC5FB6" w:rsidRPr="00610904">
        <w:rPr>
          <w:i/>
          <w:noProof w:val="0"/>
          <w:lang w:val="en-US"/>
        </w:rPr>
        <w:t>prejudicialidad</w:t>
      </w:r>
      <w:r w:rsidR="00CC5FB6" w:rsidRPr="00610904">
        <w:rPr>
          <w:noProof w:val="0"/>
          <w:lang w:val="en-US"/>
        </w:rPr>
        <w:t xml:space="preserve">) operates in this type of case; according to the expert opinions received during the hearing and, in particular, that of </w:t>
      </w:r>
      <w:r w:rsidR="00B628C2" w:rsidRPr="00610904">
        <w:rPr>
          <w:noProof w:val="0"/>
          <w:lang w:val="en-US"/>
        </w:rPr>
        <w:t>Diego Zalamea León,</w:t>
      </w:r>
      <w:r w:rsidR="00CC5FB6" w:rsidRPr="00610904">
        <w:rPr>
          <w:noProof w:val="0"/>
          <w:lang w:val="en-US"/>
        </w:rPr>
        <w:t xml:space="preserve"> there was a context </w:t>
      </w:r>
      <w:r w:rsidR="0058644E" w:rsidRPr="00610904">
        <w:rPr>
          <w:noProof w:val="0"/>
          <w:lang w:val="en-US"/>
        </w:rPr>
        <w:t xml:space="preserve">of </w:t>
      </w:r>
      <w:r w:rsidR="00CC5FB6" w:rsidRPr="00610904">
        <w:rPr>
          <w:noProof w:val="0"/>
          <w:lang w:val="en-US"/>
        </w:rPr>
        <w:t>legal uncertainty in this regard.”</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representatives</w:t>
      </w:r>
      <w:r w:rsidR="00B628C2" w:rsidRPr="00610904">
        <w:rPr>
          <w:noProof w:val="0"/>
          <w:lang w:val="en-US"/>
        </w:rPr>
        <w:t xml:space="preserve"> </w:t>
      </w:r>
      <w:r w:rsidR="00CC5FB6" w:rsidRPr="00610904">
        <w:rPr>
          <w:noProof w:val="0"/>
          <w:lang w:val="en-US"/>
        </w:rPr>
        <w:t xml:space="preserve">indicated that, during the civil proceedings for damages, the judge declared that the civil action was not admissible because no responsibilities had been declared </w:t>
      </w:r>
      <w:r w:rsidR="004A6E8B" w:rsidRPr="00610904">
        <w:rPr>
          <w:noProof w:val="0"/>
          <w:lang w:val="en-US"/>
        </w:rPr>
        <w:t xml:space="preserve">in the </w:t>
      </w:r>
      <w:r w:rsidR="00521F86" w:rsidRPr="00610904">
        <w:rPr>
          <w:noProof w:val="0"/>
          <w:lang w:val="en-US"/>
        </w:rPr>
        <w:t xml:space="preserve">criminal proceedings </w:t>
      </w:r>
      <w:r w:rsidR="00CC5FB6" w:rsidRPr="00610904">
        <w:rPr>
          <w:noProof w:val="0"/>
          <w:lang w:val="en-US"/>
        </w:rPr>
        <w:t>that had been held. The</w:t>
      </w:r>
      <w:r w:rsidRPr="00610904">
        <w:rPr>
          <w:noProof w:val="0"/>
          <w:lang w:val="en-US"/>
        </w:rPr>
        <w:t xml:space="preserve"> representatives</w:t>
      </w:r>
      <w:r w:rsidR="00CC5FB6" w:rsidRPr="00610904">
        <w:rPr>
          <w:noProof w:val="0"/>
          <w:lang w:val="en-US"/>
        </w:rPr>
        <w:t xml:space="preserve"> also indicated that</w:t>
      </w:r>
      <w:r w:rsidR="00B628C2" w:rsidRPr="00610904">
        <w:rPr>
          <w:noProof w:val="0"/>
          <w:lang w:val="en-US"/>
        </w:rPr>
        <w:t xml:space="preserve"> </w:t>
      </w:r>
      <w:r w:rsidR="00CC5FB6" w:rsidRPr="00610904">
        <w:rPr>
          <w:noProof w:val="0"/>
          <w:lang w:val="en-US"/>
        </w:rPr>
        <w:t xml:space="preserve">the absence of a decision in the criminal proceedings had prejudiced the civil trial. In this regard, they asserted that “[t]he civil judge should not have taken several years to declare something that was known from the time the complaint was </w:t>
      </w:r>
      <w:r w:rsidR="0058644E" w:rsidRPr="00610904">
        <w:rPr>
          <w:noProof w:val="0"/>
          <w:lang w:val="en-US"/>
        </w:rPr>
        <w:t>fil</w:t>
      </w:r>
      <w:r w:rsidR="00CC5FB6" w:rsidRPr="00610904">
        <w:rPr>
          <w:noProof w:val="0"/>
          <w:lang w:val="en-US"/>
        </w:rPr>
        <w:t>ed,”</w:t>
      </w:r>
      <w:r w:rsidRPr="00610904">
        <w:rPr>
          <w:noProof w:val="0"/>
          <w:lang w:val="en-US"/>
        </w:rPr>
        <w:t xml:space="preserve"> and </w:t>
      </w:r>
      <w:r w:rsidR="00CC5FB6" w:rsidRPr="00610904">
        <w:rPr>
          <w:noProof w:val="0"/>
          <w:lang w:val="en-US"/>
        </w:rPr>
        <w:t xml:space="preserve">that the petition submitted by </w:t>
      </w:r>
      <w:r w:rsidR="00B628C2" w:rsidRPr="00610904">
        <w:rPr>
          <w:noProof w:val="0"/>
          <w:lang w:val="en-US"/>
        </w:rPr>
        <w:t xml:space="preserve">Teresa Lluy </w:t>
      </w:r>
      <w:r w:rsidR="00CC5FB6" w:rsidRPr="00610904">
        <w:rPr>
          <w:noProof w:val="0"/>
          <w:lang w:val="en-US"/>
        </w:rPr>
        <w:t>was for non-pecuniary damage and did not seek compensation for an offense, so that different evidence was required</w:t>
      </w:r>
      <w:r w:rsidR="00B628C2" w:rsidRPr="00610904">
        <w:rPr>
          <w:noProof w:val="0"/>
          <w:lang w:val="en-US"/>
        </w:rPr>
        <w:t>.</w:t>
      </w:r>
    </w:p>
    <w:p w:rsidR="00B628C2" w:rsidRPr="00610904" w:rsidRDefault="00B628C2" w:rsidP="00610904">
      <w:pPr>
        <w:rPr>
          <w:noProof w:val="0"/>
          <w:lang w:val="en-US"/>
        </w:rPr>
      </w:pPr>
    </w:p>
    <w:p w:rsidR="00CC5FB6" w:rsidRPr="00610904" w:rsidRDefault="009F3D78" w:rsidP="00610904">
      <w:pPr>
        <w:numPr>
          <w:ilvl w:val="0"/>
          <w:numId w:val="1"/>
        </w:numPr>
        <w:contextualSpacing/>
        <w:rPr>
          <w:noProof w:val="0"/>
          <w:lang w:val="en-US"/>
        </w:rPr>
      </w:pPr>
      <w:r w:rsidRPr="00610904">
        <w:rPr>
          <w:rFonts w:cs="Arial"/>
          <w:noProof w:val="0"/>
          <w:lang w:val="en-US"/>
        </w:rPr>
        <w:t>The State</w:t>
      </w:r>
      <w:r w:rsidR="00B628C2" w:rsidRPr="00610904">
        <w:rPr>
          <w:rFonts w:cs="Arial"/>
          <w:noProof w:val="0"/>
          <w:lang w:val="en-US"/>
        </w:rPr>
        <w:t xml:space="preserve"> </w:t>
      </w:r>
      <w:r w:rsidR="00CC5FB6" w:rsidRPr="00610904">
        <w:rPr>
          <w:rFonts w:cs="Arial"/>
          <w:noProof w:val="0"/>
          <w:lang w:val="en-US"/>
        </w:rPr>
        <w:t>pointed out</w:t>
      </w:r>
      <w:r w:rsidR="0058644E" w:rsidRPr="00610904">
        <w:rPr>
          <w:rFonts w:cs="Arial"/>
          <w:noProof w:val="0"/>
          <w:lang w:val="en-US"/>
        </w:rPr>
        <w:t xml:space="preserve"> that, in Ecuador, a</w:t>
      </w:r>
      <w:r w:rsidR="00CC5FB6" w:rsidRPr="00610904">
        <w:rPr>
          <w:rFonts w:cs="Arial"/>
          <w:noProof w:val="0"/>
          <w:lang w:val="en-US"/>
        </w:rPr>
        <w:t xml:space="preserve"> criminal conviction was an essential pre-judgment requirement in order to conduct the civil action for damages arising from the perpetration of a criminal offense. The State considered that the inadequate legal advice given to Teresa Lluy induced her in error as to the channel she should use to sue those pres</w:t>
      </w:r>
      <w:r w:rsidR="0058644E" w:rsidRPr="00610904">
        <w:rPr>
          <w:rFonts w:cs="Arial"/>
          <w:noProof w:val="0"/>
          <w:lang w:val="en-US"/>
        </w:rPr>
        <w:t>u</w:t>
      </w:r>
      <w:r w:rsidR="00CC5FB6" w:rsidRPr="00610904">
        <w:rPr>
          <w:rFonts w:cs="Arial"/>
          <w:noProof w:val="0"/>
          <w:lang w:val="en-US"/>
        </w:rPr>
        <w:t>mably responsi</w:t>
      </w:r>
      <w:r w:rsidR="0043290F" w:rsidRPr="00610904">
        <w:rPr>
          <w:rFonts w:cs="Arial"/>
          <w:noProof w:val="0"/>
          <w:lang w:val="en-US"/>
        </w:rPr>
        <w:t>b</w:t>
      </w:r>
      <w:r w:rsidR="00CC5FB6" w:rsidRPr="00610904">
        <w:rPr>
          <w:rFonts w:cs="Arial"/>
          <w:noProof w:val="0"/>
          <w:lang w:val="en-US"/>
        </w:rPr>
        <w:t xml:space="preserve">le, by filing a civil action for compensation – which was not admissible because, since no one had been found guilty in a criminal trial “it [was] illogical that they should be obliged to pay civil obligations” – rather than the </w:t>
      </w:r>
      <w:r w:rsidR="008A4E77" w:rsidRPr="00610904">
        <w:rPr>
          <w:rFonts w:cs="Arial"/>
          <w:noProof w:val="0"/>
          <w:lang w:val="en-US"/>
        </w:rPr>
        <w:t xml:space="preserve">action for an ordinary hearing designed to establish the right to receive redress for non-pecuniary damage. The State also affirmed that, although it is true that the </w:t>
      </w:r>
      <w:r w:rsidR="0058644E" w:rsidRPr="00610904">
        <w:rPr>
          <w:rFonts w:cs="Arial"/>
          <w:noProof w:val="0"/>
          <w:lang w:val="en-US"/>
        </w:rPr>
        <w:t xml:space="preserve">ruling </w:t>
      </w:r>
      <w:r w:rsidR="008A4E77" w:rsidRPr="00610904">
        <w:rPr>
          <w:rFonts w:cs="Arial"/>
          <w:noProof w:val="0"/>
          <w:lang w:val="en-US"/>
        </w:rPr>
        <w:t xml:space="preserve">of the civil first instance judge </w:t>
      </w:r>
      <w:r w:rsidR="0058644E" w:rsidRPr="00610904">
        <w:rPr>
          <w:rFonts w:cs="Arial"/>
          <w:noProof w:val="0"/>
          <w:lang w:val="en-US"/>
        </w:rPr>
        <w:t xml:space="preserve">had </w:t>
      </w:r>
      <w:r w:rsidR="008A4E77" w:rsidRPr="00610904">
        <w:rPr>
          <w:rFonts w:cs="Arial"/>
          <w:noProof w:val="0"/>
          <w:lang w:val="en-US"/>
        </w:rPr>
        <w:t>declared that the complaint was inadmissible on legal grounds, Teresa Lluy could have contested this ruling, which was later confirmed by the Supreme Court pursuant to the Ecuadorian legal fram</w:t>
      </w:r>
      <w:r w:rsidR="0058644E" w:rsidRPr="00610904">
        <w:rPr>
          <w:rFonts w:cs="Arial"/>
          <w:noProof w:val="0"/>
          <w:lang w:val="en-US"/>
        </w:rPr>
        <w:t>e</w:t>
      </w:r>
      <w:r w:rsidR="008A4E77" w:rsidRPr="00610904">
        <w:rPr>
          <w:rFonts w:cs="Arial"/>
          <w:noProof w:val="0"/>
          <w:lang w:val="en-US"/>
        </w:rPr>
        <w:t>work in this regard.</w:t>
      </w:r>
    </w:p>
    <w:p w:rsidR="00B628C2" w:rsidRPr="00610904" w:rsidRDefault="00B628C2" w:rsidP="00610904">
      <w:pPr>
        <w:rPr>
          <w:noProof w:val="0"/>
          <w:lang w:val="en-US"/>
        </w:rPr>
      </w:pPr>
    </w:p>
    <w:p w:rsidR="00B628C2"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B628C2" w:rsidRPr="00610904" w:rsidRDefault="00B628C2" w:rsidP="00610904">
      <w:pPr>
        <w:rPr>
          <w:noProof w:val="0"/>
          <w:lang w:val="en-US"/>
        </w:rPr>
      </w:pPr>
    </w:p>
    <w:p w:rsidR="00B628C2" w:rsidRPr="00610904" w:rsidRDefault="009F3D78" w:rsidP="00610904">
      <w:pPr>
        <w:numPr>
          <w:ilvl w:val="0"/>
          <w:numId w:val="1"/>
        </w:numPr>
        <w:contextualSpacing/>
        <w:rPr>
          <w:noProof w:val="0"/>
          <w:lang w:val="en-US"/>
        </w:rPr>
      </w:pPr>
      <w:r w:rsidRPr="00610904">
        <w:rPr>
          <w:noProof w:val="0"/>
          <w:lang w:val="en-US"/>
        </w:rPr>
        <w:t>The Court</w:t>
      </w:r>
      <w:r w:rsidR="0002332D" w:rsidRPr="00610904">
        <w:rPr>
          <w:noProof w:val="0"/>
          <w:lang w:val="en-US"/>
        </w:rPr>
        <w:t xml:space="preserve"> observes that the argument </w:t>
      </w:r>
      <w:r w:rsidR="003309BE" w:rsidRPr="00610904">
        <w:rPr>
          <w:noProof w:val="0"/>
          <w:lang w:val="en-US"/>
        </w:rPr>
        <w:t xml:space="preserve">of the </w:t>
      </w:r>
      <w:r w:rsidRPr="00610904">
        <w:rPr>
          <w:noProof w:val="0"/>
          <w:lang w:val="en-US"/>
        </w:rPr>
        <w:t xml:space="preserve">representatives and </w:t>
      </w:r>
      <w:r w:rsidR="002F5BBA" w:rsidRPr="00610904">
        <w:rPr>
          <w:noProof w:val="0"/>
          <w:lang w:val="en-US"/>
        </w:rPr>
        <w:t>the Commission</w:t>
      </w:r>
      <w:r w:rsidR="0002332D" w:rsidRPr="00610904">
        <w:rPr>
          <w:noProof w:val="0"/>
          <w:lang w:val="en-US"/>
        </w:rPr>
        <w:t xml:space="preserve"> focuses on an undue application of the need for a prior ruling (</w:t>
      </w:r>
      <w:r w:rsidR="00B628C2" w:rsidRPr="00610904">
        <w:rPr>
          <w:i/>
          <w:noProof w:val="0"/>
          <w:lang w:val="en-US"/>
        </w:rPr>
        <w:t>prejudicialidad</w:t>
      </w:r>
      <w:r w:rsidR="0002332D" w:rsidRPr="00610904">
        <w:rPr>
          <w:noProof w:val="0"/>
          <w:lang w:val="en-US"/>
        </w:rPr>
        <w:t>) by the Ecuadorian courts, as well as a context of lack of legal certainty concerning this mechanism.</w:t>
      </w:r>
      <w:r w:rsidR="00E61F33" w:rsidRPr="00610904">
        <w:rPr>
          <w:rStyle w:val="FootnoteReference"/>
          <w:noProof w:val="0"/>
          <w:lang w:val="en-US"/>
        </w:rPr>
        <w:footnoteReference w:id="361"/>
      </w:r>
      <w:r w:rsidR="00B628C2" w:rsidRPr="00610904">
        <w:rPr>
          <w:noProof w:val="0"/>
          <w:lang w:val="en-US"/>
        </w:rPr>
        <w:t xml:space="preserve"> </w:t>
      </w:r>
      <w:r w:rsidR="0002332D" w:rsidRPr="00610904">
        <w:rPr>
          <w:noProof w:val="0"/>
          <w:lang w:val="en-US"/>
        </w:rPr>
        <w:t xml:space="preserve">In this regard, it should be pointed out that the need for a prior ruling in civil proceedings </w:t>
      </w:r>
      <w:r w:rsidR="0043290F" w:rsidRPr="00610904">
        <w:rPr>
          <w:noProof w:val="0"/>
          <w:lang w:val="en-US"/>
        </w:rPr>
        <w:t>was establ</w:t>
      </w:r>
      <w:r w:rsidR="0002332D" w:rsidRPr="00610904">
        <w:rPr>
          <w:noProof w:val="0"/>
          <w:lang w:val="en-US"/>
        </w:rPr>
        <w:t>ished in the 1983 Code of Criminal Procedure.</w:t>
      </w:r>
      <w:r w:rsidR="00B628C2" w:rsidRPr="00610904">
        <w:rPr>
          <w:rStyle w:val="FootnoteReference"/>
          <w:noProof w:val="0"/>
          <w:lang w:val="en-US"/>
        </w:rPr>
        <w:footnoteReference w:id="362"/>
      </w:r>
      <w:r w:rsidR="0002332D" w:rsidRPr="00610904">
        <w:rPr>
          <w:noProof w:val="0"/>
          <w:lang w:val="en-US"/>
        </w:rPr>
        <w:t xml:space="preserve"> In addition,</w:t>
      </w:r>
      <w:r w:rsidR="00B628C2" w:rsidRPr="00610904">
        <w:rPr>
          <w:noProof w:val="0"/>
          <w:lang w:val="en-US"/>
        </w:rPr>
        <w:t xml:space="preserve"> </w:t>
      </w:r>
      <w:bookmarkStart w:id="136" w:name="_Ref319567901"/>
      <w:r w:rsidR="0002332D" w:rsidRPr="00610904">
        <w:rPr>
          <w:noProof w:val="0"/>
          <w:lang w:val="en-US"/>
        </w:rPr>
        <w:t>the need for a prior ruling has been analyzed by the Ecuadorian domestic courts</w:t>
      </w:r>
      <w:r w:rsidR="0058644E" w:rsidRPr="00610904">
        <w:rPr>
          <w:noProof w:val="0"/>
          <w:lang w:val="en-US"/>
        </w:rPr>
        <w:t xml:space="preserve"> in various cases</w:t>
      </w:r>
      <w:r w:rsidR="0002332D" w:rsidRPr="00610904">
        <w:rPr>
          <w:noProof w:val="0"/>
          <w:lang w:val="en-US"/>
        </w:rPr>
        <w:t xml:space="preserve">, </w:t>
      </w:r>
      <w:r w:rsidR="00B628C2" w:rsidRPr="00610904">
        <w:rPr>
          <w:rStyle w:val="FootnoteReference"/>
          <w:noProof w:val="0"/>
          <w:lang w:val="en-US"/>
        </w:rPr>
        <w:footnoteReference w:id="363"/>
      </w:r>
      <w:bookmarkEnd w:id="136"/>
      <w:r w:rsidR="0002332D" w:rsidRPr="00610904">
        <w:rPr>
          <w:noProof w:val="0"/>
          <w:lang w:val="en-US"/>
        </w:rPr>
        <w:t xml:space="preserve"> </w:t>
      </w:r>
      <w:r w:rsidR="0002332D" w:rsidRPr="00610904">
        <w:rPr>
          <w:noProof w:val="0"/>
          <w:lang w:val="en-US"/>
        </w:rPr>
        <w:lastRenderedPageBreak/>
        <w:t xml:space="preserve">as in the ruling on the claim </w:t>
      </w:r>
      <w:r w:rsidR="003A67CA" w:rsidRPr="00610904">
        <w:rPr>
          <w:noProof w:val="0"/>
          <w:lang w:val="en-US"/>
        </w:rPr>
        <w:t>for damages</w:t>
      </w:r>
      <w:r w:rsidR="00B628C2" w:rsidRPr="00610904">
        <w:rPr>
          <w:noProof w:val="0"/>
          <w:lang w:val="en-US"/>
        </w:rPr>
        <w:t xml:space="preserve"> </w:t>
      </w:r>
      <w:r w:rsidR="0002332D" w:rsidRPr="00610904">
        <w:rPr>
          <w:noProof w:val="0"/>
          <w:lang w:val="en-US"/>
        </w:rPr>
        <w:t>filed by</w:t>
      </w:r>
      <w:r w:rsidR="00B628C2" w:rsidRPr="00610904">
        <w:rPr>
          <w:noProof w:val="0"/>
          <w:lang w:val="en-US"/>
        </w:rPr>
        <w:t xml:space="preserve"> Teresa Lluy. </w:t>
      </w:r>
      <w:r w:rsidR="0002332D" w:rsidRPr="00610904">
        <w:rPr>
          <w:noProof w:val="0"/>
          <w:lang w:val="en-US"/>
        </w:rPr>
        <w:t>The</w:t>
      </w:r>
      <w:r w:rsidRPr="00610904">
        <w:rPr>
          <w:noProof w:val="0"/>
          <w:lang w:val="en-US"/>
        </w:rPr>
        <w:t xml:space="preserve"> Court</w:t>
      </w:r>
      <w:r w:rsidR="0002332D" w:rsidRPr="00610904">
        <w:rPr>
          <w:noProof w:val="0"/>
          <w:lang w:val="en-US"/>
        </w:rPr>
        <w:t xml:space="preserve"> also observes that this need for a prior ruling exists in some other legal systems in the region,</w:t>
      </w:r>
      <w:r w:rsidR="00B628C2" w:rsidRPr="00610904">
        <w:rPr>
          <w:rStyle w:val="FootnoteReference"/>
          <w:noProof w:val="0"/>
          <w:lang w:val="en-US"/>
        </w:rPr>
        <w:footnoteReference w:id="364"/>
      </w:r>
      <w:r w:rsidRPr="00610904">
        <w:rPr>
          <w:noProof w:val="0"/>
          <w:lang w:val="en-US"/>
        </w:rPr>
        <w:t xml:space="preserve"> and </w:t>
      </w:r>
      <w:r w:rsidR="0002332D" w:rsidRPr="00610904">
        <w:rPr>
          <w:noProof w:val="0"/>
          <w:lang w:val="en-US"/>
        </w:rPr>
        <w:t>the Court has assessed it previously in other cases.</w:t>
      </w:r>
      <w:r w:rsidR="00B628C2" w:rsidRPr="00610904">
        <w:rPr>
          <w:rStyle w:val="FootnoteReference"/>
          <w:noProof w:val="0"/>
          <w:lang w:val="en-US"/>
        </w:rPr>
        <w:footnoteReference w:id="365"/>
      </w:r>
    </w:p>
    <w:p w:rsidR="00B628C2" w:rsidRPr="00610904" w:rsidRDefault="00B628C2" w:rsidP="00610904">
      <w:pPr>
        <w:rPr>
          <w:noProof w:val="0"/>
          <w:lang w:val="en-US"/>
        </w:rPr>
      </w:pPr>
    </w:p>
    <w:p w:rsidR="0002332D" w:rsidRPr="00610904" w:rsidRDefault="009F3D78" w:rsidP="00610904">
      <w:pPr>
        <w:numPr>
          <w:ilvl w:val="0"/>
          <w:numId w:val="1"/>
        </w:numPr>
        <w:contextualSpacing/>
        <w:rPr>
          <w:noProof w:val="0"/>
          <w:lang w:val="en-US"/>
        </w:rPr>
      </w:pPr>
      <w:r w:rsidRPr="00610904">
        <w:rPr>
          <w:noProof w:val="0"/>
          <w:lang w:val="en-US"/>
        </w:rPr>
        <w:t>The Court</w:t>
      </w:r>
      <w:r w:rsidR="0002332D" w:rsidRPr="00610904">
        <w:rPr>
          <w:noProof w:val="0"/>
          <w:lang w:val="en-US"/>
        </w:rPr>
        <w:t xml:space="preserve"> considers that, in this case, there is insufficient evidence to conclude that the existence of the need for a prior judgment (</w:t>
      </w:r>
      <w:r w:rsidR="00B628C2" w:rsidRPr="00610904">
        <w:rPr>
          <w:i/>
          <w:noProof w:val="0"/>
          <w:lang w:val="en-US"/>
        </w:rPr>
        <w:t>prejudicialidad</w:t>
      </w:r>
      <w:r w:rsidR="0002332D" w:rsidRPr="00610904">
        <w:rPr>
          <w:noProof w:val="0"/>
          <w:lang w:val="en-US"/>
        </w:rPr>
        <w:t>)</w:t>
      </w:r>
      <w:r w:rsidR="00B628C2" w:rsidRPr="00610904">
        <w:rPr>
          <w:noProof w:val="0"/>
          <w:lang w:val="en-US"/>
        </w:rPr>
        <w:t xml:space="preserve"> </w:t>
      </w:r>
      <w:r w:rsidR="0002332D" w:rsidRPr="00610904">
        <w:rPr>
          <w:noProof w:val="0"/>
          <w:lang w:val="en-US"/>
        </w:rPr>
        <w:t>under Ecuadorian law constitutes, in itself, a violation of</w:t>
      </w:r>
      <w:r w:rsidR="00B628C2" w:rsidRPr="00610904">
        <w:rPr>
          <w:noProof w:val="0"/>
          <w:lang w:val="en-US"/>
        </w:rPr>
        <w:t xml:space="preserve"> </w:t>
      </w:r>
      <w:r w:rsidR="00830022" w:rsidRPr="00610904">
        <w:rPr>
          <w:noProof w:val="0"/>
          <w:lang w:val="en-US"/>
        </w:rPr>
        <w:t>judicial guarantees</w:t>
      </w:r>
      <w:r w:rsidR="00B628C2" w:rsidRPr="00610904">
        <w:rPr>
          <w:noProof w:val="0"/>
          <w:lang w:val="en-US"/>
        </w:rPr>
        <w:t xml:space="preserve">. </w:t>
      </w:r>
      <w:r w:rsidR="0002332D" w:rsidRPr="00610904">
        <w:rPr>
          <w:noProof w:val="0"/>
          <w:lang w:val="en-US"/>
        </w:rPr>
        <w:t>In this regard, the Court considers that, although the need for a prior judgment was applied</w:t>
      </w:r>
      <w:r w:rsidR="00B628C2" w:rsidRPr="00610904">
        <w:rPr>
          <w:noProof w:val="0"/>
          <w:lang w:val="en-US"/>
        </w:rPr>
        <w:t xml:space="preserve"> </w:t>
      </w:r>
      <w:r w:rsidR="0002332D" w:rsidRPr="00610904">
        <w:rPr>
          <w:noProof w:val="0"/>
          <w:lang w:val="en-US"/>
        </w:rPr>
        <w:t xml:space="preserve">in this case, it was based on the Ecuadorian laws in force at the time of the events, in relation to the remedy filed by </w:t>
      </w:r>
      <w:r w:rsidR="00B628C2" w:rsidRPr="00610904">
        <w:rPr>
          <w:noProof w:val="0"/>
          <w:lang w:val="en-US"/>
        </w:rPr>
        <w:t xml:space="preserve">Teresa Lluy. </w:t>
      </w:r>
      <w:r w:rsidR="0002332D" w:rsidRPr="00610904">
        <w:rPr>
          <w:noProof w:val="0"/>
          <w:lang w:val="en-US"/>
        </w:rPr>
        <w:t xml:space="preserve">The Court also considers that insufficient arguments and evidence have been presented to affirm that the remedy </w:t>
      </w:r>
      <w:r w:rsidR="008E668D" w:rsidRPr="00610904">
        <w:rPr>
          <w:noProof w:val="0"/>
          <w:lang w:val="en-US"/>
        </w:rPr>
        <w:t>filed by</w:t>
      </w:r>
      <w:r w:rsidR="00B628C2" w:rsidRPr="00610904">
        <w:rPr>
          <w:noProof w:val="0"/>
          <w:lang w:val="en-US"/>
        </w:rPr>
        <w:t xml:space="preserve"> Teresa Lluy</w:t>
      </w:r>
      <w:r w:rsidR="0002332D" w:rsidRPr="00610904">
        <w:rPr>
          <w:noProof w:val="0"/>
          <w:lang w:val="en-US"/>
        </w:rPr>
        <w:t xml:space="preserve"> was the result of a lack of clarity in the laws of Ecuador. The Court observes that the filing of the claim for damages could be due to imprecision by Teresa Lluy’s</w:t>
      </w:r>
      <w:r w:rsidR="003309BE" w:rsidRPr="00610904">
        <w:rPr>
          <w:noProof w:val="0"/>
          <w:lang w:val="en-US"/>
        </w:rPr>
        <w:t xml:space="preserve"> </w:t>
      </w:r>
      <w:r w:rsidRPr="00610904">
        <w:rPr>
          <w:noProof w:val="0"/>
          <w:lang w:val="en-US"/>
        </w:rPr>
        <w:t>representatives</w:t>
      </w:r>
      <w:r w:rsidR="00B628C2" w:rsidRPr="00610904">
        <w:rPr>
          <w:noProof w:val="0"/>
          <w:lang w:val="en-US"/>
        </w:rPr>
        <w:t xml:space="preserve"> </w:t>
      </w:r>
      <w:r w:rsidR="0002332D" w:rsidRPr="00610904">
        <w:rPr>
          <w:noProof w:val="0"/>
          <w:lang w:val="en-US"/>
        </w:rPr>
        <w:t>at the domestic level, and there is no evidence to attribute to the State the negative effects that this domestic litigation strategy or the inadequacies of the litigation may have caused the presumed victims.</w:t>
      </w:r>
    </w:p>
    <w:p w:rsidR="00B628C2" w:rsidRPr="00610904" w:rsidRDefault="00B628C2" w:rsidP="00610904">
      <w:pPr>
        <w:widowControl w:val="0"/>
        <w:rPr>
          <w:rFonts w:eastAsia="Calibri" w:cs="Verdana"/>
          <w:noProof w:val="0"/>
          <w:lang w:val="en-US"/>
        </w:rPr>
      </w:pPr>
      <w:r w:rsidRPr="00610904">
        <w:rPr>
          <w:rFonts w:eastAsia="Calibri" w:cs="Verdana"/>
          <w:noProof w:val="0"/>
          <w:lang w:val="en-US"/>
        </w:rPr>
        <w:t xml:space="preserve">                                                                                                                                                                                                                                                                                                                                                                                                                                                                                                             </w:t>
      </w:r>
    </w:p>
    <w:p w:rsidR="00B628C2" w:rsidRPr="00610904" w:rsidRDefault="00223622" w:rsidP="00610904">
      <w:pPr>
        <w:pStyle w:val="Heading2"/>
        <w:numPr>
          <w:ilvl w:val="0"/>
          <w:numId w:val="12"/>
        </w:numPr>
        <w:spacing w:before="0" w:after="0"/>
        <w:rPr>
          <w:noProof w:val="0"/>
          <w:lang w:val="en-US"/>
        </w:rPr>
      </w:pPr>
      <w:bookmarkStart w:id="137" w:name="_Toc429519516"/>
      <w:bookmarkStart w:id="138" w:name="_Toc443399115"/>
      <w:r w:rsidRPr="00610904">
        <w:rPr>
          <w:noProof w:val="0"/>
          <w:lang w:val="en-US"/>
        </w:rPr>
        <w:t>Alleged</w:t>
      </w:r>
      <w:r w:rsidR="00B628C2" w:rsidRPr="00610904">
        <w:rPr>
          <w:noProof w:val="0"/>
          <w:lang w:val="en-US"/>
        </w:rPr>
        <w:t xml:space="preserve"> </w:t>
      </w:r>
      <w:r w:rsidR="00830022" w:rsidRPr="00610904">
        <w:rPr>
          <w:noProof w:val="0"/>
          <w:lang w:val="en-US"/>
        </w:rPr>
        <w:t>violation of</w:t>
      </w:r>
      <w:r w:rsidR="00B628C2" w:rsidRPr="00610904">
        <w:rPr>
          <w:noProof w:val="0"/>
          <w:lang w:val="en-US"/>
        </w:rPr>
        <w:t xml:space="preserve"> </w:t>
      </w:r>
      <w:r w:rsidR="00A8072E" w:rsidRPr="00610904">
        <w:rPr>
          <w:noProof w:val="0"/>
          <w:lang w:val="en-US"/>
        </w:rPr>
        <w:t>Article</w:t>
      </w:r>
      <w:r w:rsidR="00B628C2" w:rsidRPr="00610904">
        <w:rPr>
          <w:noProof w:val="0"/>
          <w:lang w:val="en-US"/>
        </w:rPr>
        <w:t xml:space="preserve"> 25</w:t>
      </w:r>
      <w:r w:rsidR="009F3D78" w:rsidRPr="00610904">
        <w:rPr>
          <w:noProof w:val="0"/>
          <w:lang w:val="en-US"/>
        </w:rPr>
        <w:t xml:space="preserve"> of the Convention</w:t>
      </w:r>
      <w:r w:rsidR="00B628C2" w:rsidRPr="00610904">
        <w:rPr>
          <w:noProof w:val="0"/>
          <w:lang w:val="en-US"/>
        </w:rPr>
        <w:t xml:space="preserve"> – </w:t>
      </w:r>
      <w:r w:rsidR="00830022" w:rsidRPr="00610904">
        <w:rPr>
          <w:noProof w:val="0"/>
          <w:lang w:val="en-US"/>
        </w:rPr>
        <w:t>judicial protection</w:t>
      </w:r>
      <w:bookmarkEnd w:id="137"/>
      <w:bookmarkEnd w:id="138"/>
    </w:p>
    <w:p w:rsidR="00B628C2" w:rsidRPr="00610904" w:rsidRDefault="00B628C2" w:rsidP="00610904">
      <w:pPr>
        <w:rPr>
          <w:noProof w:val="0"/>
          <w:lang w:val="en-US"/>
        </w:rPr>
      </w:pPr>
      <w:bookmarkStart w:id="139" w:name="_Toc410979621"/>
    </w:p>
    <w:p w:rsidR="00B628C2" w:rsidRPr="00610904" w:rsidRDefault="00B628C2" w:rsidP="00610904">
      <w:pPr>
        <w:pStyle w:val="Heading3"/>
        <w:ind w:left="0" w:firstLine="709"/>
        <w:rPr>
          <w:noProof w:val="0"/>
          <w:lang w:val="en-US"/>
        </w:rPr>
      </w:pPr>
      <w:bookmarkStart w:id="140" w:name="_Toc429519517"/>
      <w:bookmarkStart w:id="141" w:name="_Toc443399116"/>
      <w:r w:rsidRPr="00610904">
        <w:rPr>
          <w:noProof w:val="0"/>
          <w:lang w:val="en-US"/>
        </w:rPr>
        <w:t xml:space="preserve">B.1. </w:t>
      </w:r>
      <w:r w:rsidR="0002332D" w:rsidRPr="00610904">
        <w:rPr>
          <w:noProof w:val="0"/>
          <w:lang w:val="en-US"/>
        </w:rPr>
        <w:t>A</w:t>
      </w:r>
      <w:r w:rsidR="0056398E" w:rsidRPr="00610904">
        <w:rPr>
          <w:noProof w:val="0"/>
          <w:lang w:val="en-US"/>
        </w:rPr>
        <w:t>pplication</w:t>
      </w:r>
      <w:r w:rsidR="0002332D" w:rsidRPr="00610904">
        <w:rPr>
          <w:noProof w:val="0"/>
          <w:lang w:val="en-US"/>
        </w:rPr>
        <w:t xml:space="preserve"> for</w:t>
      </w:r>
      <w:r w:rsidRPr="00610904">
        <w:rPr>
          <w:noProof w:val="0"/>
          <w:lang w:val="en-US"/>
        </w:rPr>
        <w:t xml:space="preserve"> </w:t>
      </w:r>
      <w:r w:rsidR="00852A2E" w:rsidRPr="00610904">
        <w:rPr>
          <w:noProof w:val="0"/>
          <w:lang w:val="en-US"/>
        </w:rPr>
        <w:t>constitutional protection</w:t>
      </w:r>
      <w:bookmarkEnd w:id="140"/>
      <w:r w:rsidR="0056398E" w:rsidRPr="00610904">
        <w:rPr>
          <w:noProof w:val="0"/>
          <w:lang w:val="en-US"/>
        </w:rPr>
        <w:t xml:space="preserve"> (amparo)</w:t>
      </w:r>
      <w:bookmarkEnd w:id="141"/>
    </w:p>
    <w:p w:rsidR="00B628C2" w:rsidRPr="00610904" w:rsidRDefault="00B628C2" w:rsidP="00610904">
      <w:pPr>
        <w:rPr>
          <w:i/>
          <w:noProof w:val="0"/>
          <w:u w:val="single"/>
          <w:lang w:val="en-US"/>
        </w:rPr>
      </w:pPr>
    </w:p>
    <w:p w:rsidR="00B628C2" w:rsidRPr="00610904" w:rsidRDefault="00882CCC" w:rsidP="00610904">
      <w:pPr>
        <w:ind w:firstLine="426"/>
        <w:rPr>
          <w:i/>
          <w:noProof w:val="0"/>
          <w:lang w:val="en-US"/>
        </w:rPr>
      </w:pPr>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B628C2" w:rsidRPr="00610904" w:rsidRDefault="00B628C2" w:rsidP="00610904">
      <w:pPr>
        <w:rPr>
          <w:rFonts w:cs="Arial"/>
          <w:b/>
          <w:noProof w:val="0"/>
          <w:szCs w:val="20"/>
          <w:lang w:val="en-US"/>
        </w:rPr>
      </w:pPr>
    </w:p>
    <w:p w:rsidR="00B628C2" w:rsidRPr="00610904" w:rsidRDefault="009F3D78" w:rsidP="00610904">
      <w:pPr>
        <w:pStyle w:val="BodyText"/>
        <w:widowControl w:val="0"/>
        <w:numPr>
          <w:ilvl w:val="0"/>
          <w:numId w:val="1"/>
        </w:numPr>
        <w:tabs>
          <w:tab w:val="left" w:pos="720"/>
        </w:tabs>
        <w:rPr>
          <w:rFonts w:ascii="Verdana" w:hAnsi="Verdana" w:cs="Arial"/>
          <w:noProof w:val="0"/>
          <w:sz w:val="20"/>
          <w:lang w:val="en-US"/>
        </w:rPr>
      </w:pPr>
      <w:r w:rsidRPr="00610904">
        <w:rPr>
          <w:rFonts w:ascii="Verdana" w:hAnsi="Verdana" w:cs="Arial"/>
          <w:noProof w:val="0"/>
          <w:sz w:val="20"/>
          <w:lang w:val="en-US"/>
        </w:rPr>
        <w:t>The representatives</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indicated that, in the</w:t>
      </w:r>
      <w:r w:rsidR="0002332D" w:rsidRPr="00610904">
        <w:rPr>
          <w:rFonts w:ascii="Verdana" w:hAnsi="Verdana" w:cs="Arial"/>
          <w:i/>
          <w:noProof w:val="0"/>
          <w:sz w:val="20"/>
          <w:lang w:val="en-US"/>
        </w:rPr>
        <w:t xml:space="preserve"> amparo</w:t>
      </w:r>
      <w:r w:rsidR="0002332D" w:rsidRPr="00610904">
        <w:rPr>
          <w:rFonts w:ascii="Verdana" w:hAnsi="Verdana" w:cs="Arial"/>
          <w:noProof w:val="0"/>
          <w:sz w:val="20"/>
          <w:lang w:val="en-US"/>
        </w:rPr>
        <w:t xml:space="preserve"> proceedings, “the</w:t>
      </w:r>
      <w:r w:rsidR="00B628C2" w:rsidRPr="00610904">
        <w:rPr>
          <w:rFonts w:ascii="Verdana" w:hAnsi="Verdana" w:cs="Arial"/>
          <w:noProof w:val="0"/>
          <w:sz w:val="20"/>
          <w:lang w:val="en-US"/>
        </w:rPr>
        <w:t xml:space="preserve"> </w:t>
      </w:r>
      <w:r w:rsidRPr="00610904">
        <w:rPr>
          <w:rFonts w:ascii="Verdana" w:hAnsi="Verdana" w:cs="Arial"/>
          <w:noProof w:val="0"/>
          <w:sz w:val="20"/>
          <w:lang w:val="en-US"/>
        </w:rPr>
        <w:t>judge</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protected</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 xml:space="preserve">those who ha[d] not asked for protection and who [were] not victims of </w:t>
      </w:r>
      <w:r w:rsidR="0058644E" w:rsidRPr="00610904">
        <w:rPr>
          <w:rFonts w:ascii="Verdana" w:hAnsi="Verdana" w:cs="Arial"/>
          <w:noProof w:val="0"/>
          <w:sz w:val="20"/>
          <w:lang w:val="en-US"/>
        </w:rPr>
        <w:t>[the violation of their] rights,</w:t>
      </w:r>
      <w:r w:rsidR="0002332D" w:rsidRPr="00610904">
        <w:rPr>
          <w:rFonts w:ascii="Verdana" w:hAnsi="Verdana" w:cs="Arial"/>
          <w:noProof w:val="0"/>
          <w:sz w:val="20"/>
          <w:lang w:val="en-US"/>
        </w:rPr>
        <w:t xml:space="preserve"> </w:t>
      </w:r>
      <w:r w:rsidR="0058644E" w:rsidRPr="00610904">
        <w:rPr>
          <w:rFonts w:ascii="Verdana" w:hAnsi="Verdana" w:cs="Arial"/>
          <w:noProof w:val="0"/>
          <w:sz w:val="20"/>
          <w:lang w:val="en-US"/>
        </w:rPr>
        <w:t>[</w:t>
      </w:r>
      <w:r w:rsidR="0002332D" w:rsidRPr="00610904">
        <w:rPr>
          <w:rFonts w:ascii="Verdana" w:hAnsi="Verdana" w:cs="Arial"/>
          <w:noProof w:val="0"/>
          <w:sz w:val="20"/>
          <w:lang w:val="en-US"/>
        </w:rPr>
        <w:t xml:space="preserve">which is the case of] the other students, teachers and individuals who c[a]me into contact with </w:t>
      </w:r>
      <w:r w:rsidR="00B628C2" w:rsidRPr="00610904">
        <w:rPr>
          <w:rFonts w:ascii="Verdana" w:hAnsi="Verdana" w:cs="Arial"/>
          <w:noProof w:val="0"/>
          <w:sz w:val="20"/>
          <w:lang w:val="en-US"/>
        </w:rPr>
        <w:t>Talía</w:t>
      </w:r>
      <w:r w:rsidR="0002332D" w:rsidRPr="00610904">
        <w:rPr>
          <w:rFonts w:ascii="Verdana" w:hAnsi="Verdana" w:cs="Arial"/>
          <w:noProof w:val="0"/>
          <w:sz w:val="20"/>
          <w:lang w:val="en-US"/>
        </w:rPr>
        <w:t>.”</w:t>
      </w:r>
      <w:r w:rsidR="00B628C2" w:rsidRPr="00610904">
        <w:rPr>
          <w:rFonts w:ascii="Verdana" w:hAnsi="Verdana" w:cs="Arial"/>
          <w:noProof w:val="0"/>
          <w:sz w:val="20"/>
          <w:lang w:val="en-US"/>
        </w:rPr>
        <w:t xml:space="preserve"> </w:t>
      </w:r>
    </w:p>
    <w:p w:rsidR="00B628C2" w:rsidRPr="00610904" w:rsidRDefault="00B628C2" w:rsidP="00610904">
      <w:pPr>
        <w:pStyle w:val="BodyText"/>
        <w:widowControl w:val="0"/>
        <w:tabs>
          <w:tab w:val="left" w:pos="720"/>
        </w:tabs>
        <w:rPr>
          <w:rFonts w:ascii="Verdana" w:hAnsi="Verdana" w:cs="Arial"/>
          <w:noProof w:val="0"/>
          <w:sz w:val="20"/>
          <w:lang w:val="en-US"/>
        </w:rPr>
      </w:pPr>
    </w:p>
    <w:p w:rsidR="00B628C2" w:rsidRPr="00610904" w:rsidRDefault="009F3D78" w:rsidP="00610904">
      <w:pPr>
        <w:pStyle w:val="BodyText"/>
        <w:widowControl w:val="0"/>
        <w:numPr>
          <w:ilvl w:val="0"/>
          <w:numId w:val="1"/>
        </w:numPr>
        <w:tabs>
          <w:tab w:val="left" w:pos="720"/>
        </w:tabs>
        <w:rPr>
          <w:rFonts w:ascii="Verdana" w:hAnsi="Verdana" w:cs="Arial"/>
          <w:noProof w:val="0"/>
          <w:sz w:val="20"/>
          <w:lang w:val="en-US"/>
        </w:rPr>
      </w:pPr>
      <w:r w:rsidRPr="00610904">
        <w:rPr>
          <w:rFonts w:ascii="Verdana" w:hAnsi="Verdana" w:cs="Arial"/>
          <w:noProof w:val="0"/>
          <w:sz w:val="20"/>
          <w:lang w:val="en-US"/>
        </w:rPr>
        <w:t>The State</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argued that the application for</w:t>
      </w:r>
      <w:r w:rsidR="00B628C2" w:rsidRPr="00610904">
        <w:rPr>
          <w:rFonts w:ascii="Verdana" w:hAnsi="Verdana" w:cs="Arial"/>
          <w:noProof w:val="0"/>
          <w:sz w:val="20"/>
          <w:lang w:val="en-US"/>
        </w:rPr>
        <w:t xml:space="preserve"> </w:t>
      </w:r>
      <w:r w:rsidR="00852A2E" w:rsidRPr="00610904">
        <w:rPr>
          <w:rFonts w:ascii="Verdana" w:hAnsi="Verdana" w:cs="Arial"/>
          <w:noProof w:val="0"/>
          <w:sz w:val="20"/>
          <w:lang w:val="en-US"/>
        </w:rPr>
        <w:t>constitutional protection</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 xml:space="preserve">was filed under the sponsorship </w:t>
      </w:r>
      <w:r w:rsidR="00D80BC2" w:rsidRPr="00610904">
        <w:rPr>
          <w:rFonts w:ascii="Verdana" w:hAnsi="Verdana" w:cs="Arial"/>
          <w:noProof w:val="0"/>
          <w:sz w:val="20"/>
          <w:lang w:val="en-US"/>
        </w:rPr>
        <w:t xml:space="preserve">of the </w:t>
      </w:r>
      <w:r w:rsidR="00B45E43" w:rsidRPr="00610904">
        <w:rPr>
          <w:rFonts w:ascii="Verdana" w:hAnsi="Verdana" w:cs="Arial"/>
          <w:noProof w:val="0"/>
          <w:sz w:val="20"/>
          <w:lang w:val="en-US"/>
        </w:rPr>
        <w:t>Ombudsman</w:t>
      </w:r>
      <w:r w:rsidR="00B628C2" w:rsidRPr="00610904">
        <w:rPr>
          <w:rFonts w:ascii="Verdana" w:hAnsi="Verdana" w:cs="Arial"/>
          <w:noProof w:val="0"/>
          <w:sz w:val="20"/>
          <w:lang w:val="en-US"/>
        </w:rPr>
        <w:t xml:space="preserve">, </w:t>
      </w:r>
      <w:r w:rsidR="0002332D" w:rsidRPr="00610904">
        <w:rPr>
          <w:rFonts w:ascii="Verdana" w:hAnsi="Verdana" w:cs="Arial"/>
          <w:noProof w:val="0"/>
          <w:sz w:val="20"/>
          <w:lang w:val="en-US"/>
        </w:rPr>
        <w:t>so that</w:t>
      </w:r>
      <w:r w:rsidR="00B628C2" w:rsidRPr="00610904">
        <w:rPr>
          <w:rFonts w:ascii="Verdana" w:hAnsi="Verdana" w:cs="Arial"/>
          <w:noProof w:val="0"/>
          <w:sz w:val="20"/>
          <w:lang w:val="en-US"/>
        </w:rPr>
        <w:t xml:space="preserve"> </w:t>
      </w:r>
      <w:r w:rsidR="00AF14CB" w:rsidRPr="00610904">
        <w:rPr>
          <w:rFonts w:ascii="Verdana" w:hAnsi="Verdana" w:cs="Arial"/>
          <w:noProof w:val="0"/>
          <w:sz w:val="20"/>
          <w:lang w:val="en-US"/>
        </w:rPr>
        <w:t>Teresa</w:t>
      </w:r>
      <w:r w:rsidR="00B628C2" w:rsidRPr="00610904">
        <w:rPr>
          <w:rFonts w:ascii="Verdana" w:hAnsi="Verdana" w:cs="Arial"/>
          <w:noProof w:val="0"/>
          <w:sz w:val="20"/>
          <w:lang w:val="en-US"/>
        </w:rPr>
        <w:t xml:space="preserve"> Lluy </w:t>
      </w:r>
      <w:r w:rsidR="0002332D" w:rsidRPr="00610904">
        <w:rPr>
          <w:rFonts w:ascii="Verdana" w:hAnsi="Verdana" w:cs="Arial"/>
          <w:noProof w:val="0"/>
          <w:sz w:val="20"/>
          <w:lang w:val="en-US"/>
        </w:rPr>
        <w:t xml:space="preserve">had the institutional support of the State when filing the application for the constitutional protection of </w:t>
      </w:r>
      <w:r w:rsidR="00182B51" w:rsidRPr="00610904">
        <w:rPr>
          <w:rFonts w:ascii="Verdana" w:hAnsi="Verdana" w:cs="Arial"/>
          <w:noProof w:val="0"/>
          <w:sz w:val="20"/>
          <w:lang w:val="en-US"/>
        </w:rPr>
        <w:t>her daughter’s rights</w:t>
      </w:r>
      <w:r w:rsidR="0002332D" w:rsidRPr="00610904">
        <w:rPr>
          <w:rFonts w:ascii="Verdana" w:hAnsi="Verdana" w:cs="Arial"/>
          <w:noProof w:val="0"/>
          <w:sz w:val="20"/>
          <w:lang w:val="en-US"/>
        </w:rPr>
        <w:t xml:space="preserve">. The State also emphasized that the jurisdictional organ responsible for deciding the application for </w:t>
      </w:r>
      <w:r w:rsidR="0002332D" w:rsidRPr="00610904">
        <w:rPr>
          <w:rFonts w:ascii="Verdana" w:hAnsi="Verdana" w:cs="Arial"/>
          <w:i/>
          <w:noProof w:val="0"/>
          <w:sz w:val="20"/>
          <w:lang w:val="en-US"/>
        </w:rPr>
        <w:t>amparo</w:t>
      </w:r>
      <w:r w:rsidR="0002332D" w:rsidRPr="00610904">
        <w:rPr>
          <w:rFonts w:ascii="Verdana" w:hAnsi="Verdana" w:cs="Arial"/>
          <w:noProof w:val="0"/>
          <w:sz w:val="20"/>
          <w:lang w:val="en-US"/>
        </w:rPr>
        <w:t xml:space="preserve"> </w:t>
      </w:r>
      <w:r w:rsidR="008E38B6" w:rsidRPr="00610904">
        <w:rPr>
          <w:rFonts w:ascii="Verdana" w:hAnsi="Verdana" w:cs="Arial"/>
          <w:noProof w:val="0"/>
          <w:sz w:val="20"/>
          <w:lang w:val="en-US"/>
        </w:rPr>
        <w:t xml:space="preserve">issued its ruling </w:t>
      </w:r>
      <w:r w:rsidR="00B628C2" w:rsidRPr="00610904">
        <w:rPr>
          <w:rFonts w:ascii="Verdana" w:hAnsi="Verdana" w:cs="Arial"/>
          <w:noProof w:val="0"/>
          <w:sz w:val="20"/>
          <w:lang w:val="en-US"/>
        </w:rPr>
        <w:t>t</w:t>
      </w:r>
      <w:r w:rsidR="0002332D" w:rsidRPr="00610904">
        <w:rPr>
          <w:rFonts w:ascii="Verdana" w:hAnsi="Verdana" w:cs="Arial"/>
          <w:noProof w:val="0"/>
          <w:sz w:val="20"/>
          <w:lang w:val="en-US"/>
        </w:rPr>
        <w:t>hree days after the application had been filed declaring it inadmissible, and that</w:t>
      </w:r>
      <w:r w:rsidR="008E38B6" w:rsidRPr="00610904">
        <w:rPr>
          <w:rFonts w:ascii="Verdana" w:hAnsi="Verdana" w:cs="Arial"/>
          <w:noProof w:val="0"/>
          <w:sz w:val="20"/>
          <w:lang w:val="en-US"/>
        </w:rPr>
        <w:t>,</w:t>
      </w:r>
      <w:r w:rsidR="0002332D" w:rsidRPr="00610904">
        <w:rPr>
          <w:rFonts w:ascii="Verdana" w:hAnsi="Verdana" w:cs="Arial"/>
          <w:noProof w:val="0"/>
          <w:sz w:val="20"/>
          <w:lang w:val="en-US"/>
        </w:rPr>
        <w:t xml:space="preserve"> “if</w:t>
      </w:r>
      <w:r w:rsidR="00B628C2" w:rsidRPr="00610904">
        <w:rPr>
          <w:rFonts w:ascii="Verdana" w:hAnsi="Verdana" w:cs="Arial"/>
          <w:noProof w:val="0"/>
          <w:sz w:val="20"/>
          <w:lang w:val="en-US"/>
        </w:rPr>
        <w:t xml:space="preserve"> </w:t>
      </w:r>
      <w:r w:rsidR="00AF14CB" w:rsidRPr="00610904">
        <w:rPr>
          <w:rFonts w:ascii="Verdana" w:hAnsi="Verdana" w:cs="Arial"/>
          <w:noProof w:val="0"/>
          <w:sz w:val="20"/>
          <w:lang w:val="en-US"/>
        </w:rPr>
        <w:t>Teresa</w:t>
      </w:r>
      <w:r w:rsidR="00B628C2" w:rsidRPr="00610904">
        <w:rPr>
          <w:rFonts w:ascii="Verdana" w:hAnsi="Verdana" w:cs="Arial"/>
          <w:noProof w:val="0"/>
          <w:sz w:val="20"/>
          <w:lang w:val="en-US"/>
        </w:rPr>
        <w:t xml:space="preserve"> Lluy </w:t>
      </w:r>
      <w:r w:rsidR="0002332D" w:rsidRPr="00610904">
        <w:rPr>
          <w:rFonts w:ascii="Verdana" w:hAnsi="Verdana" w:cs="Arial"/>
          <w:noProof w:val="0"/>
          <w:sz w:val="20"/>
          <w:lang w:val="en-US"/>
        </w:rPr>
        <w:t>was not satisfied with the decision issued by the competent judg</w:t>
      </w:r>
      <w:r w:rsidR="008E38B6" w:rsidRPr="00610904">
        <w:rPr>
          <w:rFonts w:ascii="Verdana" w:hAnsi="Verdana" w:cs="Arial"/>
          <w:noProof w:val="0"/>
          <w:sz w:val="20"/>
          <w:lang w:val="en-US"/>
        </w:rPr>
        <w:t>e, she could have appealed [the said</w:t>
      </w:r>
      <w:r w:rsidR="0002332D" w:rsidRPr="00610904">
        <w:rPr>
          <w:rFonts w:ascii="Verdana" w:hAnsi="Verdana" w:cs="Arial"/>
          <w:noProof w:val="0"/>
          <w:sz w:val="20"/>
          <w:lang w:val="en-US"/>
        </w:rPr>
        <w:t xml:space="preserve"> decision] before the Constitutional Court, in order to obtain a final confirmation or </w:t>
      </w:r>
      <w:r w:rsidR="005C07F0" w:rsidRPr="00610904">
        <w:rPr>
          <w:rFonts w:ascii="Verdana" w:hAnsi="Verdana" w:cs="Arial"/>
          <w:noProof w:val="0"/>
          <w:sz w:val="20"/>
          <w:lang w:val="en-US"/>
        </w:rPr>
        <w:t xml:space="preserve">annulment. However, [Mrs. Lluy] did not use this remedy of appeal, and the ruling on the application for </w:t>
      </w:r>
      <w:r w:rsidR="005C07F0" w:rsidRPr="00610904">
        <w:rPr>
          <w:rFonts w:ascii="Verdana" w:hAnsi="Verdana" w:cs="Arial"/>
          <w:i/>
          <w:noProof w:val="0"/>
          <w:sz w:val="20"/>
          <w:lang w:val="en-US"/>
        </w:rPr>
        <w:t>amparo</w:t>
      </w:r>
      <w:r w:rsidR="005C07F0" w:rsidRPr="00610904">
        <w:rPr>
          <w:rFonts w:ascii="Verdana" w:hAnsi="Verdana" w:cs="Arial"/>
          <w:noProof w:val="0"/>
          <w:sz w:val="20"/>
          <w:lang w:val="en-US"/>
        </w:rPr>
        <w:t xml:space="preserve"> became final.”</w:t>
      </w:r>
    </w:p>
    <w:p w:rsidR="00B628C2" w:rsidRPr="00610904" w:rsidRDefault="00B628C2" w:rsidP="00610904">
      <w:pPr>
        <w:pStyle w:val="BodyText"/>
        <w:widowControl w:val="0"/>
        <w:tabs>
          <w:tab w:val="left" w:pos="720"/>
        </w:tabs>
        <w:rPr>
          <w:rFonts w:ascii="Verdana" w:hAnsi="Verdana" w:cs="Arial"/>
          <w:noProof w:val="0"/>
          <w:sz w:val="20"/>
          <w:lang w:val="en-US"/>
        </w:rPr>
      </w:pPr>
    </w:p>
    <w:p w:rsidR="005C07F0" w:rsidRPr="00610904" w:rsidRDefault="005C07F0" w:rsidP="00610904">
      <w:pPr>
        <w:pStyle w:val="BodyText"/>
        <w:widowControl w:val="0"/>
        <w:numPr>
          <w:ilvl w:val="0"/>
          <w:numId w:val="1"/>
        </w:numPr>
        <w:tabs>
          <w:tab w:val="left" w:pos="720"/>
        </w:tabs>
        <w:rPr>
          <w:rFonts w:ascii="Verdana" w:hAnsi="Verdana" w:cs="Arial"/>
          <w:noProof w:val="0"/>
          <w:sz w:val="20"/>
          <w:lang w:val="en-US"/>
        </w:rPr>
      </w:pPr>
      <w:r w:rsidRPr="00610904">
        <w:rPr>
          <w:rFonts w:ascii="Verdana" w:hAnsi="Verdana" w:cs="Arial"/>
          <w:noProof w:val="0"/>
          <w:sz w:val="20"/>
          <w:lang w:val="en-US"/>
        </w:rPr>
        <w:t xml:space="preserve">Lastly, the State advised that, under the new constitutional framework of 2008, the application for </w:t>
      </w:r>
      <w:r w:rsidRPr="00610904">
        <w:rPr>
          <w:rFonts w:ascii="Verdana" w:hAnsi="Verdana" w:cs="Arial"/>
          <w:i/>
          <w:noProof w:val="0"/>
          <w:sz w:val="20"/>
          <w:lang w:val="en-US"/>
        </w:rPr>
        <w:t>amparo</w:t>
      </w:r>
      <w:r w:rsidRPr="00610904">
        <w:rPr>
          <w:rFonts w:ascii="Verdana" w:hAnsi="Verdana" w:cs="Arial"/>
          <w:noProof w:val="0"/>
          <w:sz w:val="20"/>
          <w:lang w:val="en-US"/>
        </w:rPr>
        <w:t xml:space="preserve"> has been expanded and includes: (i) the action for protection that is admissible even against public policies, private individuals, persons who provide inadequate public services and, in cases in which the victim is in a</w:t>
      </w:r>
      <w:r w:rsidR="008E38B6" w:rsidRPr="00610904">
        <w:rPr>
          <w:rFonts w:ascii="Verdana" w:hAnsi="Verdana" w:cs="Arial"/>
          <w:noProof w:val="0"/>
          <w:sz w:val="20"/>
          <w:lang w:val="en-US"/>
        </w:rPr>
        <w:t xml:space="preserve"> situation of</w:t>
      </w:r>
      <w:r w:rsidRPr="00610904">
        <w:rPr>
          <w:rFonts w:ascii="Verdana" w:hAnsi="Verdana" w:cs="Arial"/>
          <w:noProof w:val="0"/>
          <w:sz w:val="20"/>
          <w:lang w:val="en-US"/>
        </w:rPr>
        <w:t xml:space="preserve"> su</w:t>
      </w:r>
      <w:r w:rsidR="008E38B6" w:rsidRPr="00610904">
        <w:rPr>
          <w:rFonts w:ascii="Verdana" w:hAnsi="Verdana" w:cs="Arial"/>
          <w:noProof w:val="0"/>
          <w:sz w:val="20"/>
          <w:lang w:val="en-US"/>
        </w:rPr>
        <w:t>bordination</w:t>
      </w:r>
      <w:r w:rsidRPr="00610904">
        <w:rPr>
          <w:rFonts w:ascii="Verdana" w:hAnsi="Verdana" w:cs="Arial"/>
          <w:noProof w:val="0"/>
          <w:sz w:val="20"/>
          <w:lang w:val="en-US"/>
        </w:rPr>
        <w:t xml:space="preserve">, defenselessness or discrimination, and (ii) the special action for protection that is </w:t>
      </w:r>
      <w:r w:rsidR="008E38B6" w:rsidRPr="00610904">
        <w:rPr>
          <w:rFonts w:ascii="Verdana" w:hAnsi="Verdana" w:cs="Arial"/>
          <w:noProof w:val="0"/>
          <w:sz w:val="20"/>
          <w:lang w:val="en-US"/>
        </w:rPr>
        <w:t>admissible</w:t>
      </w:r>
      <w:r w:rsidRPr="00610904">
        <w:rPr>
          <w:rFonts w:ascii="Verdana" w:hAnsi="Verdana" w:cs="Arial"/>
          <w:noProof w:val="0"/>
          <w:sz w:val="20"/>
          <w:lang w:val="en-US"/>
        </w:rPr>
        <w:t xml:space="preserve"> against final judgments and decisions that violate constitutional rights, by </w:t>
      </w:r>
      <w:r w:rsidR="008E38B6" w:rsidRPr="00610904">
        <w:rPr>
          <w:rFonts w:ascii="Verdana" w:hAnsi="Verdana" w:cs="Arial"/>
          <w:noProof w:val="0"/>
          <w:sz w:val="20"/>
          <w:lang w:val="en-US"/>
        </w:rPr>
        <w:t xml:space="preserve">either </w:t>
      </w:r>
      <w:r w:rsidRPr="00610904">
        <w:rPr>
          <w:rFonts w:ascii="Verdana" w:hAnsi="Verdana" w:cs="Arial"/>
          <w:noProof w:val="0"/>
          <w:sz w:val="20"/>
          <w:lang w:val="en-US"/>
        </w:rPr>
        <w:t xml:space="preserve">act or </w:t>
      </w:r>
      <w:r w:rsidRPr="00610904">
        <w:rPr>
          <w:rFonts w:ascii="Verdana" w:hAnsi="Verdana" w:cs="Arial"/>
          <w:noProof w:val="0"/>
          <w:sz w:val="20"/>
          <w:lang w:val="en-US"/>
        </w:rPr>
        <w:lastRenderedPageBreak/>
        <w:t>omission.</w:t>
      </w:r>
    </w:p>
    <w:p w:rsidR="00B628C2" w:rsidRPr="00610904" w:rsidRDefault="00B628C2" w:rsidP="00610904">
      <w:pPr>
        <w:pStyle w:val="BodyText"/>
        <w:widowControl w:val="0"/>
        <w:tabs>
          <w:tab w:val="left" w:pos="720"/>
        </w:tabs>
        <w:rPr>
          <w:rFonts w:ascii="Verdana" w:hAnsi="Verdana" w:cs="Arial"/>
          <w:noProof w:val="0"/>
          <w:sz w:val="20"/>
          <w:lang w:val="en-US"/>
        </w:rPr>
      </w:pPr>
    </w:p>
    <w:p w:rsidR="00B628C2"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B628C2" w:rsidRPr="00610904" w:rsidRDefault="00B628C2" w:rsidP="00610904">
      <w:pPr>
        <w:rPr>
          <w:noProof w:val="0"/>
          <w:lang w:val="en-US"/>
        </w:rPr>
      </w:pPr>
    </w:p>
    <w:p w:rsidR="00B628C2" w:rsidRPr="00610904" w:rsidRDefault="009F3D78" w:rsidP="00610904">
      <w:pPr>
        <w:pStyle w:val="EndnoteText"/>
        <w:widowControl w:val="0"/>
        <w:numPr>
          <w:ilvl w:val="0"/>
          <w:numId w:val="1"/>
        </w:numPr>
        <w:tabs>
          <w:tab w:val="left" w:pos="810"/>
          <w:tab w:val="left" w:pos="1440"/>
          <w:tab w:val="left" w:pos="2160"/>
          <w:tab w:val="left" w:pos="2880"/>
          <w:tab w:val="left" w:pos="3600"/>
          <w:tab w:val="left" w:pos="4320"/>
          <w:tab w:val="left" w:pos="5760"/>
          <w:tab w:val="left" w:pos="6480"/>
          <w:tab w:val="left" w:pos="7200"/>
          <w:tab w:val="left" w:pos="7920"/>
        </w:tabs>
        <w:rPr>
          <w:noProof w:val="0"/>
          <w:lang w:val="en-US"/>
        </w:rPr>
      </w:pPr>
      <w:r w:rsidRPr="00610904">
        <w:rPr>
          <w:rFonts w:cs="Arial"/>
          <w:noProof w:val="0"/>
          <w:lang w:val="en-US"/>
        </w:rPr>
        <w:t>The Court</w:t>
      </w:r>
      <w:r w:rsidR="005C07F0" w:rsidRPr="00610904">
        <w:rPr>
          <w:rFonts w:cs="Arial"/>
          <w:noProof w:val="0"/>
          <w:lang w:val="en-US"/>
        </w:rPr>
        <w:t xml:space="preserve"> observes that,</w:t>
      </w:r>
      <w:r w:rsidR="00B628C2" w:rsidRPr="00610904">
        <w:rPr>
          <w:rFonts w:cs="Arial"/>
          <w:noProof w:val="0"/>
          <w:lang w:val="en-US"/>
        </w:rPr>
        <w:t xml:space="preserve"> </w:t>
      </w:r>
      <w:r w:rsidR="00966854" w:rsidRPr="00610904">
        <w:rPr>
          <w:rFonts w:cs="Arial"/>
          <w:noProof w:val="0"/>
          <w:lang w:val="en-US"/>
        </w:rPr>
        <w:t>on February</w:t>
      </w:r>
      <w:r w:rsidR="008E668D" w:rsidRPr="00610904">
        <w:rPr>
          <w:rFonts w:cs="Arial"/>
          <w:noProof w:val="0"/>
          <w:lang w:val="en-US"/>
        </w:rPr>
        <w:t xml:space="preserve"> 8,</w:t>
      </w:r>
      <w:r w:rsidR="00B628C2" w:rsidRPr="00610904">
        <w:rPr>
          <w:rFonts w:cs="Arial"/>
          <w:noProof w:val="0"/>
          <w:lang w:val="en-US"/>
        </w:rPr>
        <w:t xml:space="preserve"> 2000, Teresa Lluy</w:t>
      </w:r>
      <w:r w:rsidR="005C07F0" w:rsidRPr="00610904">
        <w:rPr>
          <w:rFonts w:cs="Arial"/>
          <w:noProof w:val="0"/>
          <w:lang w:val="en-US"/>
        </w:rPr>
        <w:t>, with the help of the Ombudsman’s Commission</w:t>
      </w:r>
      <w:r w:rsidR="008E38B6" w:rsidRPr="00610904">
        <w:rPr>
          <w:rFonts w:cs="Arial"/>
          <w:noProof w:val="0"/>
          <w:lang w:val="en-US"/>
        </w:rPr>
        <w:t>er</w:t>
      </w:r>
      <w:r w:rsidR="005C07F0" w:rsidRPr="00610904">
        <w:rPr>
          <w:rFonts w:cs="Arial"/>
          <w:noProof w:val="0"/>
          <w:lang w:val="en-US"/>
        </w:rPr>
        <w:t xml:space="preserve"> for</w:t>
      </w:r>
      <w:r w:rsidR="00B628C2" w:rsidRPr="00610904">
        <w:rPr>
          <w:rFonts w:cs="Arial"/>
          <w:noProof w:val="0"/>
          <w:lang w:val="en-US"/>
        </w:rPr>
        <w:t xml:space="preserve"> Azuay</w:t>
      </w:r>
      <w:r w:rsidR="008E38B6" w:rsidRPr="00610904">
        <w:rPr>
          <w:rFonts w:cs="Arial"/>
          <w:noProof w:val="0"/>
          <w:lang w:val="en-US"/>
        </w:rPr>
        <w:t>,</w:t>
      </w:r>
      <w:r w:rsidR="00B628C2" w:rsidRPr="00610904">
        <w:rPr>
          <w:rFonts w:cs="Arial"/>
          <w:noProof w:val="0"/>
          <w:lang w:val="en-US"/>
        </w:rPr>
        <w:t xml:space="preserve"> </w:t>
      </w:r>
      <w:r w:rsidR="005C07F0" w:rsidRPr="00610904">
        <w:rPr>
          <w:rFonts w:cs="Arial"/>
          <w:noProof w:val="0"/>
          <w:lang w:val="en-US"/>
        </w:rPr>
        <w:t xml:space="preserve">filed an action for </w:t>
      </w:r>
      <w:r w:rsidR="00852A2E" w:rsidRPr="00610904">
        <w:rPr>
          <w:rFonts w:cs="Arial"/>
          <w:noProof w:val="0"/>
          <w:lang w:val="en-US"/>
        </w:rPr>
        <w:t>constitutional protection</w:t>
      </w:r>
      <w:r w:rsidR="00B628C2" w:rsidRPr="00610904">
        <w:rPr>
          <w:rFonts w:cs="Arial"/>
          <w:noProof w:val="0"/>
          <w:lang w:val="en-US"/>
        </w:rPr>
        <w:t xml:space="preserve"> </w:t>
      </w:r>
      <w:r w:rsidR="005C07F0" w:rsidRPr="00610904">
        <w:rPr>
          <w:rFonts w:cs="Arial"/>
          <w:noProof w:val="0"/>
          <w:lang w:val="en-US"/>
        </w:rPr>
        <w:t>before the Third</w:t>
      </w:r>
      <w:r w:rsidR="0013395A" w:rsidRPr="00610904">
        <w:rPr>
          <w:rFonts w:cs="Arial"/>
          <w:noProof w:val="0"/>
          <w:lang w:val="en-US"/>
        </w:rPr>
        <w:t xml:space="preserve"> District </w:t>
      </w:r>
      <w:r w:rsidR="005C07F0" w:rsidRPr="00610904">
        <w:rPr>
          <w:rFonts w:cs="Arial"/>
          <w:noProof w:val="0"/>
          <w:lang w:val="en-US"/>
        </w:rPr>
        <w:t xml:space="preserve">Contentious Administrative </w:t>
      </w:r>
      <w:r w:rsidR="0013395A" w:rsidRPr="00610904">
        <w:rPr>
          <w:rFonts w:cs="Arial"/>
          <w:noProof w:val="0"/>
          <w:lang w:val="en-US"/>
        </w:rPr>
        <w:t>Court</w:t>
      </w:r>
      <w:r w:rsidR="00B628C2" w:rsidRPr="00610904">
        <w:rPr>
          <w:rFonts w:cs="Arial"/>
          <w:noProof w:val="0"/>
          <w:lang w:val="en-US"/>
        </w:rPr>
        <w:t xml:space="preserve"> </w:t>
      </w:r>
      <w:r w:rsidR="005C07F0" w:rsidRPr="00610904">
        <w:rPr>
          <w:rFonts w:cs="Arial"/>
          <w:noProof w:val="0"/>
          <w:lang w:val="en-US"/>
        </w:rPr>
        <w:t xml:space="preserve">against </w:t>
      </w:r>
      <w:r w:rsidR="00215C41" w:rsidRPr="00610904">
        <w:rPr>
          <w:rFonts w:cs="Arial"/>
          <w:noProof w:val="0"/>
          <w:lang w:val="en-US"/>
        </w:rPr>
        <w:t xml:space="preserve">the </w:t>
      </w:r>
      <w:r w:rsidR="009463F6" w:rsidRPr="00610904">
        <w:rPr>
          <w:rFonts w:cs="Arial"/>
          <w:noProof w:val="0"/>
          <w:lang w:val="en-US"/>
        </w:rPr>
        <w:t>Ministry of Education and Culture</w:t>
      </w:r>
      <w:r w:rsidR="00621929" w:rsidRPr="00610904">
        <w:rPr>
          <w:rFonts w:cs="Arial"/>
          <w:noProof w:val="0"/>
          <w:lang w:val="en-US"/>
        </w:rPr>
        <w:t xml:space="preserve">, </w:t>
      </w:r>
      <w:r w:rsidR="005C07F0" w:rsidRPr="00610904">
        <w:rPr>
          <w:rFonts w:cs="Arial"/>
          <w:noProof w:val="0"/>
          <w:lang w:val="en-US"/>
        </w:rPr>
        <w:t xml:space="preserve">the director of the </w:t>
      </w:r>
      <w:r w:rsidR="00535633" w:rsidRPr="00610904">
        <w:rPr>
          <w:rFonts w:cs="Arial"/>
          <w:noProof w:val="0"/>
          <w:lang w:val="en-US"/>
        </w:rPr>
        <w:t>Zoila Aurora Palacios</w:t>
      </w:r>
      <w:r w:rsidRPr="00610904">
        <w:rPr>
          <w:rFonts w:cs="Arial"/>
          <w:noProof w:val="0"/>
          <w:lang w:val="en-US"/>
        </w:rPr>
        <w:t xml:space="preserve"> </w:t>
      </w:r>
      <w:r w:rsidR="005C07F0" w:rsidRPr="00610904">
        <w:rPr>
          <w:rFonts w:cs="Arial"/>
          <w:noProof w:val="0"/>
          <w:lang w:val="en-US"/>
        </w:rPr>
        <w:t>School</w:t>
      </w:r>
      <w:r w:rsidR="008E38B6" w:rsidRPr="00610904">
        <w:rPr>
          <w:rFonts w:cs="Arial"/>
          <w:noProof w:val="0"/>
          <w:lang w:val="en-US"/>
        </w:rPr>
        <w:t>,</w:t>
      </w:r>
      <w:r w:rsidR="005C07F0" w:rsidRPr="00610904">
        <w:rPr>
          <w:rFonts w:cs="Arial"/>
          <w:noProof w:val="0"/>
          <w:lang w:val="en-US"/>
        </w:rPr>
        <w:t xml:space="preserve"> and the teacher, APA, owing to a presumed deprivation of the </w:t>
      </w:r>
      <w:r w:rsidR="007D72DC" w:rsidRPr="00610904">
        <w:rPr>
          <w:rFonts w:cs="Arial"/>
          <w:noProof w:val="0"/>
          <w:lang w:val="en-US"/>
        </w:rPr>
        <w:t>right to education</w:t>
      </w:r>
      <w:r w:rsidR="005C07F0" w:rsidRPr="00610904">
        <w:rPr>
          <w:rFonts w:cs="Arial"/>
          <w:noProof w:val="0"/>
          <w:lang w:val="en-US"/>
        </w:rPr>
        <w:t xml:space="preserve"> of</w:t>
      </w:r>
      <w:r w:rsidR="00B628C2" w:rsidRPr="00610904">
        <w:rPr>
          <w:rFonts w:cs="Arial"/>
          <w:noProof w:val="0"/>
          <w:lang w:val="en-US"/>
        </w:rPr>
        <w:t xml:space="preserve"> </w:t>
      </w:r>
      <w:r w:rsidR="00B628C2" w:rsidRPr="00610904">
        <w:rPr>
          <w:noProof w:val="0"/>
          <w:lang w:val="en-US"/>
        </w:rPr>
        <w:t>Talía</w:t>
      </w:r>
      <w:r w:rsidR="00B628C2" w:rsidRPr="00610904">
        <w:rPr>
          <w:rFonts w:cs="Arial"/>
          <w:noProof w:val="0"/>
          <w:lang w:val="en-US"/>
        </w:rPr>
        <w:t xml:space="preserve">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w:t>
      </w:r>
      <w:r w:rsidR="00B628C2" w:rsidRPr="00610904">
        <w:rPr>
          <w:rFonts w:cs="Arial"/>
          <w:noProof w:val="0"/>
          <w:lang w:val="en-US"/>
        </w:rPr>
        <w:t xml:space="preserve"> 135).</w:t>
      </w:r>
    </w:p>
    <w:p w:rsidR="00B628C2" w:rsidRPr="00610904" w:rsidRDefault="00B628C2" w:rsidP="00610904">
      <w:pPr>
        <w:rPr>
          <w:noProof w:val="0"/>
          <w:lang w:val="en-US"/>
        </w:rPr>
      </w:pPr>
    </w:p>
    <w:p w:rsidR="00B628C2" w:rsidRPr="00610904" w:rsidRDefault="00966854" w:rsidP="00610904">
      <w:pPr>
        <w:pStyle w:val="EndnoteText"/>
        <w:widowControl w:val="0"/>
        <w:numPr>
          <w:ilvl w:val="0"/>
          <w:numId w:val="1"/>
        </w:numPr>
        <w:tabs>
          <w:tab w:val="left" w:pos="810"/>
          <w:tab w:val="left" w:pos="1440"/>
          <w:tab w:val="left" w:pos="2160"/>
          <w:tab w:val="left" w:pos="2880"/>
          <w:tab w:val="left" w:pos="3600"/>
          <w:tab w:val="left" w:pos="4320"/>
          <w:tab w:val="left" w:pos="5760"/>
          <w:tab w:val="left" w:pos="6480"/>
          <w:tab w:val="left" w:pos="7200"/>
          <w:tab w:val="left" w:pos="7920"/>
        </w:tabs>
        <w:rPr>
          <w:noProof w:val="0"/>
          <w:lang w:val="en-US"/>
        </w:rPr>
      </w:pPr>
      <w:r w:rsidRPr="00610904">
        <w:rPr>
          <w:rFonts w:cs="Arial"/>
          <w:noProof w:val="0"/>
          <w:lang w:val="en-US"/>
        </w:rPr>
        <w:t>On February</w:t>
      </w:r>
      <w:r w:rsidR="008E668D" w:rsidRPr="00610904">
        <w:rPr>
          <w:rFonts w:cs="Arial"/>
          <w:noProof w:val="0"/>
          <w:lang w:val="en-US"/>
        </w:rPr>
        <w:t xml:space="preserve"> 11,</w:t>
      </w:r>
      <w:r w:rsidR="00B628C2" w:rsidRPr="00610904">
        <w:rPr>
          <w:rFonts w:cs="Arial"/>
          <w:noProof w:val="0"/>
          <w:lang w:val="en-US"/>
        </w:rPr>
        <w:t xml:space="preserve"> 2000, </w:t>
      </w:r>
      <w:r w:rsidR="009F3D78" w:rsidRPr="00610904">
        <w:rPr>
          <w:rFonts w:cs="Arial"/>
          <w:noProof w:val="0"/>
          <w:lang w:val="en-US"/>
        </w:rPr>
        <w:t xml:space="preserve">the </w:t>
      </w:r>
      <w:r w:rsidR="005C07F0" w:rsidRPr="00610904">
        <w:rPr>
          <w:rFonts w:cs="Arial"/>
          <w:noProof w:val="0"/>
          <w:lang w:val="en-US"/>
        </w:rPr>
        <w:t xml:space="preserve">District </w:t>
      </w:r>
      <w:r w:rsidR="009F3D78" w:rsidRPr="00610904">
        <w:rPr>
          <w:rFonts w:cs="Arial"/>
          <w:noProof w:val="0"/>
          <w:lang w:val="en-US"/>
        </w:rPr>
        <w:t>Court</w:t>
      </w:r>
      <w:r w:rsidR="00B628C2" w:rsidRPr="00610904">
        <w:rPr>
          <w:rFonts w:cs="Arial"/>
          <w:noProof w:val="0"/>
          <w:lang w:val="en-US"/>
        </w:rPr>
        <w:t xml:space="preserve"> </w:t>
      </w:r>
      <w:r w:rsidR="005C07F0" w:rsidRPr="00610904">
        <w:rPr>
          <w:rFonts w:cs="Arial"/>
          <w:noProof w:val="0"/>
          <w:lang w:val="en-US"/>
        </w:rPr>
        <w:t xml:space="preserve">declared the application for </w:t>
      </w:r>
      <w:r w:rsidR="00852A2E" w:rsidRPr="00610904">
        <w:rPr>
          <w:rFonts w:cs="Arial"/>
          <w:noProof w:val="0"/>
          <w:lang w:val="en-US"/>
        </w:rPr>
        <w:t>constitutional protection</w:t>
      </w:r>
      <w:r w:rsidR="005C07F0" w:rsidRPr="00610904">
        <w:rPr>
          <w:rFonts w:cs="Arial"/>
          <w:noProof w:val="0"/>
          <w:lang w:val="en-US"/>
        </w:rPr>
        <w:t xml:space="preserve"> inadmissible, considering that “there was a conflict of interests between the individual rights and guarantees of </w:t>
      </w:r>
      <w:r w:rsidR="00B628C2" w:rsidRPr="00610904">
        <w:rPr>
          <w:rFonts w:cs="Arial"/>
          <w:noProof w:val="0"/>
          <w:lang w:val="en-US"/>
        </w:rPr>
        <w:t>[</w:t>
      </w:r>
      <w:r w:rsidR="00B628C2" w:rsidRPr="00610904">
        <w:rPr>
          <w:noProof w:val="0"/>
          <w:lang w:val="en-US"/>
        </w:rPr>
        <w:t>Talía</w:t>
      </w:r>
      <w:r w:rsidR="00B628C2" w:rsidRPr="00610904">
        <w:rPr>
          <w:rFonts w:cs="Arial"/>
          <w:noProof w:val="0"/>
          <w:lang w:val="en-US"/>
        </w:rPr>
        <w:t xml:space="preserve">] </w:t>
      </w:r>
      <w:r w:rsidR="005C07F0" w:rsidRPr="00610904">
        <w:rPr>
          <w:rFonts w:cs="Arial"/>
          <w:noProof w:val="0"/>
          <w:lang w:val="en-US"/>
        </w:rPr>
        <w:t xml:space="preserve">and the interests of a group of students, a conflict that </w:t>
      </w:r>
      <w:r w:rsidR="008E38B6" w:rsidRPr="00610904">
        <w:rPr>
          <w:rFonts w:cs="Arial"/>
          <w:noProof w:val="0"/>
          <w:lang w:val="en-US"/>
        </w:rPr>
        <w:t>mean[t] that the societal or collective interests, such as the right to life, outweighed the right to education</w:t>
      </w:r>
      <w:r w:rsidR="005C07F0" w:rsidRPr="00610904">
        <w:rPr>
          <w:rFonts w:cs="Arial"/>
          <w:noProof w:val="0"/>
          <w:lang w:val="en-US"/>
        </w:rPr>
        <w:t>.” That c</w:t>
      </w:r>
      <w:r w:rsidR="009F3D78" w:rsidRPr="00610904">
        <w:rPr>
          <w:rFonts w:cs="Arial"/>
          <w:noProof w:val="0"/>
          <w:lang w:val="en-US"/>
        </w:rPr>
        <w:t>ourt</w:t>
      </w:r>
      <w:r w:rsidR="005C07F0" w:rsidRPr="00610904">
        <w:rPr>
          <w:rFonts w:cs="Arial"/>
          <w:noProof w:val="0"/>
          <w:lang w:val="en-US"/>
        </w:rPr>
        <w:t xml:space="preserve"> considered that</w:t>
      </w:r>
      <w:r w:rsidR="00B628C2" w:rsidRPr="00610904">
        <w:rPr>
          <w:rFonts w:cs="Arial"/>
          <w:noProof w:val="0"/>
          <w:lang w:val="en-US"/>
        </w:rPr>
        <w:t xml:space="preserve"> Talía </w:t>
      </w:r>
      <w:r w:rsidR="005C07F0" w:rsidRPr="00610904">
        <w:rPr>
          <w:rFonts w:cs="Arial"/>
          <w:noProof w:val="0"/>
          <w:lang w:val="en-US"/>
        </w:rPr>
        <w:t xml:space="preserve">could exercise her </w:t>
      </w:r>
      <w:r w:rsidR="007D72DC" w:rsidRPr="00610904">
        <w:rPr>
          <w:rFonts w:cs="Arial"/>
          <w:noProof w:val="0"/>
          <w:lang w:val="en-US"/>
        </w:rPr>
        <w:t>right to education</w:t>
      </w:r>
      <w:r w:rsidR="00B628C2" w:rsidRPr="00610904">
        <w:rPr>
          <w:rFonts w:cs="Arial"/>
          <w:noProof w:val="0"/>
          <w:lang w:val="en-US"/>
        </w:rPr>
        <w:t xml:space="preserve"> “</w:t>
      </w:r>
      <w:r w:rsidR="005C07F0" w:rsidRPr="00610904">
        <w:rPr>
          <w:rFonts w:cs="Arial"/>
          <w:noProof w:val="0"/>
          <w:lang w:val="en-US"/>
        </w:rPr>
        <w:t>by means of individualized and distance education</w:t>
      </w:r>
      <w:r w:rsidR="00B628C2" w:rsidRPr="00610904">
        <w:rPr>
          <w:rFonts w:cs="Arial"/>
          <w:noProof w:val="0"/>
          <w:lang w:val="en-US"/>
        </w:rPr>
        <w:t>” (</w:t>
      </w:r>
      <w:r w:rsidR="00B628C2" w:rsidRPr="00610904">
        <w:rPr>
          <w:rFonts w:cs="Arial"/>
          <w:i/>
          <w:noProof w:val="0"/>
          <w:lang w:val="en-US"/>
        </w:rPr>
        <w:t>supra</w:t>
      </w:r>
      <w:r w:rsidR="00B628C2" w:rsidRPr="00610904">
        <w:rPr>
          <w:rFonts w:cs="Arial"/>
          <w:noProof w:val="0"/>
          <w:lang w:val="en-US"/>
        </w:rPr>
        <w:t xml:space="preserve"> </w:t>
      </w:r>
      <w:r w:rsidR="006E502B" w:rsidRPr="00610904">
        <w:rPr>
          <w:rFonts w:cs="Arial"/>
          <w:noProof w:val="0"/>
          <w:lang w:val="en-US"/>
        </w:rPr>
        <w:t>paras.</w:t>
      </w:r>
      <w:r w:rsidR="00B628C2" w:rsidRPr="00610904">
        <w:rPr>
          <w:rFonts w:cs="Arial"/>
          <w:noProof w:val="0"/>
          <w:lang w:val="en-US"/>
        </w:rPr>
        <w:t xml:space="preserve"> 141</w:t>
      </w:r>
      <w:r w:rsidR="009F3D78" w:rsidRPr="00610904">
        <w:rPr>
          <w:rFonts w:cs="Arial"/>
          <w:noProof w:val="0"/>
          <w:lang w:val="en-US"/>
        </w:rPr>
        <w:t xml:space="preserve"> and </w:t>
      </w:r>
      <w:r w:rsidR="00B628C2" w:rsidRPr="00610904">
        <w:rPr>
          <w:rFonts w:cs="Arial"/>
          <w:noProof w:val="0"/>
          <w:lang w:val="en-US"/>
        </w:rPr>
        <w:t>144).</w:t>
      </w:r>
    </w:p>
    <w:p w:rsidR="008E38B6" w:rsidRPr="00610904" w:rsidRDefault="008E38B6" w:rsidP="00610904">
      <w:pPr>
        <w:pStyle w:val="EndnoteText"/>
        <w:widowControl w:val="0"/>
        <w:tabs>
          <w:tab w:val="left" w:pos="810"/>
          <w:tab w:val="left" w:pos="1440"/>
          <w:tab w:val="left" w:pos="2160"/>
          <w:tab w:val="left" w:pos="2880"/>
          <w:tab w:val="left" w:pos="3600"/>
          <w:tab w:val="left" w:pos="4320"/>
          <w:tab w:val="left" w:pos="5760"/>
          <w:tab w:val="left" w:pos="6480"/>
          <w:tab w:val="left" w:pos="7200"/>
          <w:tab w:val="left" w:pos="7920"/>
        </w:tabs>
        <w:rPr>
          <w:noProof w:val="0"/>
          <w:lang w:val="en-US"/>
        </w:rPr>
      </w:pPr>
    </w:p>
    <w:p w:rsidR="00B628C2" w:rsidRPr="00610904" w:rsidRDefault="009F3D78" w:rsidP="00610904">
      <w:pPr>
        <w:numPr>
          <w:ilvl w:val="0"/>
          <w:numId w:val="1"/>
        </w:numPr>
        <w:tabs>
          <w:tab w:val="left" w:pos="142"/>
          <w:tab w:val="left" w:pos="720"/>
        </w:tabs>
        <w:ind w:hanging="11"/>
        <w:rPr>
          <w:noProof w:val="0"/>
          <w:lang w:val="en-US"/>
        </w:rPr>
      </w:pPr>
      <w:r w:rsidRPr="00610904">
        <w:rPr>
          <w:noProof w:val="0"/>
          <w:lang w:val="en-US"/>
        </w:rPr>
        <w:t>The Court</w:t>
      </w:r>
      <w:r w:rsidR="00B628C2" w:rsidRPr="00610904">
        <w:rPr>
          <w:noProof w:val="0"/>
          <w:lang w:val="en-US"/>
        </w:rPr>
        <w:t xml:space="preserve"> </w:t>
      </w:r>
      <w:r w:rsidR="005C07F0" w:rsidRPr="00610904">
        <w:rPr>
          <w:noProof w:val="0"/>
          <w:lang w:val="en-US"/>
        </w:rPr>
        <w:t xml:space="preserve">underlines that it does not have any evidence to support the argument presented </w:t>
      </w:r>
      <w:r w:rsidR="008E38B6" w:rsidRPr="00610904">
        <w:rPr>
          <w:noProof w:val="0"/>
          <w:lang w:val="en-US"/>
        </w:rPr>
        <w:t>regarding</w:t>
      </w:r>
      <w:r w:rsidR="005C07F0" w:rsidRPr="00610904">
        <w:rPr>
          <w:noProof w:val="0"/>
          <w:lang w:val="en-US"/>
        </w:rPr>
        <w:t xml:space="preserve"> the lack of </w:t>
      </w:r>
      <w:r w:rsidR="00830022" w:rsidRPr="00610904">
        <w:rPr>
          <w:noProof w:val="0"/>
          <w:lang w:val="en-US"/>
        </w:rPr>
        <w:t>judicial protection</w:t>
      </w:r>
      <w:r w:rsidR="005C07F0" w:rsidRPr="00610904">
        <w:rPr>
          <w:noProof w:val="0"/>
          <w:lang w:val="en-US"/>
        </w:rPr>
        <w:t xml:space="preserve"> for</w:t>
      </w:r>
      <w:r w:rsidR="00B628C2" w:rsidRPr="00610904">
        <w:rPr>
          <w:noProof w:val="0"/>
          <w:lang w:val="en-US"/>
        </w:rPr>
        <w:t xml:space="preserve"> Talía </w:t>
      </w:r>
      <w:r w:rsidR="005C07F0" w:rsidRPr="00610904">
        <w:rPr>
          <w:noProof w:val="0"/>
          <w:lang w:val="en-US"/>
        </w:rPr>
        <w:t xml:space="preserve">during the processing of the </w:t>
      </w:r>
      <w:r w:rsidR="005C07F0" w:rsidRPr="00610904">
        <w:rPr>
          <w:i/>
          <w:noProof w:val="0"/>
          <w:lang w:val="en-US"/>
        </w:rPr>
        <w:t>amparo</w:t>
      </w:r>
      <w:r w:rsidR="008E38B6" w:rsidRPr="00610904">
        <w:rPr>
          <w:noProof w:val="0"/>
          <w:lang w:val="en-US"/>
        </w:rPr>
        <w:t xml:space="preserve">, and therefore considers </w:t>
      </w:r>
      <w:r w:rsidR="005C07F0" w:rsidRPr="00610904">
        <w:rPr>
          <w:noProof w:val="0"/>
          <w:lang w:val="en-US"/>
        </w:rPr>
        <w:t xml:space="preserve">that it cannot </w:t>
      </w:r>
      <w:r w:rsidR="008E38B6" w:rsidRPr="00610904">
        <w:rPr>
          <w:noProof w:val="0"/>
          <w:lang w:val="en-US"/>
        </w:rPr>
        <w:t>conclude</w:t>
      </w:r>
      <w:r w:rsidR="005C07F0" w:rsidRPr="00610904">
        <w:rPr>
          <w:noProof w:val="0"/>
          <w:lang w:val="en-US"/>
        </w:rPr>
        <w:t xml:space="preserve"> that there was a violation of the guarantee of </w:t>
      </w:r>
      <w:r w:rsidR="00830022" w:rsidRPr="00610904">
        <w:rPr>
          <w:noProof w:val="0"/>
          <w:szCs w:val="16"/>
          <w:lang w:val="en-US"/>
        </w:rPr>
        <w:t>judicial protection</w:t>
      </w:r>
      <w:r w:rsidR="00B628C2" w:rsidRPr="00610904">
        <w:rPr>
          <w:noProof w:val="0"/>
          <w:sz w:val="16"/>
          <w:szCs w:val="16"/>
          <w:lang w:val="en-US"/>
        </w:rPr>
        <w:t>.</w:t>
      </w:r>
      <w:r w:rsidR="00B628C2" w:rsidRPr="00610904">
        <w:rPr>
          <w:noProof w:val="0"/>
          <w:lang w:val="en-US"/>
        </w:rPr>
        <w:t xml:space="preserve"> </w:t>
      </w:r>
      <w:r w:rsidR="005C07F0" w:rsidRPr="00610904">
        <w:rPr>
          <w:noProof w:val="0"/>
          <w:lang w:val="en-US"/>
        </w:rPr>
        <w:t>Consequently</w:t>
      </w:r>
      <w:r w:rsidR="00B628C2" w:rsidRPr="00610904">
        <w:rPr>
          <w:noProof w:val="0"/>
          <w:lang w:val="en-US"/>
        </w:rPr>
        <w:t xml:space="preserve">, </w:t>
      </w:r>
      <w:r w:rsidRPr="00610904">
        <w:rPr>
          <w:noProof w:val="0"/>
          <w:lang w:val="en-US"/>
        </w:rPr>
        <w:t>the Court</w:t>
      </w:r>
      <w:r w:rsidR="00B628C2" w:rsidRPr="00610904">
        <w:rPr>
          <w:noProof w:val="0"/>
          <w:lang w:val="en-US"/>
        </w:rPr>
        <w:t xml:space="preserve"> </w:t>
      </w:r>
      <w:r w:rsidR="008E38B6" w:rsidRPr="00610904">
        <w:rPr>
          <w:noProof w:val="0"/>
          <w:lang w:val="en-US"/>
        </w:rPr>
        <w:t>finds that, with regard to the</w:t>
      </w:r>
      <w:r w:rsidR="005C07F0" w:rsidRPr="00610904">
        <w:rPr>
          <w:noProof w:val="0"/>
          <w:lang w:val="en-US"/>
        </w:rPr>
        <w:t xml:space="preserve"> application for </w:t>
      </w:r>
      <w:r w:rsidR="005C07F0" w:rsidRPr="00610904">
        <w:rPr>
          <w:i/>
          <w:noProof w:val="0"/>
          <w:lang w:val="en-US"/>
        </w:rPr>
        <w:t>amparo</w:t>
      </w:r>
      <w:r w:rsidR="005C07F0" w:rsidRPr="00610904">
        <w:rPr>
          <w:noProof w:val="0"/>
          <w:lang w:val="en-US"/>
        </w:rPr>
        <w:t xml:space="preserve">, the State did not violate the right to </w:t>
      </w:r>
      <w:r w:rsidR="00830022" w:rsidRPr="00610904">
        <w:rPr>
          <w:noProof w:val="0"/>
          <w:lang w:val="en-US"/>
        </w:rPr>
        <w:t>judicial protection</w:t>
      </w:r>
      <w:r w:rsidR="005C07F0" w:rsidRPr="00610904">
        <w:rPr>
          <w:noProof w:val="0"/>
          <w:lang w:val="en-US"/>
        </w:rPr>
        <w:t xml:space="preserve"> established in </w:t>
      </w:r>
      <w:r w:rsidRPr="00610904">
        <w:rPr>
          <w:noProof w:val="0"/>
          <w:lang w:val="en-US"/>
        </w:rPr>
        <w:t>Article</w:t>
      </w:r>
      <w:r w:rsidR="00B628C2" w:rsidRPr="00610904">
        <w:rPr>
          <w:noProof w:val="0"/>
          <w:lang w:val="en-US"/>
        </w:rPr>
        <w:t xml:space="preserve"> </w:t>
      </w:r>
      <w:r w:rsidR="004A6E8B" w:rsidRPr="00610904">
        <w:rPr>
          <w:noProof w:val="0"/>
          <w:lang w:val="en-US"/>
        </w:rPr>
        <w:t>25(1)</w:t>
      </w:r>
      <w:r w:rsidRPr="00610904">
        <w:rPr>
          <w:noProof w:val="0"/>
          <w:lang w:val="en-US"/>
        </w:rPr>
        <w:t xml:space="preserve"> of the Convention</w:t>
      </w:r>
      <w:r w:rsidR="00B628C2" w:rsidRPr="00610904">
        <w:rPr>
          <w:noProof w:val="0"/>
          <w:lang w:val="en-US"/>
        </w:rPr>
        <w:t>.</w:t>
      </w:r>
    </w:p>
    <w:p w:rsidR="00B628C2" w:rsidRPr="00610904" w:rsidRDefault="00B628C2" w:rsidP="00610904">
      <w:pPr>
        <w:rPr>
          <w:noProof w:val="0"/>
          <w:lang w:val="en-US"/>
        </w:rPr>
      </w:pPr>
    </w:p>
    <w:p w:rsidR="00B628C2" w:rsidRPr="00610904" w:rsidRDefault="00B628C2" w:rsidP="00610904">
      <w:pPr>
        <w:pStyle w:val="Heading3"/>
        <w:ind w:left="0" w:firstLine="709"/>
        <w:rPr>
          <w:noProof w:val="0"/>
          <w:lang w:val="en-US"/>
        </w:rPr>
      </w:pPr>
      <w:bookmarkStart w:id="142" w:name="_Toc429519518"/>
      <w:bookmarkStart w:id="143" w:name="_Toc443399117"/>
      <w:r w:rsidRPr="00610904">
        <w:rPr>
          <w:noProof w:val="0"/>
          <w:lang w:val="en-US"/>
        </w:rPr>
        <w:t xml:space="preserve">B.2. </w:t>
      </w:r>
      <w:bookmarkEnd w:id="139"/>
      <w:bookmarkEnd w:id="142"/>
      <w:r w:rsidR="0056398E" w:rsidRPr="00610904">
        <w:rPr>
          <w:noProof w:val="0"/>
          <w:lang w:val="en-US"/>
        </w:rPr>
        <w:t>Civil and criminal</w:t>
      </w:r>
      <w:r w:rsidR="005C07F0" w:rsidRPr="00610904">
        <w:rPr>
          <w:noProof w:val="0"/>
          <w:lang w:val="en-US"/>
        </w:rPr>
        <w:t xml:space="preserve"> proceedings</w:t>
      </w:r>
      <w:bookmarkEnd w:id="143"/>
    </w:p>
    <w:p w:rsidR="00B628C2" w:rsidRPr="00610904" w:rsidRDefault="00B628C2" w:rsidP="00610904">
      <w:pPr>
        <w:rPr>
          <w:i/>
          <w:noProof w:val="0"/>
          <w:lang w:val="en-US"/>
        </w:rPr>
      </w:pPr>
    </w:p>
    <w:p w:rsidR="00B628C2" w:rsidRPr="00610904" w:rsidRDefault="00882CCC" w:rsidP="00610904">
      <w:pPr>
        <w:ind w:firstLine="426"/>
        <w:rPr>
          <w:i/>
          <w:noProof w:val="0"/>
          <w:lang w:val="en-US"/>
        </w:rPr>
      </w:pPr>
      <w:r w:rsidRPr="00610904">
        <w:rPr>
          <w:i/>
          <w:noProof w:val="0"/>
          <w:lang w:val="en-US"/>
        </w:rPr>
        <w:t>Arguments</w:t>
      </w:r>
      <w:r w:rsidR="003309BE" w:rsidRPr="00610904">
        <w:rPr>
          <w:i/>
          <w:noProof w:val="0"/>
          <w:lang w:val="en-US"/>
        </w:rPr>
        <w:t xml:space="preserve"> of the </w:t>
      </w:r>
      <w:r w:rsidR="002F5BBA" w:rsidRPr="00610904">
        <w:rPr>
          <w:i/>
          <w:noProof w:val="0"/>
          <w:lang w:val="en-US"/>
        </w:rPr>
        <w:t>Commission</w:t>
      </w:r>
      <w:r w:rsidR="009F3D78" w:rsidRPr="00610904">
        <w:rPr>
          <w:i/>
          <w:noProof w:val="0"/>
          <w:lang w:val="en-US"/>
        </w:rPr>
        <w:t xml:space="preserve"> </w:t>
      </w:r>
      <w:r w:rsidR="0013395A" w:rsidRPr="00610904">
        <w:rPr>
          <w:i/>
          <w:noProof w:val="0"/>
          <w:lang w:val="en-US"/>
        </w:rPr>
        <w:t>and of the parties</w:t>
      </w:r>
    </w:p>
    <w:p w:rsidR="00B628C2" w:rsidRPr="00610904" w:rsidRDefault="00B628C2" w:rsidP="00610904">
      <w:pPr>
        <w:rPr>
          <w:rFonts w:cs="Arial"/>
          <w:noProof w:val="0"/>
          <w:lang w:val="en-US"/>
        </w:rPr>
      </w:pPr>
    </w:p>
    <w:p w:rsidR="00B628C2" w:rsidRPr="00610904" w:rsidRDefault="002F5BBA" w:rsidP="00610904">
      <w:pPr>
        <w:pStyle w:val="Title"/>
        <w:numPr>
          <w:ilvl w:val="0"/>
          <w:numId w:val="1"/>
        </w:numPr>
        <w:jc w:val="both"/>
        <w:rPr>
          <w:rFonts w:cs="Arial"/>
          <w:noProof w:val="0"/>
          <w:lang w:val="en-US"/>
        </w:rPr>
      </w:pPr>
      <w:r w:rsidRPr="00610904">
        <w:rPr>
          <w:rFonts w:cs="Arial"/>
          <w:b w:val="0"/>
          <w:noProof w:val="0"/>
          <w:lang w:val="en-US"/>
        </w:rPr>
        <w:t>The Commission</w:t>
      </w:r>
      <w:r w:rsidR="00B628C2" w:rsidRPr="00610904">
        <w:rPr>
          <w:rFonts w:cs="Arial"/>
          <w:b w:val="0"/>
          <w:noProof w:val="0"/>
          <w:lang w:val="en-US"/>
        </w:rPr>
        <w:t xml:space="preserve"> </w:t>
      </w:r>
      <w:r w:rsidR="005C07F0" w:rsidRPr="00610904">
        <w:rPr>
          <w:rFonts w:cs="Arial"/>
          <w:b w:val="0"/>
          <w:noProof w:val="0"/>
          <w:lang w:val="en-US"/>
        </w:rPr>
        <w:t xml:space="preserve">affirmed that neither </w:t>
      </w:r>
      <w:r w:rsidR="00B628C2" w:rsidRPr="00610904">
        <w:rPr>
          <w:rFonts w:cs="Arial"/>
          <w:b w:val="0"/>
          <w:noProof w:val="0"/>
          <w:lang w:val="en-US"/>
        </w:rPr>
        <w:t>Talía</w:t>
      </w:r>
      <w:r w:rsidR="005C07F0" w:rsidRPr="00610904">
        <w:rPr>
          <w:rFonts w:cs="Arial"/>
          <w:b w:val="0"/>
          <w:noProof w:val="0"/>
          <w:lang w:val="en-US"/>
        </w:rPr>
        <w:t xml:space="preserve"> nor</w:t>
      </w:r>
      <w:r w:rsidR="00B628C2" w:rsidRPr="00610904">
        <w:rPr>
          <w:rFonts w:cs="Arial"/>
          <w:b w:val="0"/>
          <w:noProof w:val="0"/>
          <w:lang w:val="en-US"/>
        </w:rPr>
        <w:t xml:space="preserve"> </w:t>
      </w:r>
      <w:r w:rsidR="006D7F48" w:rsidRPr="00610904">
        <w:rPr>
          <w:rFonts w:cs="Arial"/>
          <w:b w:val="0"/>
          <w:noProof w:val="0"/>
          <w:lang w:val="en-US"/>
        </w:rPr>
        <w:t>her mother</w:t>
      </w:r>
      <w:r w:rsidR="005C07F0" w:rsidRPr="00610904">
        <w:rPr>
          <w:rFonts w:cs="Arial"/>
          <w:b w:val="0"/>
          <w:noProof w:val="0"/>
          <w:lang w:val="en-US"/>
        </w:rPr>
        <w:t xml:space="preserve"> had received any </w:t>
      </w:r>
      <w:r w:rsidR="00830022" w:rsidRPr="00610904">
        <w:rPr>
          <w:rFonts w:cs="Arial"/>
          <w:b w:val="0"/>
          <w:noProof w:val="0"/>
          <w:lang w:val="en-US"/>
        </w:rPr>
        <w:t>judicial protection</w:t>
      </w:r>
      <w:r w:rsidR="00B628C2" w:rsidRPr="00610904">
        <w:rPr>
          <w:rFonts w:cs="Arial"/>
          <w:b w:val="0"/>
          <w:noProof w:val="0"/>
          <w:lang w:val="en-US"/>
        </w:rPr>
        <w:t xml:space="preserve"> </w:t>
      </w:r>
      <w:r w:rsidR="005C07F0" w:rsidRPr="00610904">
        <w:rPr>
          <w:rFonts w:cs="Arial"/>
          <w:b w:val="0"/>
          <w:noProof w:val="0"/>
          <w:lang w:val="en-US"/>
        </w:rPr>
        <w:t xml:space="preserve">in relation to the infection suffered by </w:t>
      </w:r>
      <w:r w:rsidR="00B628C2" w:rsidRPr="00610904">
        <w:rPr>
          <w:b w:val="0"/>
          <w:noProof w:val="0"/>
          <w:lang w:val="en-US"/>
        </w:rPr>
        <w:t>Talía</w:t>
      </w:r>
      <w:r w:rsidR="00B628C2" w:rsidRPr="00610904">
        <w:rPr>
          <w:rFonts w:cs="Arial"/>
          <w:b w:val="0"/>
          <w:noProof w:val="0"/>
          <w:lang w:val="en-US"/>
        </w:rPr>
        <w:t xml:space="preserve">. </w:t>
      </w:r>
      <w:r w:rsidR="007916C1" w:rsidRPr="00610904">
        <w:rPr>
          <w:rFonts w:cs="Arial"/>
          <w:b w:val="0"/>
          <w:noProof w:val="0"/>
          <w:lang w:val="en-US"/>
        </w:rPr>
        <w:t>According to the</w:t>
      </w:r>
      <w:r w:rsidRPr="00610904">
        <w:rPr>
          <w:rFonts w:cs="Arial"/>
          <w:b w:val="0"/>
          <w:noProof w:val="0"/>
          <w:lang w:val="en-US"/>
        </w:rPr>
        <w:t xml:space="preserve"> Commission</w:t>
      </w:r>
      <w:r w:rsidR="00B628C2" w:rsidRPr="00610904">
        <w:rPr>
          <w:rFonts w:cs="Arial"/>
          <w:b w:val="0"/>
          <w:noProof w:val="0"/>
          <w:lang w:val="en-US"/>
        </w:rPr>
        <w:t xml:space="preserve">, </w:t>
      </w:r>
      <w:r w:rsidR="00B628C2" w:rsidRPr="00610904">
        <w:rPr>
          <w:b w:val="0"/>
          <w:noProof w:val="0"/>
          <w:lang w:val="en-US"/>
        </w:rPr>
        <w:t>Talía</w:t>
      </w:r>
      <w:r w:rsidR="005C07F0" w:rsidRPr="00610904">
        <w:rPr>
          <w:rFonts w:cs="Arial"/>
          <w:b w:val="0"/>
          <w:noProof w:val="0"/>
          <w:lang w:val="en-US"/>
        </w:rPr>
        <w:t>,</w:t>
      </w:r>
      <w:r w:rsidR="00B628C2" w:rsidRPr="00610904">
        <w:rPr>
          <w:rFonts w:cs="Arial"/>
          <w:b w:val="0"/>
          <w:noProof w:val="0"/>
          <w:lang w:val="en-US"/>
        </w:rPr>
        <w:t xml:space="preserve"> </w:t>
      </w:r>
      <w:r w:rsidR="006D7F48" w:rsidRPr="00610904">
        <w:rPr>
          <w:rFonts w:cs="Arial"/>
          <w:b w:val="0"/>
          <w:noProof w:val="0"/>
          <w:lang w:val="en-US"/>
        </w:rPr>
        <w:t>her mother</w:t>
      </w:r>
      <w:r w:rsidR="009F3D78" w:rsidRPr="00610904">
        <w:rPr>
          <w:rFonts w:cs="Arial"/>
          <w:noProof w:val="0"/>
          <w:lang w:val="en-US"/>
        </w:rPr>
        <w:t xml:space="preserve"> </w:t>
      </w:r>
      <w:r w:rsidR="009F3D78" w:rsidRPr="00610904">
        <w:rPr>
          <w:rFonts w:cs="Arial"/>
          <w:b w:val="0"/>
          <w:noProof w:val="0"/>
          <w:lang w:val="en-US"/>
        </w:rPr>
        <w:t>and</w:t>
      </w:r>
      <w:r w:rsidR="009F3D78" w:rsidRPr="00610904">
        <w:rPr>
          <w:rFonts w:cs="Arial"/>
          <w:noProof w:val="0"/>
          <w:lang w:val="en-US"/>
        </w:rPr>
        <w:t xml:space="preserve"> </w:t>
      </w:r>
      <w:r w:rsidR="006D7F48" w:rsidRPr="00610904">
        <w:rPr>
          <w:rFonts w:cs="Arial"/>
          <w:b w:val="0"/>
          <w:noProof w:val="0"/>
          <w:lang w:val="en-US"/>
        </w:rPr>
        <w:t>her brother</w:t>
      </w:r>
      <w:r w:rsidR="00B628C2" w:rsidRPr="00610904">
        <w:rPr>
          <w:rFonts w:cs="Arial"/>
          <w:b w:val="0"/>
          <w:noProof w:val="0"/>
          <w:lang w:val="en-US"/>
        </w:rPr>
        <w:t xml:space="preserve"> </w:t>
      </w:r>
      <w:r w:rsidR="005C07F0" w:rsidRPr="00610904">
        <w:rPr>
          <w:rFonts w:cs="Arial"/>
          <w:b w:val="0"/>
          <w:noProof w:val="0"/>
          <w:lang w:val="en-US"/>
        </w:rPr>
        <w:t>had been prevented from having access to a means of obtaining compensation for the harm suffered as a result of the infection, because</w:t>
      </w:r>
      <w:r w:rsidR="00B628C2" w:rsidRPr="00610904">
        <w:rPr>
          <w:rFonts w:cs="Arial"/>
          <w:b w:val="0"/>
          <w:noProof w:val="0"/>
          <w:lang w:val="en-US"/>
        </w:rPr>
        <w:t xml:space="preserve"> </w:t>
      </w:r>
      <w:r w:rsidR="00A8072E" w:rsidRPr="00610904">
        <w:rPr>
          <w:rFonts w:cs="Arial"/>
          <w:b w:val="0"/>
          <w:noProof w:val="0"/>
          <w:lang w:val="en-US"/>
        </w:rPr>
        <w:t>the criminal action</w:t>
      </w:r>
      <w:r w:rsidR="00B628C2" w:rsidRPr="00610904">
        <w:rPr>
          <w:rFonts w:cs="Arial"/>
          <w:b w:val="0"/>
          <w:noProof w:val="0"/>
          <w:lang w:val="en-US"/>
        </w:rPr>
        <w:t xml:space="preserve"> </w:t>
      </w:r>
      <w:r w:rsidR="005C07F0" w:rsidRPr="00610904">
        <w:rPr>
          <w:rFonts w:cs="Arial"/>
          <w:b w:val="0"/>
          <w:noProof w:val="0"/>
          <w:lang w:val="en-US"/>
        </w:rPr>
        <w:t xml:space="preserve">had not ended with a final conviction and it has now prescribed. According to </w:t>
      </w:r>
      <w:r w:rsidRPr="00610904">
        <w:rPr>
          <w:rFonts w:cs="Arial"/>
          <w:b w:val="0"/>
          <w:noProof w:val="0"/>
          <w:lang w:val="en-US"/>
        </w:rPr>
        <w:t>the Commission</w:t>
      </w:r>
      <w:r w:rsidR="00B628C2" w:rsidRPr="00610904">
        <w:rPr>
          <w:rFonts w:cs="Arial"/>
          <w:b w:val="0"/>
          <w:noProof w:val="0"/>
          <w:lang w:val="en-US"/>
        </w:rPr>
        <w:t xml:space="preserve">, </w:t>
      </w:r>
      <w:r w:rsidR="008E38B6" w:rsidRPr="00610904">
        <w:rPr>
          <w:rFonts w:cs="Arial"/>
          <w:b w:val="0"/>
          <w:noProof w:val="0"/>
          <w:lang w:val="en-US"/>
        </w:rPr>
        <w:t>this situation reflected</w:t>
      </w:r>
      <w:r w:rsidR="005C07F0" w:rsidRPr="00610904">
        <w:rPr>
          <w:rFonts w:cs="Arial"/>
          <w:b w:val="0"/>
          <w:noProof w:val="0"/>
          <w:lang w:val="en-US"/>
        </w:rPr>
        <w:t xml:space="preserve"> a flagrant denial of justice and, co</w:t>
      </w:r>
      <w:r w:rsidR="008E38B6" w:rsidRPr="00610904">
        <w:rPr>
          <w:rFonts w:cs="Arial"/>
          <w:b w:val="0"/>
          <w:noProof w:val="0"/>
          <w:lang w:val="en-US"/>
        </w:rPr>
        <w:t>nsequently, violated</w:t>
      </w:r>
      <w:r w:rsidR="005C07F0" w:rsidRPr="00610904">
        <w:rPr>
          <w:rFonts w:cs="Arial"/>
          <w:b w:val="0"/>
          <w:noProof w:val="0"/>
          <w:lang w:val="en-US"/>
        </w:rPr>
        <w:t xml:space="preserve"> the right to </w:t>
      </w:r>
      <w:r w:rsidR="00830022" w:rsidRPr="00610904">
        <w:rPr>
          <w:rFonts w:cs="Arial"/>
          <w:b w:val="0"/>
          <w:noProof w:val="0"/>
          <w:lang w:val="en-US"/>
        </w:rPr>
        <w:t>judicial guarantees</w:t>
      </w:r>
      <w:r w:rsidR="009F3D78" w:rsidRPr="00610904">
        <w:rPr>
          <w:rFonts w:cs="Arial"/>
          <w:b w:val="0"/>
          <w:noProof w:val="0"/>
          <w:lang w:val="en-US"/>
        </w:rPr>
        <w:t xml:space="preserve"> and </w:t>
      </w:r>
      <w:r w:rsidR="00830022" w:rsidRPr="00610904">
        <w:rPr>
          <w:rFonts w:cs="Arial"/>
          <w:b w:val="0"/>
          <w:noProof w:val="0"/>
          <w:lang w:val="en-US"/>
        </w:rPr>
        <w:t>judicial protection</w:t>
      </w:r>
      <w:r w:rsidR="00B628C2" w:rsidRPr="00610904">
        <w:rPr>
          <w:rFonts w:cs="Arial"/>
          <w:b w:val="0"/>
          <w:noProof w:val="0"/>
          <w:lang w:val="en-US"/>
        </w:rPr>
        <w:t xml:space="preserve"> </w:t>
      </w:r>
      <w:r w:rsidR="004A6E8B" w:rsidRPr="00610904">
        <w:rPr>
          <w:rFonts w:cs="Arial"/>
          <w:b w:val="0"/>
          <w:noProof w:val="0"/>
          <w:lang w:val="en-US"/>
        </w:rPr>
        <w:t>of</w:t>
      </w:r>
      <w:r w:rsidR="00B628C2" w:rsidRPr="00610904">
        <w:rPr>
          <w:rFonts w:cs="Arial"/>
          <w:b w:val="0"/>
          <w:noProof w:val="0"/>
          <w:lang w:val="en-US"/>
        </w:rPr>
        <w:t xml:space="preserve"> Talía</w:t>
      </w:r>
      <w:r w:rsidR="009F3D78" w:rsidRPr="00610904">
        <w:rPr>
          <w:rFonts w:cs="Arial"/>
          <w:b w:val="0"/>
          <w:noProof w:val="0"/>
          <w:lang w:val="en-US"/>
        </w:rPr>
        <w:t xml:space="preserve"> and </w:t>
      </w:r>
      <w:r w:rsidR="006D7F48" w:rsidRPr="00610904">
        <w:rPr>
          <w:rFonts w:cs="Arial"/>
          <w:b w:val="0"/>
          <w:noProof w:val="0"/>
          <w:lang w:val="en-US"/>
        </w:rPr>
        <w:t>her mother</w:t>
      </w:r>
      <w:r w:rsidR="00B628C2" w:rsidRPr="00610904">
        <w:rPr>
          <w:rFonts w:cs="Arial"/>
          <w:b w:val="0"/>
          <w:noProof w:val="0"/>
          <w:lang w:val="en-US"/>
        </w:rPr>
        <w:t>.</w:t>
      </w:r>
    </w:p>
    <w:p w:rsidR="00B628C2" w:rsidRPr="00610904" w:rsidRDefault="00B628C2" w:rsidP="00610904">
      <w:pPr>
        <w:pStyle w:val="Title"/>
        <w:rPr>
          <w:rFonts w:cs="Arial"/>
          <w:noProof w:val="0"/>
          <w:lang w:val="en-US"/>
        </w:rPr>
      </w:pPr>
    </w:p>
    <w:p w:rsidR="005C07F0" w:rsidRPr="00610904" w:rsidRDefault="009F3D78" w:rsidP="00610904">
      <w:pPr>
        <w:pStyle w:val="Title"/>
        <w:numPr>
          <w:ilvl w:val="0"/>
          <w:numId w:val="1"/>
        </w:numPr>
        <w:tabs>
          <w:tab w:val="left" w:pos="810"/>
        </w:tabs>
        <w:jc w:val="both"/>
        <w:rPr>
          <w:rFonts w:cs="Arial"/>
          <w:noProof w:val="0"/>
          <w:lang w:val="en-US"/>
        </w:rPr>
      </w:pPr>
      <w:r w:rsidRPr="00610904">
        <w:rPr>
          <w:rFonts w:cs="Arial"/>
          <w:b w:val="0"/>
          <w:noProof w:val="0"/>
          <w:lang w:val="en-US"/>
        </w:rPr>
        <w:t>The representatives</w:t>
      </w:r>
      <w:r w:rsidR="00B628C2" w:rsidRPr="00610904">
        <w:rPr>
          <w:rFonts w:cs="Arial"/>
          <w:b w:val="0"/>
          <w:noProof w:val="0"/>
          <w:lang w:val="en-US"/>
        </w:rPr>
        <w:t xml:space="preserve"> </w:t>
      </w:r>
      <w:r w:rsidR="005C07F0" w:rsidRPr="00610904">
        <w:rPr>
          <w:rFonts w:cs="Arial"/>
          <w:b w:val="0"/>
          <w:noProof w:val="0"/>
          <w:lang w:val="en-US"/>
        </w:rPr>
        <w:t>indicated that</w:t>
      </w:r>
      <w:r w:rsidR="00B628C2" w:rsidRPr="00610904">
        <w:rPr>
          <w:rFonts w:cs="Arial"/>
          <w:b w:val="0"/>
          <w:noProof w:val="0"/>
          <w:lang w:val="en-US"/>
        </w:rPr>
        <w:t xml:space="preserve"> </w:t>
      </w:r>
      <w:r w:rsidRPr="00610904">
        <w:rPr>
          <w:rFonts w:cs="Arial"/>
          <w:b w:val="0"/>
          <w:noProof w:val="0"/>
          <w:lang w:val="en-US"/>
        </w:rPr>
        <w:t>the State</w:t>
      </w:r>
      <w:r w:rsidR="00B628C2" w:rsidRPr="00610904">
        <w:rPr>
          <w:rFonts w:cs="Arial"/>
          <w:b w:val="0"/>
          <w:noProof w:val="0"/>
          <w:lang w:val="en-US"/>
        </w:rPr>
        <w:t xml:space="preserve"> </w:t>
      </w:r>
      <w:r w:rsidR="005C07F0" w:rsidRPr="00610904">
        <w:rPr>
          <w:rFonts w:cs="Arial"/>
          <w:b w:val="0"/>
          <w:noProof w:val="0"/>
          <w:lang w:val="en-US"/>
        </w:rPr>
        <w:t>had violated</w:t>
      </w:r>
      <w:r w:rsidR="00B628C2" w:rsidRPr="00610904">
        <w:rPr>
          <w:rFonts w:cs="Arial"/>
          <w:b w:val="0"/>
          <w:noProof w:val="0"/>
          <w:lang w:val="en-US"/>
        </w:rPr>
        <w:t xml:space="preserve"> </w:t>
      </w:r>
      <w:r w:rsidRPr="00610904">
        <w:rPr>
          <w:rFonts w:cs="Arial"/>
          <w:b w:val="0"/>
          <w:noProof w:val="0"/>
          <w:lang w:val="en-US"/>
        </w:rPr>
        <w:t>Article</w:t>
      </w:r>
      <w:r w:rsidR="00B628C2" w:rsidRPr="00610904">
        <w:rPr>
          <w:rFonts w:cs="Arial"/>
          <w:b w:val="0"/>
          <w:noProof w:val="0"/>
          <w:lang w:val="en-US"/>
        </w:rPr>
        <w:t xml:space="preserve"> 25</w:t>
      </w:r>
      <w:r w:rsidRPr="00610904">
        <w:rPr>
          <w:rFonts w:cs="Arial"/>
          <w:b w:val="0"/>
          <w:noProof w:val="0"/>
          <w:lang w:val="en-US"/>
        </w:rPr>
        <w:t xml:space="preserve"> of the Convention</w:t>
      </w:r>
      <w:r w:rsidR="005C07F0" w:rsidRPr="00610904">
        <w:rPr>
          <w:rFonts w:cs="Arial"/>
          <w:b w:val="0"/>
          <w:noProof w:val="0"/>
          <w:lang w:val="en-US"/>
        </w:rPr>
        <w:t xml:space="preserve"> concerning the right to</w:t>
      </w:r>
      <w:r w:rsidR="00B628C2" w:rsidRPr="00610904">
        <w:rPr>
          <w:rFonts w:cs="Arial"/>
          <w:b w:val="0"/>
          <w:noProof w:val="0"/>
          <w:lang w:val="en-US"/>
        </w:rPr>
        <w:t xml:space="preserve"> </w:t>
      </w:r>
      <w:r w:rsidR="00830022" w:rsidRPr="00610904">
        <w:rPr>
          <w:rFonts w:cs="Arial"/>
          <w:b w:val="0"/>
          <w:noProof w:val="0"/>
          <w:lang w:val="en-US"/>
        </w:rPr>
        <w:t>judicial protection</w:t>
      </w:r>
      <w:r w:rsidR="00B628C2" w:rsidRPr="00610904">
        <w:rPr>
          <w:rFonts w:cs="Arial"/>
          <w:b w:val="0"/>
          <w:noProof w:val="0"/>
          <w:lang w:val="en-US"/>
        </w:rPr>
        <w:t xml:space="preserve">, </w:t>
      </w:r>
      <w:r w:rsidR="005C07F0" w:rsidRPr="00610904">
        <w:rPr>
          <w:rFonts w:cs="Arial"/>
          <w:b w:val="0"/>
          <w:noProof w:val="0"/>
          <w:lang w:val="en-US"/>
        </w:rPr>
        <w:t xml:space="preserve">because, during the criminal proceedings, there had been “a reiterated demonstration of the judicial and state intention to avoid presenting the evidence requested by Teresa Lluy”; added to which, </w:t>
      </w:r>
      <w:r w:rsidR="004E4EC1" w:rsidRPr="00610904">
        <w:rPr>
          <w:rFonts w:cs="Arial"/>
          <w:b w:val="0"/>
          <w:noProof w:val="0"/>
          <w:lang w:val="en-US"/>
        </w:rPr>
        <w:t>the preliminary investigation was</w:t>
      </w:r>
      <w:r w:rsidR="005C07F0" w:rsidRPr="00610904">
        <w:rPr>
          <w:rFonts w:cs="Arial"/>
          <w:b w:val="0"/>
          <w:noProof w:val="0"/>
          <w:lang w:val="en-US"/>
        </w:rPr>
        <w:t xml:space="preserve"> closed “three times” without the jurisdictional authorities making the requests that Teresa Lluy had asked for. In addition, the representatives argued that the criminal judge considered that the criminal offense had been proved, but not the responsibility of the accused.</w:t>
      </w:r>
    </w:p>
    <w:p w:rsidR="00B628C2" w:rsidRPr="00610904" w:rsidRDefault="00B628C2" w:rsidP="00610904">
      <w:pPr>
        <w:rPr>
          <w:rFonts w:cs="Arial"/>
          <w:b/>
          <w:noProof w:val="0"/>
          <w:lang w:val="en-US"/>
        </w:rPr>
      </w:pPr>
    </w:p>
    <w:p w:rsidR="00B628C2" w:rsidRPr="00610904" w:rsidRDefault="009F3D78" w:rsidP="00610904">
      <w:pPr>
        <w:numPr>
          <w:ilvl w:val="0"/>
          <w:numId w:val="1"/>
        </w:numPr>
        <w:tabs>
          <w:tab w:val="left" w:pos="900"/>
        </w:tabs>
        <w:contextualSpacing/>
        <w:rPr>
          <w:rFonts w:cs="Arial"/>
          <w:b/>
          <w:noProof w:val="0"/>
          <w:lang w:val="en-US"/>
        </w:rPr>
      </w:pPr>
      <w:r w:rsidRPr="00610904">
        <w:rPr>
          <w:rFonts w:cs="Arial"/>
          <w:noProof w:val="0"/>
          <w:lang w:val="en-US"/>
        </w:rPr>
        <w:t>The State</w:t>
      </w:r>
      <w:r w:rsidR="00B628C2" w:rsidRPr="00610904">
        <w:rPr>
          <w:rFonts w:cs="Arial"/>
          <w:noProof w:val="0"/>
          <w:lang w:val="en-US"/>
        </w:rPr>
        <w:t xml:space="preserve"> argu</w:t>
      </w:r>
      <w:r w:rsidR="005C07F0" w:rsidRPr="00610904">
        <w:rPr>
          <w:rFonts w:cs="Arial"/>
          <w:noProof w:val="0"/>
          <w:lang w:val="en-US"/>
        </w:rPr>
        <w:t>ed that, “under the Ecuadorian legal framework, the adequate and effective remedy to determine res</w:t>
      </w:r>
      <w:r w:rsidR="008E38B6" w:rsidRPr="00610904">
        <w:rPr>
          <w:rFonts w:cs="Arial"/>
          <w:noProof w:val="0"/>
          <w:lang w:val="en-US"/>
        </w:rPr>
        <w:t>ponsibilities with regard to</w:t>
      </w:r>
      <w:r w:rsidR="005C07F0" w:rsidRPr="00610904">
        <w:rPr>
          <w:rFonts w:cs="Arial"/>
          <w:noProof w:val="0"/>
          <w:lang w:val="en-US"/>
        </w:rPr>
        <w:t xml:space="preserve"> Talía</w:t>
      </w:r>
      <w:r w:rsidR="008E38B6" w:rsidRPr="00610904">
        <w:rPr>
          <w:rFonts w:cs="Arial"/>
          <w:noProof w:val="0"/>
          <w:lang w:val="en-US"/>
        </w:rPr>
        <w:t>’s infection</w:t>
      </w:r>
      <w:r w:rsidR="005C07F0" w:rsidRPr="00610904">
        <w:rPr>
          <w:rFonts w:cs="Arial"/>
          <w:noProof w:val="0"/>
          <w:lang w:val="en-US"/>
        </w:rPr>
        <w:t xml:space="preserve"> was the criminal proceedings to prosecute those responsible for the violation,” and Talía and her family had the right to access this remedy. The State also in</w:t>
      </w:r>
      <w:r w:rsidR="008E38B6" w:rsidRPr="00610904">
        <w:rPr>
          <w:rFonts w:cs="Arial"/>
          <w:noProof w:val="0"/>
          <w:lang w:val="en-US"/>
        </w:rPr>
        <w:t>dicated that the proceedings were</w:t>
      </w:r>
      <w:r w:rsidR="005C07F0" w:rsidRPr="00610904">
        <w:rPr>
          <w:rFonts w:cs="Arial"/>
          <w:noProof w:val="0"/>
          <w:lang w:val="en-US"/>
        </w:rPr>
        <w:t xml:space="preserve"> also effective and efficacious, because</w:t>
      </w:r>
      <w:r w:rsidR="0043290F" w:rsidRPr="00610904">
        <w:rPr>
          <w:rFonts w:cs="Arial"/>
          <w:noProof w:val="0"/>
          <w:lang w:val="en-US"/>
        </w:rPr>
        <w:t xml:space="preserve"> the different procedural stages signified</w:t>
      </w:r>
      <w:r w:rsidR="005C07F0" w:rsidRPr="00610904">
        <w:rPr>
          <w:rFonts w:cs="Arial"/>
          <w:noProof w:val="0"/>
          <w:lang w:val="en-US"/>
        </w:rPr>
        <w:t xml:space="preserve"> the real possibility of achieving the requir</w:t>
      </w:r>
      <w:r w:rsidR="0043290F" w:rsidRPr="00610904">
        <w:rPr>
          <w:rFonts w:cs="Arial"/>
          <w:noProof w:val="0"/>
          <w:lang w:val="en-US"/>
        </w:rPr>
        <w:t xml:space="preserve">ed judicial protection. Thus, during the substantiation of the </w:t>
      </w:r>
      <w:r w:rsidR="004E4EC1" w:rsidRPr="00610904">
        <w:rPr>
          <w:rFonts w:cs="Arial"/>
          <w:noProof w:val="0"/>
          <w:lang w:val="en-US"/>
        </w:rPr>
        <w:t>preliminary investigation</w:t>
      </w:r>
      <w:r w:rsidRPr="00610904">
        <w:rPr>
          <w:rFonts w:cs="Arial"/>
          <w:noProof w:val="0"/>
          <w:lang w:val="en-US"/>
        </w:rPr>
        <w:t xml:space="preserve"> and </w:t>
      </w:r>
      <w:r w:rsidR="0043290F" w:rsidRPr="00610904">
        <w:rPr>
          <w:rFonts w:cs="Arial"/>
          <w:noProof w:val="0"/>
          <w:lang w:val="en-US"/>
        </w:rPr>
        <w:t>plenary stages</w:t>
      </w:r>
      <w:r w:rsidR="00B628C2" w:rsidRPr="00610904">
        <w:rPr>
          <w:rFonts w:cs="Arial"/>
          <w:noProof w:val="0"/>
          <w:lang w:val="en-US"/>
        </w:rPr>
        <w:t xml:space="preserve">, </w:t>
      </w:r>
      <w:r w:rsidR="0043290F" w:rsidRPr="00610904">
        <w:rPr>
          <w:rFonts w:cs="Arial"/>
          <w:noProof w:val="0"/>
          <w:lang w:val="en-US"/>
        </w:rPr>
        <w:t xml:space="preserve">both of its own motion and at the request of the parties, the court </w:t>
      </w:r>
      <w:r w:rsidR="008E38B6" w:rsidRPr="00610904">
        <w:rPr>
          <w:rFonts w:cs="Arial"/>
          <w:noProof w:val="0"/>
          <w:lang w:val="en-US"/>
        </w:rPr>
        <w:t xml:space="preserve">had </w:t>
      </w:r>
      <w:r w:rsidR="0043290F" w:rsidRPr="00610904">
        <w:rPr>
          <w:rFonts w:cs="Arial"/>
          <w:noProof w:val="0"/>
          <w:lang w:val="en-US"/>
        </w:rPr>
        <w:t xml:space="preserve">ordered and implemented the procedural measures that were </w:t>
      </w:r>
      <w:r w:rsidR="0043290F" w:rsidRPr="00610904">
        <w:rPr>
          <w:rFonts w:cs="Arial"/>
          <w:noProof w:val="0"/>
          <w:lang w:val="en-US"/>
        </w:rPr>
        <w:lastRenderedPageBreak/>
        <w:t>considered necessary to clarify the facts. Therefore,</w:t>
      </w:r>
      <w:r w:rsidR="00B628C2" w:rsidRPr="00610904">
        <w:rPr>
          <w:rFonts w:cs="Arial"/>
          <w:noProof w:val="0"/>
          <w:lang w:val="en-US"/>
        </w:rPr>
        <w:t xml:space="preserve"> </w:t>
      </w:r>
      <w:r w:rsidR="0043290F" w:rsidRPr="00610904">
        <w:rPr>
          <w:rFonts w:cs="Arial"/>
          <w:noProof w:val="0"/>
          <w:lang w:val="en-US"/>
        </w:rPr>
        <w:t>a</w:t>
      </w:r>
      <w:r w:rsidR="007916C1" w:rsidRPr="00610904">
        <w:rPr>
          <w:rFonts w:cs="Arial"/>
          <w:noProof w:val="0"/>
          <w:lang w:val="en-US"/>
        </w:rPr>
        <w:t>ccording to the</w:t>
      </w:r>
      <w:r w:rsidRPr="00610904">
        <w:rPr>
          <w:rFonts w:cs="Arial"/>
          <w:noProof w:val="0"/>
          <w:lang w:val="en-US"/>
        </w:rPr>
        <w:t xml:space="preserve"> State</w:t>
      </w:r>
      <w:r w:rsidR="0043290F" w:rsidRPr="00610904">
        <w:rPr>
          <w:rFonts w:cs="Arial"/>
          <w:noProof w:val="0"/>
          <w:lang w:val="en-US"/>
        </w:rPr>
        <w:t>, there were no omi</w:t>
      </w:r>
      <w:r w:rsidR="008E38B6" w:rsidRPr="00610904">
        <w:rPr>
          <w:rFonts w:cs="Arial"/>
          <w:noProof w:val="0"/>
          <w:lang w:val="en-US"/>
        </w:rPr>
        <w:t xml:space="preserve">ssions in the collection of </w:t>
      </w:r>
      <w:r w:rsidR="0043290F" w:rsidRPr="00610904">
        <w:rPr>
          <w:rFonts w:cs="Arial"/>
          <w:noProof w:val="0"/>
          <w:lang w:val="en-US"/>
        </w:rPr>
        <w:t>evidence, when requesting and ordering the probative procedures required to determine what happened.</w:t>
      </w:r>
    </w:p>
    <w:p w:rsidR="00B628C2" w:rsidRPr="00610904" w:rsidRDefault="00B628C2" w:rsidP="00610904">
      <w:pPr>
        <w:rPr>
          <w:rFonts w:cs="Arial"/>
          <w:b/>
          <w:noProof w:val="0"/>
          <w:lang w:val="en-US"/>
        </w:rPr>
      </w:pPr>
    </w:p>
    <w:p w:rsidR="00B628C2" w:rsidRPr="00610904" w:rsidRDefault="0043290F" w:rsidP="00610904">
      <w:pPr>
        <w:numPr>
          <w:ilvl w:val="0"/>
          <w:numId w:val="1"/>
        </w:numPr>
        <w:contextualSpacing/>
        <w:rPr>
          <w:rFonts w:cs="Arial"/>
          <w:noProof w:val="0"/>
          <w:lang w:val="en-US"/>
        </w:rPr>
      </w:pPr>
      <w:r w:rsidRPr="00610904">
        <w:rPr>
          <w:rFonts w:cs="Arial"/>
          <w:noProof w:val="0"/>
          <w:lang w:val="en-US"/>
        </w:rPr>
        <w:t>In addition</w:t>
      </w:r>
      <w:r w:rsidR="00B628C2" w:rsidRPr="00610904">
        <w:rPr>
          <w:rFonts w:cs="Arial"/>
          <w:noProof w:val="0"/>
          <w:lang w:val="en-US"/>
        </w:rPr>
        <w:t xml:space="preserve">, </w:t>
      </w:r>
      <w:r w:rsidR="009F3D78" w:rsidRPr="00610904">
        <w:rPr>
          <w:rFonts w:cs="Arial"/>
          <w:noProof w:val="0"/>
          <w:lang w:val="en-US"/>
        </w:rPr>
        <w:t>the State</w:t>
      </w:r>
      <w:r w:rsidR="00B628C2" w:rsidRPr="00610904">
        <w:rPr>
          <w:rFonts w:cs="Arial"/>
          <w:noProof w:val="0"/>
          <w:lang w:val="en-US"/>
        </w:rPr>
        <w:t xml:space="preserve"> a</w:t>
      </w:r>
      <w:r w:rsidRPr="00610904">
        <w:rPr>
          <w:rFonts w:cs="Arial"/>
          <w:noProof w:val="0"/>
          <w:lang w:val="en-US"/>
        </w:rPr>
        <w:t>rgued that, at all stages of the proceedings</w:t>
      </w:r>
      <w:r w:rsidR="00B628C2" w:rsidRPr="00610904">
        <w:rPr>
          <w:rFonts w:cs="Arial"/>
          <w:noProof w:val="0"/>
          <w:lang w:val="en-US"/>
        </w:rPr>
        <w:t xml:space="preserve">, </w:t>
      </w:r>
      <w:r w:rsidR="00B628C2" w:rsidRPr="00610904">
        <w:rPr>
          <w:noProof w:val="0"/>
          <w:szCs w:val="20"/>
          <w:lang w:val="en-US"/>
        </w:rPr>
        <w:t>Talía</w:t>
      </w:r>
      <w:r w:rsidR="009F3D78" w:rsidRPr="00610904">
        <w:rPr>
          <w:rFonts w:cs="Arial"/>
          <w:noProof w:val="0"/>
          <w:lang w:val="en-US"/>
        </w:rPr>
        <w:t xml:space="preserve"> and </w:t>
      </w:r>
      <w:r w:rsidRPr="00610904">
        <w:rPr>
          <w:rFonts w:cs="Arial"/>
          <w:noProof w:val="0"/>
          <w:lang w:val="en-US"/>
        </w:rPr>
        <w:t>her family were able to file the remedies available under the criminal law in force at the time and that, the fact that a remedy does not produce a favorable result for the c</w:t>
      </w:r>
      <w:r w:rsidR="008E38B6" w:rsidRPr="00610904">
        <w:rPr>
          <w:rFonts w:cs="Arial"/>
          <w:noProof w:val="0"/>
          <w:lang w:val="en-US"/>
        </w:rPr>
        <w:t>omplain</w:t>
      </w:r>
      <w:r w:rsidRPr="00610904">
        <w:rPr>
          <w:rFonts w:cs="Arial"/>
          <w:noProof w:val="0"/>
          <w:lang w:val="en-US"/>
        </w:rPr>
        <w:t>ant, “does not necessarily mean that it is ineffective.” Lastly, the State rejected the arguments of the representatives about the reiterated demonstration of the State’s intention to avo</w:t>
      </w:r>
      <w:r w:rsidR="008E38B6" w:rsidRPr="00610904">
        <w:rPr>
          <w:rFonts w:cs="Arial"/>
          <w:noProof w:val="0"/>
          <w:lang w:val="en-US"/>
        </w:rPr>
        <w:t xml:space="preserve">id the procedural measures </w:t>
      </w:r>
      <w:r w:rsidRPr="00610904">
        <w:rPr>
          <w:rFonts w:cs="Arial"/>
          <w:noProof w:val="0"/>
          <w:lang w:val="en-US"/>
        </w:rPr>
        <w:t>they had requested, because the criminal trial “was substantiated by competent, independent and impartial judges and courts, whose actions were in keeping with the law, using the exclusive and ex</w:t>
      </w:r>
      <w:r w:rsidR="008E38B6" w:rsidRPr="00610904">
        <w:rPr>
          <w:rFonts w:cs="Arial"/>
          <w:noProof w:val="0"/>
          <w:lang w:val="en-US"/>
        </w:rPr>
        <w:t>c</w:t>
      </w:r>
      <w:r w:rsidRPr="00610904">
        <w:rPr>
          <w:rFonts w:cs="Arial"/>
          <w:noProof w:val="0"/>
          <w:lang w:val="en-US"/>
        </w:rPr>
        <w:t xml:space="preserve">lusionary powers granted by the Constitution to rule pursuant to the law after </w:t>
      </w:r>
      <w:r w:rsidR="008E38B6" w:rsidRPr="00610904">
        <w:rPr>
          <w:rFonts w:cs="Arial"/>
          <w:noProof w:val="0"/>
          <w:lang w:val="en-US"/>
        </w:rPr>
        <w:t>deliberating, as pertinent,</w:t>
      </w:r>
      <w:r w:rsidRPr="00610904">
        <w:rPr>
          <w:rFonts w:cs="Arial"/>
          <w:noProof w:val="0"/>
          <w:lang w:val="en-US"/>
        </w:rPr>
        <w:t xml:space="preserve"> on the case submitted to their consideration.</w:t>
      </w:r>
      <w:r w:rsidR="00B628C2" w:rsidRPr="00610904">
        <w:rPr>
          <w:rFonts w:cs="Arial"/>
          <w:noProof w:val="0"/>
          <w:lang w:val="en-US"/>
        </w:rPr>
        <w:t xml:space="preserve">” </w:t>
      </w:r>
    </w:p>
    <w:p w:rsidR="00B628C2" w:rsidRPr="00610904" w:rsidRDefault="00B628C2" w:rsidP="00610904">
      <w:pPr>
        <w:rPr>
          <w:i/>
          <w:noProof w:val="0"/>
          <w:lang w:val="en-US"/>
        </w:rPr>
      </w:pPr>
    </w:p>
    <w:p w:rsidR="00B628C2" w:rsidRPr="00610904" w:rsidRDefault="00A8072E" w:rsidP="00610904">
      <w:pPr>
        <w:ind w:left="360"/>
        <w:rPr>
          <w:i/>
          <w:noProof w:val="0"/>
          <w:lang w:val="en-US"/>
        </w:rPr>
      </w:pPr>
      <w:r w:rsidRPr="00610904">
        <w:rPr>
          <w:i/>
          <w:noProof w:val="0"/>
          <w:lang w:val="en-US"/>
        </w:rPr>
        <w:t>Considerations</w:t>
      </w:r>
      <w:r w:rsidR="009F3D78" w:rsidRPr="00610904">
        <w:rPr>
          <w:i/>
          <w:noProof w:val="0"/>
          <w:lang w:val="en-US"/>
        </w:rPr>
        <w:t xml:space="preserve"> of the Court</w:t>
      </w:r>
    </w:p>
    <w:p w:rsidR="00B628C2" w:rsidRPr="00610904" w:rsidRDefault="00B628C2" w:rsidP="00610904">
      <w:pPr>
        <w:rPr>
          <w:noProof w:val="0"/>
          <w:lang w:val="en-US"/>
        </w:rPr>
      </w:pPr>
    </w:p>
    <w:p w:rsidR="00B628C2" w:rsidRPr="00610904" w:rsidRDefault="0043290F" w:rsidP="00610904">
      <w:pPr>
        <w:numPr>
          <w:ilvl w:val="0"/>
          <w:numId w:val="1"/>
        </w:numPr>
        <w:contextualSpacing/>
        <w:rPr>
          <w:rFonts w:cs="Arial"/>
          <w:noProof w:val="0"/>
          <w:color w:val="FF0000"/>
          <w:lang w:val="en-US"/>
        </w:rPr>
      </w:pPr>
      <w:r w:rsidRPr="00610904">
        <w:rPr>
          <w:noProof w:val="0"/>
          <w:lang w:val="en-US"/>
        </w:rPr>
        <w:t>In</w:t>
      </w:r>
      <w:r w:rsidR="00B628C2" w:rsidRPr="00610904">
        <w:rPr>
          <w:noProof w:val="0"/>
          <w:lang w:val="en-US"/>
        </w:rPr>
        <w:t xml:space="preserve"> </w:t>
      </w:r>
      <w:r w:rsidR="00A8072E" w:rsidRPr="00610904">
        <w:rPr>
          <w:noProof w:val="0"/>
          <w:lang w:val="en-US"/>
        </w:rPr>
        <w:t>this Court</w:t>
      </w:r>
      <w:r w:rsidRPr="00610904">
        <w:rPr>
          <w:noProof w:val="0"/>
          <w:lang w:val="en-US"/>
        </w:rPr>
        <w:t>’s opinion</w:t>
      </w:r>
      <w:r w:rsidR="00B628C2" w:rsidRPr="00610904">
        <w:rPr>
          <w:noProof w:val="0"/>
          <w:lang w:val="en-US"/>
        </w:rPr>
        <w:t xml:space="preserve">, </w:t>
      </w:r>
      <w:r w:rsidR="008E38B6" w:rsidRPr="00610904">
        <w:rPr>
          <w:noProof w:val="0"/>
          <w:lang w:val="en-US"/>
        </w:rPr>
        <w:t>in this case, no evidence has been</w:t>
      </w:r>
      <w:r w:rsidRPr="00610904">
        <w:rPr>
          <w:noProof w:val="0"/>
          <w:lang w:val="en-US"/>
        </w:rPr>
        <w:t xml:space="preserve"> provided that would allow it </w:t>
      </w:r>
      <w:proofErr w:type="gramStart"/>
      <w:r w:rsidRPr="00610904">
        <w:rPr>
          <w:noProof w:val="0"/>
          <w:lang w:val="en-US"/>
        </w:rPr>
        <w:t>concl</w:t>
      </w:r>
      <w:r w:rsidR="008E38B6" w:rsidRPr="00610904">
        <w:rPr>
          <w:noProof w:val="0"/>
          <w:lang w:val="en-US"/>
        </w:rPr>
        <w:t>ude</w:t>
      </w:r>
      <w:proofErr w:type="gramEnd"/>
      <w:r w:rsidR="008E38B6" w:rsidRPr="00610904">
        <w:rPr>
          <w:noProof w:val="0"/>
          <w:lang w:val="en-US"/>
        </w:rPr>
        <w:t xml:space="preserve"> that the criminal action</w:t>
      </w:r>
      <w:r w:rsidRPr="00610904">
        <w:rPr>
          <w:noProof w:val="0"/>
          <w:lang w:val="en-US"/>
        </w:rPr>
        <w:t xml:space="preserve"> was not an adequat</w:t>
      </w:r>
      <w:r w:rsidR="008E38B6" w:rsidRPr="00610904">
        <w:rPr>
          <w:noProof w:val="0"/>
          <w:lang w:val="en-US"/>
        </w:rPr>
        <w:t>e and</w:t>
      </w:r>
      <w:r w:rsidRPr="00610904">
        <w:rPr>
          <w:noProof w:val="0"/>
          <w:lang w:val="en-US"/>
        </w:rPr>
        <w:t xml:space="preserve"> appropriate remedy to determine the criminal responsibility for the infection of </w:t>
      </w:r>
      <w:r w:rsidR="00B628C2" w:rsidRPr="00610904">
        <w:rPr>
          <w:noProof w:val="0"/>
          <w:szCs w:val="20"/>
          <w:lang w:val="en-US"/>
        </w:rPr>
        <w:t>Talía</w:t>
      </w:r>
      <w:r w:rsidR="00B628C2" w:rsidRPr="00610904">
        <w:rPr>
          <w:noProof w:val="0"/>
          <w:lang w:val="en-US"/>
        </w:rPr>
        <w:t xml:space="preserve">. </w:t>
      </w:r>
      <w:r w:rsidRPr="00610904">
        <w:rPr>
          <w:noProof w:val="0"/>
          <w:lang w:val="en-US"/>
        </w:rPr>
        <w:t xml:space="preserve">In addition, the Court considers that it has no evidence to determine that the State had the intention not to take into consideration the evidence presented by </w:t>
      </w:r>
      <w:r w:rsidR="00B628C2" w:rsidRPr="00610904">
        <w:rPr>
          <w:noProof w:val="0"/>
          <w:lang w:val="en-US"/>
        </w:rPr>
        <w:t>Teresa Lluy</w:t>
      </w:r>
      <w:r w:rsidRPr="00610904">
        <w:rPr>
          <w:noProof w:val="0"/>
          <w:lang w:val="en-US"/>
        </w:rPr>
        <w:t xml:space="preserve"> during the criminal and civil proceedings. </w:t>
      </w:r>
      <w:r w:rsidR="008E38B6" w:rsidRPr="00610904">
        <w:rPr>
          <w:noProof w:val="0"/>
          <w:lang w:val="en-US"/>
        </w:rPr>
        <w:t>Hence,</w:t>
      </w:r>
      <w:r w:rsidRPr="00610904">
        <w:rPr>
          <w:noProof w:val="0"/>
          <w:lang w:val="en-US"/>
        </w:rPr>
        <w:t xml:space="preserve"> there is no evidence to prove that the actions of the judicial authorities infringed the </w:t>
      </w:r>
      <w:r w:rsidR="00830022" w:rsidRPr="00610904">
        <w:rPr>
          <w:noProof w:val="0"/>
          <w:lang w:val="en-US"/>
        </w:rPr>
        <w:t>judicial protection</w:t>
      </w:r>
      <w:r w:rsidRPr="00610904">
        <w:rPr>
          <w:noProof w:val="0"/>
          <w:lang w:val="en-US"/>
        </w:rPr>
        <w:t xml:space="preserve"> of</w:t>
      </w:r>
      <w:r w:rsidR="00B628C2" w:rsidRPr="00610904">
        <w:rPr>
          <w:noProof w:val="0"/>
          <w:lang w:val="en-US"/>
        </w:rPr>
        <w:t xml:space="preserve"> Teresa Lluy</w:t>
      </w:r>
      <w:r w:rsidR="009F3D78" w:rsidRPr="00610904">
        <w:rPr>
          <w:noProof w:val="0"/>
          <w:lang w:val="en-US"/>
        </w:rPr>
        <w:t xml:space="preserve"> and </w:t>
      </w:r>
      <w:r w:rsidR="00B628C2" w:rsidRPr="00610904">
        <w:rPr>
          <w:noProof w:val="0"/>
          <w:szCs w:val="20"/>
          <w:lang w:val="en-US"/>
        </w:rPr>
        <w:t>Talía</w:t>
      </w:r>
      <w:r w:rsidR="00B628C2" w:rsidRPr="00610904">
        <w:rPr>
          <w:noProof w:val="0"/>
          <w:lang w:val="en-US"/>
        </w:rPr>
        <w:t xml:space="preserve">. </w:t>
      </w:r>
      <w:r w:rsidRPr="00610904">
        <w:rPr>
          <w:noProof w:val="0"/>
          <w:lang w:val="en-US"/>
        </w:rPr>
        <w:t>Consequently</w:t>
      </w:r>
      <w:r w:rsidR="00B628C2" w:rsidRPr="00610904">
        <w:rPr>
          <w:noProof w:val="0"/>
          <w:lang w:val="en-US"/>
        </w:rPr>
        <w:t xml:space="preserve">, </w:t>
      </w:r>
      <w:r w:rsidR="009F3D78" w:rsidRPr="00610904">
        <w:rPr>
          <w:noProof w:val="0"/>
          <w:lang w:val="en-US"/>
        </w:rPr>
        <w:t>the Court</w:t>
      </w:r>
      <w:r w:rsidR="00B628C2" w:rsidRPr="00610904">
        <w:rPr>
          <w:noProof w:val="0"/>
          <w:lang w:val="en-US"/>
        </w:rPr>
        <w:t xml:space="preserve"> </w:t>
      </w:r>
      <w:r w:rsidRPr="00610904">
        <w:rPr>
          <w:noProof w:val="0"/>
          <w:lang w:val="en-US"/>
        </w:rPr>
        <w:t>finds that, in relation to the criminal and civil proceedings, the State did not violate the right to</w:t>
      </w:r>
      <w:r w:rsidR="00B628C2" w:rsidRPr="00610904">
        <w:rPr>
          <w:noProof w:val="0"/>
          <w:lang w:val="en-US"/>
        </w:rPr>
        <w:t xml:space="preserve"> </w:t>
      </w:r>
      <w:r w:rsidR="00830022" w:rsidRPr="00610904">
        <w:rPr>
          <w:noProof w:val="0"/>
          <w:lang w:val="en-US"/>
        </w:rPr>
        <w:t>judicial protection</w:t>
      </w:r>
      <w:r w:rsidRPr="00610904">
        <w:rPr>
          <w:noProof w:val="0"/>
          <w:lang w:val="en-US"/>
        </w:rPr>
        <w:t xml:space="preserve"> established in</w:t>
      </w:r>
      <w:r w:rsidR="00B628C2" w:rsidRPr="00610904">
        <w:rPr>
          <w:noProof w:val="0"/>
          <w:lang w:val="en-US"/>
        </w:rPr>
        <w:t xml:space="preserve"> </w:t>
      </w:r>
      <w:r w:rsidR="009F3D78" w:rsidRPr="00610904">
        <w:rPr>
          <w:noProof w:val="0"/>
          <w:lang w:val="en-US"/>
        </w:rPr>
        <w:t>Article</w:t>
      </w:r>
      <w:r w:rsidR="00B628C2" w:rsidRPr="00610904">
        <w:rPr>
          <w:noProof w:val="0"/>
          <w:lang w:val="en-US"/>
        </w:rPr>
        <w:t xml:space="preserve"> </w:t>
      </w:r>
      <w:r w:rsidR="004A6E8B" w:rsidRPr="00610904">
        <w:rPr>
          <w:noProof w:val="0"/>
          <w:lang w:val="en-US"/>
        </w:rPr>
        <w:t>25(1)</w:t>
      </w:r>
      <w:r w:rsidR="009F3D78" w:rsidRPr="00610904">
        <w:rPr>
          <w:noProof w:val="0"/>
          <w:lang w:val="en-US"/>
        </w:rPr>
        <w:t xml:space="preserve"> of the Convention</w:t>
      </w:r>
      <w:r w:rsidR="00B628C2" w:rsidRPr="00610904">
        <w:rPr>
          <w:noProof w:val="0"/>
          <w:lang w:val="en-US"/>
        </w:rPr>
        <w:t>.</w:t>
      </w:r>
    </w:p>
    <w:bookmarkEnd w:id="125"/>
    <w:p w:rsidR="00B628C2" w:rsidRPr="00610904" w:rsidRDefault="00B628C2" w:rsidP="00610904">
      <w:pPr>
        <w:tabs>
          <w:tab w:val="left" w:pos="142"/>
          <w:tab w:val="left" w:pos="720"/>
          <w:tab w:val="num" w:pos="12305"/>
        </w:tabs>
        <w:rPr>
          <w:noProof w:val="0"/>
          <w:lang w:val="en-US"/>
        </w:rPr>
      </w:pPr>
    </w:p>
    <w:p w:rsidR="00B628C2" w:rsidRPr="00610904" w:rsidRDefault="0043290F" w:rsidP="00610904">
      <w:pPr>
        <w:tabs>
          <w:tab w:val="left" w:pos="142"/>
          <w:tab w:val="left" w:pos="720"/>
          <w:tab w:val="num" w:pos="12305"/>
        </w:tabs>
        <w:ind w:left="1134" w:hanging="283"/>
        <w:rPr>
          <w:b/>
          <w:i/>
          <w:noProof w:val="0"/>
          <w:lang w:val="en-US"/>
        </w:rPr>
      </w:pPr>
      <w:r w:rsidRPr="00610904">
        <w:rPr>
          <w:b/>
          <w:i/>
          <w:noProof w:val="0"/>
          <w:lang w:val="en-US"/>
        </w:rPr>
        <w:t>C) Conclusio</w:t>
      </w:r>
      <w:r w:rsidR="00B628C2" w:rsidRPr="00610904">
        <w:rPr>
          <w:b/>
          <w:i/>
          <w:noProof w:val="0"/>
          <w:lang w:val="en-US"/>
        </w:rPr>
        <w:t xml:space="preserve">n </w:t>
      </w:r>
    </w:p>
    <w:p w:rsidR="00B628C2" w:rsidRPr="00610904" w:rsidRDefault="00B628C2" w:rsidP="00610904">
      <w:pPr>
        <w:tabs>
          <w:tab w:val="left" w:pos="142"/>
          <w:tab w:val="left" w:pos="720"/>
          <w:tab w:val="num" w:pos="12305"/>
        </w:tabs>
        <w:rPr>
          <w:noProof w:val="0"/>
          <w:lang w:val="en-US"/>
        </w:rPr>
      </w:pPr>
    </w:p>
    <w:p w:rsidR="00B628C2" w:rsidRPr="00610904" w:rsidRDefault="009F3D78" w:rsidP="00610904">
      <w:pPr>
        <w:numPr>
          <w:ilvl w:val="0"/>
          <w:numId w:val="1"/>
        </w:numPr>
        <w:tabs>
          <w:tab w:val="left" w:pos="142"/>
          <w:tab w:val="left" w:pos="720"/>
        </w:tabs>
        <w:ind w:hanging="11"/>
        <w:rPr>
          <w:noProof w:val="0"/>
          <w:lang w:val="en-US"/>
        </w:rPr>
      </w:pPr>
      <w:r w:rsidRPr="00610904">
        <w:rPr>
          <w:noProof w:val="0"/>
          <w:lang w:val="en-US"/>
        </w:rPr>
        <w:t>The Court</w:t>
      </w:r>
      <w:r w:rsidR="00B628C2" w:rsidRPr="00610904">
        <w:rPr>
          <w:noProof w:val="0"/>
          <w:lang w:val="en-US"/>
        </w:rPr>
        <w:t xml:space="preserve"> conclu</w:t>
      </w:r>
      <w:r w:rsidR="0043290F" w:rsidRPr="00610904">
        <w:rPr>
          <w:noProof w:val="0"/>
          <w:lang w:val="en-US"/>
        </w:rPr>
        <w:t xml:space="preserve">des that the State violated the </w:t>
      </w:r>
      <w:r w:rsidR="00830022" w:rsidRPr="00610904">
        <w:rPr>
          <w:noProof w:val="0"/>
          <w:lang w:val="en-US"/>
        </w:rPr>
        <w:t>judicial guarantees</w:t>
      </w:r>
      <w:r w:rsidR="00B628C2" w:rsidRPr="00610904">
        <w:rPr>
          <w:noProof w:val="0"/>
          <w:lang w:val="en-US"/>
        </w:rPr>
        <w:t xml:space="preserve"> </w:t>
      </w:r>
      <w:r w:rsidR="0043290F" w:rsidRPr="00610904">
        <w:rPr>
          <w:noProof w:val="0"/>
          <w:lang w:val="en-US"/>
        </w:rPr>
        <w:t xml:space="preserve">of due diligence and a reasonable time established in </w:t>
      </w:r>
      <w:r w:rsidRPr="00610904">
        <w:rPr>
          <w:noProof w:val="0"/>
          <w:lang w:val="en-US"/>
        </w:rPr>
        <w:t>Article</w:t>
      </w:r>
      <w:r w:rsidR="00B628C2" w:rsidRPr="00610904">
        <w:rPr>
          <w:noProof w:val="0"/>
          <w:lang w:val="en-US"/>
        </w:rPr>
        <w:t xml:space="preserve"> </w:t>
      </w:r>
      <w:r w:rsidR="004A6E8B" w:rsidRPr="00610904">
        <w:rPr>
          <w:noProof w:val="0"/>
          <w:lang w:val="en-US"/>
        </w:rPr>
        <w:t>8(1)</w:t>
      </w:r>
      <w:r w:rsidR="00B628C2" w:rsidRPr="00610904">
        <w:rPr>
          <w:noProof w:val="0"/>
          <w:lang w:val="en-US"/>
        </w:rPr>
        <w:t xml:space="preserve"> </w:t>
      </w:r>
      <w:r w:rsidR="004A6E8B" w:rsidRPr="00610904">
        <w:rPr>
          <w:noProof w:val="0"/>
          <w:lang w:val="en-US"/>
        </w:rPr>
        <w:t>in relation to</w:t>
      </w:r>
      <w:r w:rsidR="00B628C2" w:rsidRPr="00610904">
        <w:rPr>
          <w:noProof w:val="0"/>
          <w:lang w:val="en-US"/>
        </w:rPr>
        <w:t xml:space="preserve"> </w:t>
      </w:r>
      <w:r w:rsidRPr="00610904">
        <w:rPr>
          <w:noProof w:val="0"/>
          <w:lang w:val="en-US"/>
        </w:rPr>
        <w:t>Articles</w:t>
      </w:r>
      <w:r w:rsidR="00B628C2" w:rsidRPr="00610904">
        <w:rPr>
          <w:noProof w:val="0"/>
          <w:lang w:val="en-US"/>
        </w:rPr>
        <w:t xml:space="preserve"> 19</w:t>
      </w:r>
      <w:r w:rsidRPr="00610904">
        <w:rPr>
          <w:noProof w:val="0"/>
          <w:lang w:val="en-US"/>
        </w:rPr>
        <w:t xml:space="preserve"> and </w:t>
      </w:r>
      <w:r w:rsidR="0043290F" w:rsidRPr="00610904">
        <w:rPr>
          <w:noProof w:val="0"/>
          <w:lang w:val="en-US"/>
        </w:rPr>
        <w:t>1(</w:t>
      </w:r>
      <w:r w:rsidR="00B628C2" w:rsidRPr="00610904">
        <w:rPr>
          <w:noProof w:val="0"/>
          <w:lang w:val="en-US"/>
        </w:rPr>
        <w:t>1</w:t>
      </w:r>
      <w:r w:rsidR="0043290F" w:rsidRPr="00610904">
        <w:rPr>
          <w:noProof w:val="0"/>
          <w:lang w:val="en-US"/>
        </w:rPr>
        <w:t>)</w:t>
      </w:r>
      <w:r w:rsidRPr="00610904">
        <w:rPr>
          <w:noProof w:val="0"/>
          <w:lang w:val="en-US"/>
        </w:rPr>
        <w:t xml:space="preserve"> of the American Convention</w:t>
      </w:r>
      <w:r w:rsidR="00B628C2" w:rsidRPr="00610904">
        <w:rPr>
          <w:noProof w:val="0"/>
          <w:lang w:val="en-US"/>
        </w:rPr>
        <w:t xml:space="preserve"> </w:t>
      </w:r>
      <w:r w:rsidR="004A6E8B" w:rsidRPr="00610904">
        <w:rPr>
          <w:noProof w:val="0"/>
          <w:lang w:val="en-US"/>
        </w:rPr>
        <w:t>to the detriment of</w:t>
      </w:r>
      <w:r w:rsidR="00B628C2" w:rsidRPr="00610904">
        <w:rPr>
          <w:noProof w:val="0"/>
          <w:lang w:val="en-US"/>
        </w:rPr>
        <w:t xml:space="preserve"> </w:t>
      </w:r>
      <w:r w:rsidR="00B628C2" w:rsidRPr="00610904">
        <w:rPr>
          <w:noProof w:val="0"/>
          <w:szCs w:val="20"/>
          <w:lang w:val="en-US"/>
        </w:rPr>
        <w:t>Talía</w:t>
      </w:r>
      <w:r w:rsidR="00B628C2" w:rsidRPr="00610904">
        <w:rPr>
          <w:noProof w:val="0"/>
          <w:lang w:val="en-US"/>
        </w:rPr>
        <w:t xml:space="preserve">, </w:t>
      </w:r>
      <w:r w:rsidR="0043290F" w:rsidRPr="00610904">
        <w:rPr>
          <w:noProof w:val="0"/>
          <w:lang w:val="en-US"/>
        </w:rPr>
        <w:t xml:space="preserve">in relation to the criminal proceedings. However, the Court concludes that the State did not </w:t>
      </w:r>
      <w:proofErr w:type="gramStart"/>
      <w:r w:rsidR="0043290F" w:rsidRPr="00610904">
        <w:rPr>
          <w:noProof w:val="0"/>
          <w:lang w:val="en-US"/>
        </w:rPr>
        <w:t>violated</w:t>
      </w:r>
      <w:proofErr w:type="gramEnd"/>
      <w:r w:rsidR="0043290F" w:rsidRPr="00610904">
        <w:rPr>
          <w:noProof w:val="0"/>
          <w:lang w:val="en-US"/>
        </w:rPr>
        <w:t xml:space="preserve"> the </w:t>
      </w:r>
      <w:r w:rsidR="00830022" w:rsidRPr="00610904">
        <w:rPr>
          <w:noProof w:val="0"/>
          <w:lang w:val="en-US"/>
        </w:rPr>
        <w:t>judicial guarantees</w:t>
      </w:r>
      <w:r w:rsidR="00B628C2" w:rsidRPr="00610904">
        <w:rPr>
          <w:noProof w:val="0"/>
          <w:lang w:val="en-US"/>
        </w:rPr>
        <w:t xml:space="preserve"> </w:t>
      </w:r>
      <w:r w:rsidR="0043290F" w:rsidRPr="00610904">
        <w:rPr>
          <w:noProof w:val="0"/>
          <w:lang w:val="en-US"/>
        </w:rPr>
        <w:t>of due diligence and a reasonable time in the processing of the civil proceedings.</w:t>
      </w:r>
    </w:p>
    <w:p w:rsidR="00B628C2" w:rsidRPr="00610904" w:rsidRDefault="00B628C2" w:rsidP="00610904">
      <w:pPr>
        <w:tabs>
          <w:tab w:val="left" w:pos="142"/>
          <w:tab w:val="left" w:pos="720"/>
          <w:tab w:val="num" w:pos="12305"/>
        </w:tabs>
        <w:rPr>
          <w:noProof w:val="0"/>
          <w:lang w:val="en-US"/>
        </w:rPr>
      </w:pPr>
    </w:p>
    <w:p w:rsidR="003040F7" w:rsidRPr="00610904" w:rsidRDefault="005D439A" w:rsidP="00610904">
      <w:pPr>
        <w:numPr>
          <w:ilvl w:val="0"/>
          <w:numId w:val="1"/>
        </w:numPr>
        <w:tabs>
          <w:tab w:val="left" w:pos="142"/>
          <w:tab w:val="left" w:pos="720"/>
        </w:tabs>
        <w:ind w:hanging="11"/>
        <w:rPr>
          <w:noProof w:val="0"/>
          <w:lang w:val="en-US"/>
        </w:rPr>
      </w:pPr>
      <w:r w:rsidRPr="00610904">
        <w:rPr>
          <w:rFonts w:eastAsia="MS Mincho"/>
          <w:noProof w:val="0"/>
          <w:lang w:val="en-US"/>
        </w:rPr>
        <w:t xml:space="preserve">In addition, the Court concludes that the State </w:t>
      </w:r>
      <w:r w:rsidR="0043290F" w:rsidRPr="00610904">
        <w:rPr>
          <w:rFonts w:eastAsia="MS Mincho"/>
          <w:noProof w:val="0"/>
          <w:lang w:val="en-US"/>
        </w:rPr>
        <w:t>did not violate</w:t>
      </w:r>
      <w:r w:rsidRPr="00610904">
        <w:rPr>
          <w:rFonts w:eastAsia="MS Mincho"/>
          <w:noProof w:val="0"/>
          <w:lang w:val="en-US"/>
        </w:rPr>
        <w:t xml:space="preserve"> the </w:t>
      </w:r>
      <w:r w:rsidR="00830022" w:rsidRPr="00610904">
        <w:rPr>
          <w:rFonts w:eastAsia="MS Mincho"/>
          <w:noProof w:val="0"/>
          <w:lang w:val="en-US"/>
        </w:rPr>
        <w:t>judicial guarantees</w:t>
      </w:r>
      <w:r w:rsidR="00B628C2" w:rsidRPr="00610904">
        <w:rPr>
          <w:rFonts w:eastAsia="MS Mincho"/>
          <w:noProof w:val="0"/>
          <w:lang w:val="en-US"/>
        </w:rPr>
        <w:t xml:space="preserve"> </w:t>
      </w:r>
      <w:r w:rsidRPr="00610904">
        <w:rPr>
          <w:rFonts w:eastAsia="MS Mincho"/>
          <w:noProof w:val="0"/>
          <w:lang w:val="en-US"/>
        </w:rPr>
        <w:t>recognized in</w:t>
      </w:r>
      <w:r w:rsidR="00B628C2" w:rsidRPr="00610904">
        <w:rPr>
          <w:rFonts w:eastAsia="MS Mincho"/>
          <w:noProof w:val="0"/>
          <w:lang w:val="en-US"/>
        </w:rPr>
        <w:t xml:space="preserve"> </w:t>
      </w:r>
      <w:r w:rsidR="009F3D78" w:rsidRPr="00610904">
        <w:rPr>
          <w:rFonts w:eastAsia="MS Mincho"/>
          <w:noProof w:val="0"/>
          <w:lang w:val="en-US"/>
        </w:rPr>
        <w:t>Article</w:t>
      </w:r>
      <w:r w:rsidR="00B628C2" w:rsidRPr="00610904">
        <w:rPr>
          <w:rFonts w:eastAsia="MS Mincho"/>
          <w:noProof w:val="0"/>
          <w:lang w:val="en-US"/>
        </w:rPr>
        <w:t xml:space="preserve"> </w:t>
      </w:r>
      <w:r w:rsidR="004A6E8B" w:rsidRPr="00610904">
        <w:rPr>
          <w:rFonts w:eastAsia="MS Mincho"/>
          <w:noProof w:val="0"/>
          <w:lang w:val="en-US"/>
        </w:rPr>
        <w:t>8(1)</w:t>
      </w:r>
      <w:r w:rsidR="009F3D78" w:rsidRPr="00610904">
        <w:rPr>
          <w:rFonts w:eastAsia="MS Mincho"/>
          <w:noProof w:val="0"/>
          <w:lang w:val="en-US"/>
        </w:rPr>
        <w:t xml:space="preserve"> of the Convention</w:t>
      </w:r>
      <w:r w:rsidR="00B628C2" w:rsidRPr="00610904">
        <w:rPr>
          <w:rFonts w:eastAsia="MS Mincho"/>
          <w:noProof w:val="0"/>
          <w:lang w:val="en-US"/>
        </w:rPr>
        <w:t xml:space="preserve"> </w:t>
      </w:r>
      <w:r w:rsidR="004A6E8B" w:rsidRPr="00610904">
        <w:rPr>
          <w:rFonts w:eastAsia="MS Mincho"/>
          <w:noProof w:val="0"/>
          <w:lang w:val="en-US"/>
        </w:rPr>
        <w:t>in relation to</w:t>
      </w:r>
      <w:r w:rsidR="00B628C2" w:rsidRPr="00610904">
        <w:rPr>
          <w:rFonts w:eastAsia="MS Mincho"/>
          <w:noProof w:val="0"/>
          <w:lang w:val="en-US"/>
        </w:rPr>
        <w:t xml:space="preserve"> </w:t>
      </w:r>
      <w:r w:rsidRPr="00610904">
        <w:rPr>
          <w:rFonts w:eastAsia="MS Mincho"/>
          <w:noProof w:val="0"/>
          <w:lang w:val="en-US"/>
        </w:rPr>
        <w:t>the application of</w:t>
      </w:r>
      <w:r w:rsidR="0076589E">
        <w:rPr>
          <w:rFonts w:eastAsia="MS Mincho"/>
          <w:noProof w:val="0"/>
          <w:lang w:val="en-US"/>
        </w:rPr>
        <w:t xml:space="preserve"> the need for a prior judgment </w:t>
      </w:r>
      <w:r w:rsidR="0043290F" w:rsidRPr="00610904">
        <w:rPr>
          <w:rFonts w:eastAsia="MS Mincho"/>
          <w:noProof w:val="0"/>
          <w:lang w:val="en-US"/>
        </w:rPr>
        <w:t>in</w:t>
      </w:r>
      <w:r w:rsidR="00391F07" w:rsidRPr="00610904">
        <w:rPr>
          <w:rFonts w:eastAsia="MS Mincho"/>
          <w:noProof w:val="0"/>
          <w:lang w:val="en-US"/>
        </w:rPr>
        <w:t xml:space="preserve"> this case.</w:t>
      </w:r>
      <w:r w:rsidR="00B628C2" w:rsidRPr="00610904">
        <w:rPr>
          <w:rFonts w:eastAsia="MS Mincho"/>
          <w:noProof w:val="0"/>
          <w:lang w:val="en-US"/>
        </w:rPr>
        <w:t xml:space="preserve"> </w:t>
      </w:r>
      <w:r w:rsidRPr="00610904">
        <w:rPr>
          <w:rFonts w:eastAsia="MS Mincho"/>
          <w:noProof w:val="0"/>
          <w:lang w:val="en-US"/>
        </w:rPr>
        <w:t>Lastly, regarding the decision on the application for</w:t>
      </w:r>
      <w:r w:rsidR="00B628C2" w:rsidRPr="00610904">
        <w:rPr>
          <w:noProof w:val="0"/>
          <w:lang w:val="en-US"/>
        </w:rPr>
        <w:t xml:space="preserve"> </w:t>
      </w:r>
      <w:r w:rsidR="00852A2E" w:rsidRPr="00610904">
        <w:rPr>
          <w:noProof w:val="0"/>
          <w:lang w:val="en-US"/>
        </w:rPr>
        <w:t>constitutional protection</w:t>
      </w:r>
      <w:r w:rsidR="009F3D78" w:rsidRPr="00610904">
        <w:rPr>
          <w:noProof w:val="0"/>
          <w:lang w:val="en-US"/>
        </w:rPr>
        <w:t xml:space="preserve"> and </w:t>
      </w:r>
      <w:r w:rsidRPr="00610904">
        <w:rPr>
          <w:noProof w:val="0"/>
          <w:lang w:val="en-US"/>
        </w:rPr>
        <w:t xml:space="preserve">the civil and criminal proceedings, </w:t>
      </w:r>
      <w:r w:rsidR="009F3D78" w:rsidRPr="00610904">
        <w:rPr>
          <w:noProof w:val="0"/>
          <w:lang w:val="en-US"/>
        </w:rPr>
        <w:t>the Court</w:t>
      </w:r>
      <w:r w:rsidRPr="00610904">
        <w:rPr>
          <w:noProof w:val="0"/>
          <w:lang w:val="en-US"/>
        </w:rPr>
        <w:t xml:space="preserve"> considers that </w:t>
      </w:r>
      <w:r w:rsidR="009F3D78" w:rsidRPr="00610904">
        <w:rPr>
          <w:noProof w:val="0"/>
          <w:lang w:val="en-US"/>
        </w:rPr>
        <w:t>the State</w:t>
      </w:r>
      <w:r w:rsidR="00B628C2" w:rsidRPr="00610904">
        <w:rPr>
          <w:noProof w:val="0"/>
          <w:lang w:val="en-US"/>
        </w:rPr>
        <w:t xml:space="preserve"> </w:t>
      </w:r>
      <w:r w:rsidR="0043290F" w:rsidRPr="00610904">
        <w:rPr>
          <w:noProof w:val="0"/>
          <w:lang w:val="en-US"/>
        </w:rPr>
        <w:t>did not violate</w:t>
      </w:r>
      <w:r w:rsidRPr="00610904">
        <w:rPr>
          <w:noProof w:val="0"/>
          <w:lang w:val="en-US"/>
        </w:rPr>
        <w:t xml:space="preserve"> the right to </w:t>
      </w:r>
      <w:r w:rsidR="00830022" w:rsidRPr="00610904">
        <w:rPr>
          <w:noProof w:val="0"/>
          <w:lang w:val="en-US"/>
        </w:rPr>
        <w:t>judicial protection</w:t>
      </w:r>
      <w:r w:rsidR="00B628C2" w:rsidRPr="00610904">
        <w:rPr>
          <w:noProof w:val="0"/>
          <w:lang w:val="en-US"/>
        </w:rPr>
        <w:t xml:space="preserve"> </w:t>
      </w:r>
      <w:r w:rsidRPr="00610904">
        <w:rPr>
          <w:noProof w:val="0"/>
          <w:lang w:val="en-US"/>
        </w:rPr>
        <w:t xml:space="preserve">recognized in </w:t>
      </w:r>
      <w:r w:rsidR="009F3D78" w:rsidRPr="00610904">
        <w:rPr>
          <w:noProof w:val="0"/>
          <w:lang w:val="en-US"/>
        </w:rPr>
        <w:t>Article</w:t>
      </w:r>
      <w:r w:rsidR="00B628C2" w:rsidRPr="00610904">
        <w:rPr>
          <w:noProof w:val="0"/>
          <w:lang w:val="en-US"/>
        </w:rPr>
        <w:t xml:space="preserve"> </w:t>
      </w:r>
      <w:r w:rsidR="004A6E8B" w:rsidRPr="00610904">
        <w:rPr>
          <w:noProof w:val="0"/>
          <w:lang w:val="en-US"/>
        </w:rPr>
        <w:t>25(1)</w:t>
      </w:r>
      <w:r w:rsidR="009F3D78" w:rsidRPr="00610904">
        <w:rPr>
          <w:noProof w:val="0"/>
          <w:lang w:val="en-US"/>
        </w:rPr>
        <w:t xml:space="preserve"> of the Convention</w:t>
      </w:r>
      <w:r w:rsidR="00B628C2" w:rsidRPr="00610904">
        <w:rPr>
          <w:noProof w:val="0"/>
          <w:lang w:val="en-US"/>
        </w:rPr>
        <w:t xml:space="preserve">, </w:t>
      </w:r>
      <w:r w:rsidR="004A6E8B" w:rsidRPr="00610904">
        <w:rPr>
          <w:noProof w:val="0"/>
          <w:lang w:val="en-US"/>
        </w:rPr>
        <w:t>in relation to</w:t>
      </w:r>
      <w:r w:rsidR="00B628C2" w:rsidRPr="00610904">
        <w:rPr>
          <w:noProof w:val="0"/>
          <w:lang w:val="en-US"/>
        </w:rPr>
        <w:t xml:space="preserve"> </w:t>
      </w:r>
      <w:r w:rsidR="006E502B" w:rsidRPr="00610904">
        <w:rPr>
          <w:noProof w:val="0"/>
          <w:lang w:val="en-US"/>
        </w:rPr>
        <w:t>Article 1(1)</w:t>
      </w:r>
      <w:r w:rsidRPr="00610904">
        <w:rPr>
          <w:noProof w:val="0"/>
          <w:lang w:val="en-US"/>
        </w:rPr>
        <w:t xml:space="preserve"> of this instrument</w:t>
      </w:r>
      <w:r w:rsidR="00B628C2" w:rsidRPr="00610904">
        <w:rPr>
          <w:noProof w:val="0"/>
          <w:lang w:val="en-US"/>
        </w:rPr>
        <w:t>.</w:t>
      </w:r>
      <w:r w:rsidR="003040F7" w:rsidRPr="00610904">
        <w:rPr>
          <w:noProof w:val="0"/>
          <w:lang w:val="en-US"/>
        </w:rPr>
        <w:t xml:space="preserve"> </w:t>
      </w:r>
    </w:p>
    <w:p w:rsidR="003040F7" w:rsidRPr="00610904" w:rsidRDefault="003040F7" w:rsidP="00610904">
      <w:pPr>
        <w:pStyle w:val="MediumGrid1-Accent21"/>
        <w:rPr>
          <w:noProof w:val="0"/>
          <w:lang w:val="en-US"/>
        </w:rPr>
      </w:pPr>
    </w:p>
    <w:p w:rsidR="003040F7" w:rsidRPr="00610904" w:rsidRDefault="008B157E" w:rsidP="00610904">
      <w:pPr>
        <w:keepNext/>
        <w:keepLines/>
        <w:jc w:val="center"/>
        <w:outlineLvl w:val="0"/>
        <w:rPr>
          <w:rFonts w:eastAsia="Calibri" w:cs="Verdana"/>
          <w:b/>
          <w:bCs/>
          <w:caps/>
          <w:noProof w:val="0"/>
          <w:snapToGrid w:val="0"/>
          <w:spacing w:val="-2"/>
          <w:szCs w:val="20"/>
          <w:lang w:val="en-US" w:eastAsia="es-ES"/>
        </w:rPr>
      </w:pPr>
      <w:bookmarkStart w:id="144" w:name="_Toc406580700"/>
      <w:bookmarkStart w:id="145" w:name="_Toc392536827"/>
      <w:bookmarkStart w:id="146" w:name="_Toc402459730"/>
      <w:bookmarkStart w:id="147" w:name="_Toc402461114"/>
      <w:bookmarkStart w:id="148" w:name="_Toc402799510"/>
      <w:bookmarkStart w:id="149" w:name="_Toc426108478"/>
      <w:bookmarkStart w:id="150" w:name="_Toc443399118"/>
      <w:r w:rsidRPr="00610904">
        <w:rPr>
          <w:rFonts w:eastAsia="Calibri" w:cs="Verdana"/>
          <w:b/>
          <w:bCs/>
          <w:caps/>
          <w:noProof w:val="0"/>
          <w:snapToGrid w:val="0"/>
          <w:spacing w:val="-2"/>
          <w:szCs w:val="20"/>
          <w:lang w:val="en-US" w:eastAsia="es-ES"/>
        </w:rPr>
        <w:t>XII</w:t>
      </w:r>
      <w:r w:rsidR="003040F7" w:rsidRPr="00610904">
        <w:rPr>
          <w:rFonts w:eastAsia="Calibri" w:cs="Verdana"/>
          <w:b/>
          <w:bCs/>
          <w:caps/>
          <w:noProof w:val="0"/>
          <w:snapToGrid w:val="0"/>
          <w:spacing w:val="-2"/>
          <w:szCs w:val="20"/>
          <w:lang w:val="en-US" w:eastAsia="es-ES"/>
        </w:rPr>
        <w:br/>
      </w:r>
      <w:r w:rsidR="00795F5F" w:rsidRPr="00610904">
        <w:rPr>
          <w:rFonts w:eastAsia="Calibri" w:cs="Verdana"/>
          <w:b/>
          <w:bCs/>
          <w:caps/>
          <w:noProof w:val="0"/>
          <w:snapToGrid w:val="0"/>
          <w:spacing w:val="-2"/>
          <w:szCs w:val="20"/>
          <w:lang w:val="en-US" w:eastAsia="es-ES"/>
        </w:rPr>
        <w:t>REPARATIONS</w:t>
      </w:r>
      <w:bookmarkEnd w:id="144"/>
      <w:bookmarkEnd w:id="145"/>
      <w:bookmarkEnd w:id="146"/>
      <w:bookmarkEnd w:id="147"/>
      <w:bookmarkEnd w:id="148"/>
      <w:bookmarkEnd w:id="149"/>
      <w:bookmarkEnd w:id="150"/>
    </w:p>
    <w:p w:rsidR="003040F7" w:rsidRPr="00610904" w:rsidRDefault="003040F7" w:rsidP="00610904">
      <w:pPr>
        <w:jc w:val="center"/>
        <w:rPr>
          <w:b/>
          <w:noProof w:val="0"/>
          <w:szCs w:val="20"/>
          <w:lang w:val="en-US"/>
        </w:rPr>
      </w:pPr>
      <w:bookmarkStart w:id="151" w:name="_Toc402459731"/>
      <w:bookmarkStart w:id="152" w:name="_Toc402461115"/>
      <w:bookmarkStart w:id="153" w:name="_Toc402799511"/>
      <w:r w:rsidRPr="00610904">
        <w:rPr>
          <w:b/>
          <w:noProof w:val="0"/>
          <w:szCs w:val="20"/>
          <w:lang w:val="en-US"/>
        </w:rPr>
        <w:t>(</w:t>
      </w:r>
      <w:r w:rsidR="00856968" w:rsidRPr="00610904">
        <w:rPr>
          <w:b/>
          <w:noProof w:val="0"/>
          <w:szCs w:val="20"/>
          <w:lang w:val="en-US"/>
        </w:rPr>
        <w:t>Application</w:t>
      </w:r>
      <w:r w:rsidRPr="00610904">
        <w:rPr>
          <w:b/>
          <w:noProof w:val="0"/>
          <w:szCs w:val="20"/>
          <w:lang w:val="en-US"/>
        </w:rPr>
        <w:t xml:space="preserve"> </w:t>
      </w:r>
      <w:r w:rsidR="006E502B" w:rsidRPr="00610904">
        <w:rPr>
          <w:b/>
          <w:noProof w:val="0"/>
          <w:szCs w:val="20"/>
          <w:lang w:val="en-US"/>
        </w:rPr>
        <w:t>of Article</w:t>
      </w:r>
      <w:r w:rsidRPr="00610904">
        <w:rPr>
          <w:b/>
          <w:noProof w:val="0"/>
          <w:szCs w:val="20"/>
          <w:lang w:val="en-US"/>
        </w:rPr>
        <w:t xml:space="preserve"> </w:t>
      </w:r>
      <w:r w:rsidR="009F3D78" w:rsidRPr="00610904">
        <w:rPr>
          <w:b/>
          <w:noProof w:val="0"/>
          <w:szCs w:val="20"/>
          <w:lang w:val="en-US"/>
        </w:rPr>
        <w:t>63(1) of the American Convention</w:t>
      </w:r>
      <w:r w:rsidRPr="00610904">
        <w:rPr>
          <w:b/>
          <w:noProof w:val="0"/>
          <w:szCs w:val="20"/>
          <w:lang w:val="en-US"/>
        </w:rPr>
        <w:t>)</w:t>
      </w:r>
      <w:bookmarkEnd w:id="151"/>
      <w:bookmarkEnd w:id="152"/>
      <w:bookmarkEnd w:id="153"/>
    </w:p>
    <w:p w:rsidR="003040F7" w:rsidRPr="00610904" w:rsidRDefault="003040F7" w:rsidP="00610904">
      <w:pPr>
        <w:jc w:val="center"/>
        <w:rPr>
          <w:b/>
          <w:noProof w:val="0"/>
          <w:szCs w:val="20"/>
          <w:lang w:val="en-US"/>
        </w:rPr>
      </w:pPr>
    </w:p>
    <w:p w:rsidR="003040F7" w:rsidRPr="00610904" w:rsidRDefault="007F5E22" w:rsidP="00610904">
      <w:pPr>
        <w:numPr>
          <w:ilvl w:val="0"/>
          <w:numId w:val="1"/>
        </w:numPr>
        <w:contextualSpacing/>
        <w:rPr>
          <w:noProof w:val="0"/>
          <w:spacing w:val="-2"/>
          <w:szCs w:val="20"/>
          <w:lang w:val="en-US"/>
        </w:rPr>
      </w:pPr>
      <w:r w:rsidRPr="00610904">
        <w:rPr>
          <w:noProof w:val="0"/>
          <w:spacing w:val="-2"/>
          <w:szCs w:val="20"/>
          <w:lang w:val="en-US"/>
        </w:rPr>
        <w:t>Under</w:t>
      </w:r>
      <w:r w:rsidR="003040F7" w:rsidRPr="00610904">
        <w:rPr>
          <w:noProof w:val="0"/>
          <w:spacing w:val="-2"/>
          <w:szCs w:val="20"/>
          <w:lang w:val="en-US"/>
        </w:rPr>
        <w:t xml:space="preserve"> </w:t>
      </w:r>
      <w:r w:rsidR="009F3D78" w:rsidRPr="00610904">
        <w:rPr>
          <w:noProof w:val="0"/>
          <w:spacing w:val="-2"/>
          <w:szCs w:val="20"/>
          <w:lang w:val="en-US"/>
        </w:rPr>
        <w:t>Article</w:t>
      </w:r>
      <w:r w:rsidR="003040F7" w:rsidRPr="00610904">
        <w:rPr>
          <w:noProof w:val="0"/>
          <w:spacing w:val="-2"/>
          <w:szCs w:val="20"/>
          <w:lang w:val="en-US"/>
        </w:rPr>
        <w:t xml:space="preserve"> </w:t>
      </w:r>
      <w:r w:rsidR="009F3D78" w:rsidRPr="00610904">
        <w:rPr>
          <w:noProof w:val="0"/>
          <w:spacing w:val="-2"/>
          <w:szCs w:val="20"/>
          <w:lang w:val="en-US"/>
        </w:rPr>
        <w:t>63(1) of the American Convention</w:t>
      </w:r>
      <w:r w:rsidRPr="00610904">
        <w:rPr>
          <w:noProof w:val="0"/>
          <w:spacing w:val="-2"/>
          <w:szCs w:val="20"/>
          <w:lang w:val="en-US"/>
        </w:rPr>
        <w:t>,</w:t>
      </w:r>
      <w:r w:rsidR="003040F7" w:rsidRPr="00610904">
        <w:rPr>
          <w:rFonts w:cs="Times New Roman"/>
          <w:noProof w:val="0"/>
          <w:spacing w:val="-2"/>
          <w:szCs w:val="20"/>
          <w:vertAlign w:val="superscript"/>
          <w:lang w:val="en-US"/>
        </w:rPr>
        <w:footnoteReference w:id="366"/>
      </w:r>
      <w:r w:rsidR="003040F7" w:rsidRPr="00610904">
        <w:rPr>
          <w:noProof w:val="0"/>
          <w:spacing w:val="-2"/>
          <w:szCs w:val="20"/>
          <w:lang w:val="en-US"/>
        </w:rPr>
        <w:t xml:space="preserve"> </w:t>
      </w:r>
      <w:r w:rsidR="009F3D78" w:rsidRPr="00610904">
        <w:rPr>
          <w:noProof w:val="0"/>
          <w:spacing w:val="-2"/>
          <w:szCs w:val="20"/>
          <w:lang w:val="en-US"/>
        </w:rPr>
        <w:t>the Court</w:t>
      </w:r>
      <w:r w:rsidR="003040F7" w:rsidRPr="00610904">
        <w:rPr>
          <w:noProof w:val="0"/>
          <w:spacing w:val="-2"/>
          <w:szCs w:val="20"/>
          <w:lang w:val="en-US"/>
        </w:rPr>
        <w:t xml:space="preserve"> ha</w:t>
      </w:r>
      <w:r w:rsidRPr="00610904">
        <w:rPr>
          <w:noProof w:val="0"/>
          <w:spacing w:val="-2"/>
          <w:szCs w:val="20"/>
          <w:lang w:val="en-US"/>
        </w:rPr>
        <w:t>s indicated that any violation of an international obligation that h</w:t>
      </w:r>
      <w:r w:rsidR="008E38B6" w:rsidRPr="00610904">
        <w:rPr>
          <w:noProof w:val="0"/>
          <w:spacing w:val="-2"/>
          <w:szCs w:val="20"/>
          <w:lang w:val="en-US"/>
        </w:rPr>
        <w:t>a</w:t>
      </w:r>
      <w:r w:rsidRPr="00610904">
        <w:rPr>
          <w:noProof w:val="0"/>
          <w:spacing w:val="-2"/>
          <w:szCs w:val="20"/>
          <w:lang w:val="en-US"/>
        </w:rPr>
        <w:t xml:space="preserve">s caused harm entails the obligation to make </w:t>
      </w:r>
      <w:r w:rsidRPr="00610904">
        <w:rPr>
          <w:noProof w:val="0"/>
          <w:spacing w:val="-2"/>
          <w:szCs w:val="20"/>
          <w:lang w:val="en-US"/>
        </w:rPr>
        <w:lastRenderedPageBreak/>
        <w:t>ade</w:t>
      </w:r>
      <w:r w:rsidR="008E38B6" w:rsidRPr="00610904">
        <w:rPr>
          <w:noProof w:val="0"/>
          <w:spacing w:val="-2"/>
          <w:szCs w:val="20"/>
          <w:lang w:val="en-US"/>
        </w:rPr>
        <w:t>q</w:t>
      </w:r>
      <w:r w:rsidRPr="00610904">
        <w:rPr>
          <w:noProof w:val="0"/>
          <w:spacing w:val="-2"/>
          <w:szCs w:val="20"/>
          <w:lang w:val="en-US"/>
        </w:rPr>
        <w:t>uate reparation,</w:t>
      </w:r>
      <w:r w:rsidR="003040F7" w:rsidRPr="00610904">
        <w:rPr>
          <w:rFonts w:cs="Times New Roman"/>
          <w:noProof w:val="0"/>
          <w:spacing w:val="-2"/>
          <w:szCs w:val="20"/>
          <w:vertAlign w:val="superscript"/>
          <w:lang w:val="en-US"/>
        </w:rPr>
        <w:footnoteReference w:id="367"/>
      </w:r>
      <w:r w:rsidR="009F3D78" w:rsidRPr="00610904">
        <w:rPr>
          <w:noProof w:val="0"/>
          <w:spacing w:val="-2"/>
          <w:szCs w:val="20"/>
          <w:lang w:val="en-US"/>
        </w:rPr>
        <w:t xml:space="preserve"> and</w:t>
      </w:r>
      <w:r w:rsidRPr="00610904">
        <w:rPr>
          <w:noProof w:val="0"/>
          <w:spacing w:val="-2"/>
          <w:szCs w:val="20"/>
          <w:lang w:val="en-US"/>
        </w:rPr>
        <w:t xml:space="preserve"> that this provisions reflects a customary norm that constitutes one of the fundamen</w:t>
      </w:r>
      <w:r w:rsidR="008E38B6" w:rsidRPr="00610904">
        <w:rPr>
          <w:noProof w:val="0"/>
          <w:spacing w:val="-2"/>
          <w:szCs w:val="20"/>
          <w:lang w:val="en-US"/>
        </w:rPr>
        <w:t>t</w:t>
      </w:r>
      <w:r w:rsidRPr="00610904">
        <w:rPr>
          <w:noProof w:val="0"/>
          <w:spacing w:val="-2"/>
          <w:szCs w:val="20"/>
          <w:lang w:val="en-US"/>
        </w:rPr>
        <w:t>al principles of contemporary international law on State responsibility.</w:t>
      </w:r>
      <w:r w:rsidR="003040F7" w:rsidRPr="00610904">
        <w:rPr>
          <w:rFonts w:cs="Times New Roman"/>
          <w:noProof w:val="0"/>
          <w:spacing w:val="-2"/>
          <w:szCs w:val="20"/>
          <w:vertAlign w:val="superscript"/>
          <w:lang w:val="en-US"/>
        </w:rPr>
        <w:footnoteReference w:id="368"/>
      </w:r>
    </w:p>
    <w:p w:rsidR="003040F7" w:rsidRPr="00610904" w:rsidRDefault="003040F7" w:rsidP="00610904">
      <w:pPr>
        <w:contextualSpacing/>
        <w:rPr>
          <w:noProof w:val="0"/>
          <w:spacing w:val="-2"/>
          <w:szCs w:val="20"/>
          <w:lang w:val="en-US"/>
        </w:rPr>
      </w:pPr>
    </w:p>
    <w:p w:rsidR="003040F7" w:rsidRPr="00610904" w:rsidRDefault="007E3CF8" w:rsidP="00610904">
      <w:pPr>
        <w:numPr>
          <w:ilvl w:val="0"/>
          <w:numId w:val="1"/>
        </w:numPr>
        <w:contextualSpacing/>
        <w:rPr>
          <w:noProof w:val="0"/>
          <w:spacing w:val="-2"/>
          <w:szCs w:val="20"/>
          <w:lang w:val="en-US"/>
        </w:rPr>
      </w:pPr>
      <w:r w:rsidRPr="00610904">
        <w:rPr>
          <w:bCs/>
          <w:noProof w:val="0"/>
          <w:spacing w:val="-2"/>
          <w:szCs w:val="20"/>
          <w:lang w:val="en-US"/>
        </w:rPr>
        <w:t xml:space="preserve">The reparation of the </w:t>
      </w:r>
      <w:r w:rsidR="008E38B6" w:rsidRPr="00610904">
        <w:rPr>
          <w:bCs/>
          <w:noProof w:val="0"/>
          <w:spacing w:val="-2"/>
          <w:szCs w:val="20"/>
          <w:lang w:val="en-US"/>
        </w:rPr>
        <w:t>harm</w:t>
      </w:r>
      <w:r w:rsidRPr="00610904">
        <w:rPr>
          <w:bCs/>
          <w:noProof w:val="0"/>
          <w:spacing w:val="-2"/>
          <w:szCs w:val="20"/>
          <w:lang w:val="en-US"/>
        </w:rPr>
        <w:t xml:space="preserve"> caused by the violation of an international obligation requires, whenever possible, full restitution </w:t>
      </w:r>
      <w:r w:rsidR="003040F7" w:rsidRPr="00610904">
        <w:rPr>
          <w:bCs/>
          <w:noProof w:val="0"/>
          <w:spacing w:val="-2"/>
          <w:szCs w:val="20"/>
          <w:lang w:val="en-US"/>
        </w:rPr>
        <w:t>(</w:t>
      </w:r>
      <w:r w:rsidR="003040F7" w:rsidRPr="00610904">
        <w:rPr>
          <w:bCs/>
          <w:i/>
          <w:noProof w:val="0"/>
          <w:spacing w:val="-2"/>
          <w:szCs w:val="20"/>
          <w:lang w:val="en-US"/>
        </w:rPr>
        <w:t>restitutio in integrum</w:t>
      </w:r>
      <w:r w:rsidR="003040F7" w:rsidRPr="00610904">
        <w:rPr>
          <w:bCs/>
          <w:noProof w:val="0"/>
          <w:spacing w:val="-2"/>
          <w:szCs w:val="20"/>
          <w:lang w:val="en-US"/>
        </w:rPr>
        <w:t xml:space="preserve">), </w:t>
      </w:r>
      <w:r w:rsidRPr="00610904">
        <w:rPr>
          <w:bCs/>
          <w:noProof w:val="0"/>
          <w:spacing w:val="-2"/>
          <w:szCs w:val="20"/>
          <w:lang w:val="en-US"/>
        </w:rPr>
        <w:t>which consists in the re-establishment of the previous situation. If this is not feasible, as in most cases of human rights violations, the Court will deter</w:t>
      </w:r>
      <w:r w:rsidR="008E38B6" w:rsidRPr="00610904">
        <w:rPr>
          <w:bCs/>
          <w:noProof w:val="0"/>
          <w:spacing w:val="-2"/>
          <w:szCs w:val="20"/>
          <w:lang w:val="en-US"/>
        </w:rPr>
        <w:t>m</w:t>
      </w:r>
      <w:r w:rsidRPr="00610904">
        <w:rPr>
          <w:bCs/>
          <w:noProof w:val="0"/>
          <w:spacing w:val="-2"/>
          <w:szCs w:val="20"/>
          <w:lang w:val="en-US"/>
        </w:rPr>
        <w:t xml:space="preserve">ine measures to </w:t>
      </w:r>
      <w:r w:rsidR="008E38B6" w:rsidRPr="00610904">
        <w:rPr>
          <w:bCs/>
          <w:noProof w:val="0"/>
          <w:spacing w:val="-2"/>
          <w:szCs w:val="20"/>
          <w:lang w:val="en-US"/>
        </w:rPr>
        <w:t>guarantee</w:t>
      </w:r>
      <w:r w:rsidRPr="00610904">
        <w:rPr>
          <w:bCs/>
          <w:noProof w:val="0"/>
          <w:spacing w:val="-2"/>
          <w:szCs w:val="20"/>
          <w:lang w:val="en-US"/>
        </w:rPr>
        <w:t xml:space="preserve"> the rights that have been violated and to redress the consequences of the violations.</w:t>
      </w:r>
      <w:r w:rsidR="003040F7" w:rsidRPr="00610904">
        <w:rPr>
          <w:noProof w:val="0"/>
          <w:spacing w:val="-2"/>
          <w:szCs w:val="20"/>
          <w:vertAlign w:val="superscript"/>
          <w:lang w:val="en-US"/>
        </w:rPr>
        <w:footnoteReference w:id="369"/>
      </w:r>
      <w:r w:rsidRPr="00610904">
        <w:rPr>
          <w:bCs/>
          <w:noProof w:val="0"/>
          <w:spacing w:val="-2"/>
          <w:szCs w:val="20"/>
          <w:lang w:val="en-US"/>
        </w:rPr>
        <w:t xml:space="preserve"> Therefore, the Court has found it nec</w:t>
      </w:r>
      <w:r w:rsidR="008E38B6" w:rsidRPr="00610904">
        <w:rPr>
          <w:bCs/>
          <w:noProof w:val="0"/>
          <w:spacing w:val="-2"/>
          <w:szCs w:val="20"/>
          <w:lang w:val="en-US"/>
        </w:rPr>
        <w:t>e</w:t>
      </w:r>
      <w:r w:rsidRPr="00610904">
        <w:rPr>
          <w:bCs/>
          <w:noProof w:val="0"/>
          <w:spacing w:val="-2"/>
          <w:szCs w:val="20"/>
          <w:lang w:val="en-US"/>
        </w:rPr>
        <w:t>ssary to award differ</w:t>
      </w:r>
      <w:r w:rsidR="008E38B6" w:rsidRPr="00610904">
        <w:rPr>
          <w:bCs/>
          <w:noProof w:val="0"/>
          <w:spacing w:val="-2"/>
          <w:szCs w:val="20"/>
          <w:lang w:val="en-US"/>
        </w:rPr>
        <w:t>e</w:t>
      </w:r>
      <w:r w:rsidRPr="00610904">
        <w:rPr>
          <w:bCs/>
          <w:noProof w:val="0"/>
          <w:spacing w:val="-2"/>
          <w:szCs w:val="20"/>
          <w:lang w:val="en-US"/>
        </w:rPr>
        <w:t xml:space="preserve">nt measures of reparation in order to redress the damage fully, so that, in addition to pecuniary </w:t>
      </w:r>
      <w:r w:rsidR="00856968" w:rsidRPr="00610904">
        <w:rPr>
          <w:bCs/>
          <w:noProof w:val="0"/>
          <w:spacing w:val="-2"/>
          <w:szCs w:val="20"/>
          <w:lang w:val="en-US"/>
        </w:rPr>
        <w:t>compensation</w:t>
      </w:r>
      <w:r w:rsidRPr="00610904">
        <w:rPr>
          <w:bCs/>
          <w:noProof w:val="0"/>
          <w:spacing w:val="-2"/>
          <w:szCs w:val="20"/>
          <w:lang w:val="en-US"/>
        </w:rPr>
        <w:t xml:space="preserve">, measures of restitution, rehabilitation and satisfaction, </w:t>
      </w:r>
      <w:r w:rsidR="009F3D78" w:rsidRPr="00610904">
        <w:rPr>
          <w:noProof w:val="0"/>
          <w:spacing w:val="-2"/>
          <w:szCs w:val="20"/>
          <w:lang w:val="en-US"/>
        </w:rPr>
        <w:t xml:space="preserve">and </w:t>
      </w:r>
      <w:r w:rsidR="00B45E43" w:rsidRPr="00610904">
        <w:rPr>
          <w:noProof w:val="0"/>
          <w:spacing w:val="-2"/>
          <w:szCs w:val="20"/>
          <w:lang w:val="en-US"/>
        </w:rPr>
        <w:t>guarantees of non-repetition</w:t>
      </w:r>
      <w:r w:rsidRPr="00610904">
        <w:rPr>
          <w:noProof w:val="0"/>
          <w:spacing w:val="-2"/>
          <w:szCs w:val="20"/>
          <w:lang w:val="en-US"/>
        </w:rPr>
        <w:t xml:space="preserve">, have special relevance to the </w:t>
      </w:r>
      <w:r w:rsidR="008E38B6" w:rsidRPr="00610904">
        <w:rPr>
          <w:noProof w:val="0"/>
          <w:spacing w:val="-2"/>
          <w:szCs w:val="20"/>
          <w:lang w:val="en-US"/>
        </w:rPr>
        <w:t>harm</w:t>
      </w:r>
      <w:r w:rsidRPr="00610904">
        <w:rPr>
          <w:noProof w:val="0"/>
          <w:spacing w:val="-2"/>
          <w:szCs w:val="20"/>
          <w:lang w:val="en-US"/>
        </w:rPr>
        <w:t xml:space="preserve"> caused.</w:t>
      </w:r>
      <w:r w:rsidR="003040F7" w:rsidRPr="00610904">
        <w:rPr>
          <w:noProof w:val="0"/>
          <w:spacing w:val="-2"/>
          <w:szCs w:val="20"/>
          <w:vertAlign w:val="superscript"/>
          <w:lang w:val="en-US"/>
        </w:rPr>
        <w:footnoteReference w:id="370"/>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rFonts w:eastAsia="Calibri"/>
          <w:noProof w:val="0"/>
          <w:spacing w:val="-2"/>
          <w:lang w:val="en-US"/>
        </w:rPr>
        <w:t>This Court</w:t>
      </w:r>
      <w:r w:rsidR="003040F7" w:rsidRPr="00610904">
        <w:rPr>
          <w:rFonts w:eastAsia="Calibri"/>
          <w:noProof w:val="0"/>
          <w:spacing w:val="-2"/>
          <w:lang w:val="en-US"/>
        </w:rPr>
        <w:t xml:space="preserve"> ha</w:t>
      </w:r>
      <w:r w:rsidR="007E3CF8" w:rsidRPr="00610904">
        <w:rPr>
          <w:rFonts w:eastAsia="Calibri"/>
          <w:noProof w:val="0"/>
          <w:spacing w:val="-2"/>
          <w:lang w:val="en-US"/>
        </w:rPr>
        <w:t>s established that the reparations must have a causal nexus</w:t>
      </w:r>
      <w:r w:rsidR="008E38B6" w:rsidRPr="00610904">
        <w:rPr>
          <w:rFonts w:eastAsia="Calibri"/>
          <w:noProof w:val="0"/>
          <w:spacing w:val="-2"/>
          <w:lang w:val="en-US"/>
        </w:rPr>
        <w:t xml:space="preserve"> to </w:t>
      </w:r>
      <w:r w:rsidR="007E3CF8" w:rsidRPr="00610904">
        <w:rPr>
          <w:rFonts w:eastAsia="Calibri"/>
          <w:noProof w:val="0"/>
          <w:spacing w:val="-2"/>
          <w:lang w:val="en-US"/>
        </w:rPr>
        <w:t xml:space="preserve">the facts of the case, the violations that have been declared, the </w:t>
      </w:r>
      <w:r w:rsidR="008E38B6" w:rsidRPr="00610904">
        <w:rPr>
          <w:rFonts w:eastAsia="Calibri"/>
          <w:noProof w:val="0"/>
          <w:spacing w:val="-2"/>
          <w:lang w:val="en-US"/>
        </w:rPr>
        <w:t>harm</w:t>
      </w:r>
      <w:r w:rsidR="007E3CF8" w:rsidRPr="00610904">
        <w:rPr>
          <w:rFonts w:eastAsia="Calibri"/>
          <w:noProof w:val="0"/>
          <w:spacing w:val="-2"/>
          <w:lang w:val="en-US"/>
        </w:rPr>
        <w:t xml:space="preserve"> proved, and the measures requested to redress the respective </w:t>
      </w:r>
      <w:r w:rsidR="008E38B6" w:rsidRPr="00610904">
        <w:rPr>
          <w:rFonts w:eastAsia="Calibri"/>
          <w:noProof w:val="0"/>
          <w:spacing w:val="-2"/>
          <w:lang w:val="en-US"/>
        </w:rPr>
        <w:t>harm</w:t>
      </w:r>
      <w:r w:rsidR="007E3CF8" w:rsidRPr="00610904">
        <w:rPr>
          <w:rFonts w:eastAsia="Calibri"/>
          <w:noProof w:val="0"/>
          <w:spacing w:val="-2"/>
          <w:lang w:val="en-US"/>
        </w:rPr>
        <w:t>. Therefore, the Court must observe this concurrence in order to rule appropriately and in keeping with law.</w:t>
      </w:r>
      <w:r w:rsidR="003040F7" w:rsidRPr="00610904">
        <w:rPr>
          <w:rFonts w:eastAsia="Calibri"/>
          <w:noProof w:val="0"/>
          <w:spacing w:val="-2"/>
          <w:vertAlign w:val="superscript"/>
          <w:lang w:val="en-US"/>
        </w:rPr>
        <w:footnoteReference w:id="371"/>
      </w:r>
    </w:p>
    <w:p w:rsidR="003040F7" w:rsidRPr="00610904" w:rsidRDefault="003040F7" w:rsidP="00610904">
      <w:pPr>
        <w:contextualSpacing/>
        <w:rPr>
          <w:noProof w:val="0"/>
          <w:spacing w:val="-2"/>
          <w:szCs w:val="20"/>
          <w:lang w:val="en-US"/>
        </w:rPr>
      </w:pPr>
    </w:p>
    <w:p w:rsidR="003040F7" w:rsidRPr="00610904" w:rsidRDefault="007E3CF8" w:rsidP="00610904">
      <w:pPr>
        <w:numPr>
          <w:ilvl w:val="0"/>
          <w:numId w:val="1"/>
        </w:numPr>
        <w:contextualSpacing/>
        <w:rPr>
          <w:noProof w:val="0"/>
          <w:spacing w:val="-2"/>
          <w:szCs w:val="20"/>
          <w:lang w:val="en-US"/>
        </w:rPr>
      </w:pPr>
      <w:r w:rsidRPr="00610904">
        <w:rPr>
          <w:rFonts w:eastAsia="Calibri"/>
          <w:noProof w:val="0"/>
          <w:spacing w:val="-2"/>
          <w:lang w:val="en-US"/>
        </w:rPr>
        <w:t xml:space="preserve">Considering the violations declared in the preceding chapters, the Court will proceed to examine the claims presented by </w:t>
      </w:r>
      <w:r w:rsidR="002F5BBA" w:rsidRPr="00610904">
        <w:rPr>
          <w:rFonts w:eastAsia="Calibri"/>
          <w:noProof w:val="0"/>
          <w:spacing w:val="-2"/>
          <w:lang w:val="en-US"/>
        </w:rPr>
        <w:t>the Commission</w:t>
      </w:r>
      <w:r w:rsidR="009F3D78" w:rsidRPr="00610904">
        <w:rPr>
          <w:rFonts w:eastAsia="Calibri"/>
          <w:noProof w:val="0"/>
          <w:spacing w:val="-2"/>
          <w:lang w:val="en-US"/>
        </w:rPr>
        <w:t xml:space="preserve"> and the representatives</w:t>
      </w:r>
      <w:r w:rsidR="003040F7" w:rsidRPr="00610904">
        <w:rPr>
          <w:rFonts w:eastAsia="Calibri"/>
          <w:noProof w:val="0"/>
          <w:spacing w:val="-2"/>
          <w:lang w:val="en-US"/>
        </w:rPr>
        <w:t>, as</w:t>
      </w:r>
      <w:r w:rsidRPr="00610904">
        <w:rPr>
          <w:rFonts w:eastAsia="Calibri"/>
          <w:noProof w:val="0"/>
          <w:spacing w:val="-2"/>
          <w:lang w:val="en-US"/>
        </w:rPr>
        <w:t xml:space="preserve"> well as the arguments </w:t>
      </w:r>
      <w:r w:rsidR="009F3D78" w:rsidRPr="00610904">
        <w:rPr>
          <w:rFonts w:eastAsia="Calibri"/>
          <w:noProof w:val="0"/>
          <w:spacing w:val="-2"/>
          <w:lang w:val="en-US"/>
        </w:rPr>
        <w:t>of the State</w:t>
      </w:r>
      <w:r w:rsidR="003040F7" w:rsidRPr="00610904">
        <w:rPr>
          <w:rFonts w:eastAsia="Calibri"/>
          <w:noProof w:val="0"/>
          <w:spacing w:val="-2"/>
          <w:lang w:val="en-US"/>
        </w:rPr>
        <w:t>,</w:t>
      </w:r>
      <w:r w:rsidRPr="00610904">
        <w:rPr>
          <w:rFonts w:eastAsia="Calibri"/>
          <w:noProof w:val="0"/>
          <w:spacing w:val="-2"/>
          <w:lang w:val="en-US"/>
        </w:rPr>
        <w:t xml:space="preserve"> in light of the criteria established in its case law as regards the nature and scope of the obligation to make reparation,</w:t>
      </w:r>
      <w:r w:rsidR="003040F7" w:rsidRPr="00610904">
        <w:rPr>
          <w:rFonts w:eastAsia="Calibri"/>
          <w:noProof w:val="0"/>
          <w:spacing w:val="-2"/>
          <w:vertAlign w:val="superscript"/>
          <w:lang w:val="en-US"/>
        </w:rPr>
        <w:footnoteReference w:id="372"/>
      </w:r>
      <w:r w:rsidRPr="00610904">
        <w:rPr>
          <w:rFonts w:eastAsia="Calibri"/>
          <w:noProof w:val="0"/>
          <w:spacing w:val="-2"/>
          <w:lang w:val="en-US"/>
        </w:rPr>
        <w:t xml:space="preserve"> in order to</w:t>
      </w:r>
      <w:r w:rsidR="008E38B6" w:rsidRPr="00610904">
        <w:rPr>
          <w:rFonts w:eastAsia="Calibri"/>
          <w:noProof w:val="0"/>
          <w:spacing w:val="-2"/>
          <w:lang w:val="en-US"/>
        </w:rPr>
        <w:t xml:space="preserve"> establish</w:t>
      </w:r>
      <w:r w:rsidRPr="00610904">
        <w:rPr>
          <w:rFonts w:eastAsia="Calibri"/>
          <w:noProof w:val="0"/>
          <w:spacing w:val="-2"/>
          <w:lang w:val="en-US"/>
        </w:rPr>
        <w:t xml:space="preserve"> measures designed to </w:t>
      </w:r>
      <w:r w:rsidR="008E38B6" w:rsidRPr="00610904">
        <w:rPr>
          <w:rFonts w:eastAsia="Calibri"/>
          <w:noProof w:val="0"/>
          <w:spacing w:val="-2"/>
          <w:lang w:val="en-US"/>
        </w:rPr>
        <w:t>redress</w:t>
      </w:r>
      <w:r w:rsidRPr="00610904">
        <w:rPr>
          <w:rFonts w:eastAsia="Calibri"/>
          <w:noProof w:val="0"/>
          <w:spacing w:val="-2"/>
          <w:lang w:val="en-US"/>
        </w:rPr>
        <w:t xml:space="preserve"> the harm caused to the victims.</w:t>
      </w:r>
    </w:p>
    <w:p w:rsidR="003040F7" w:rsidRPr="00610904" w:rsidRDefault="003040F7" w:rsidP="00610904">
      <w:pPr>
        <w:contextualSpacing/>
        <w:rPr>
          <w:noProof w:val="0"/>
          <w:spacing w:val="-2"/>
          <w:szCs w:val="20"/>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54" w:name="_Toc426108479"/>
      <w:bookmarkStart w:id="155" w:name="_Toc443399119"/>
      <w:r w:rsidRPr="00610904">
        <w:rPr>
          <w:rFonts w:eastAsia="Times New Roman" w:cs="Times New Roman"/>
          <w:b/>
          <w:bCs/>
          <w:i/>
          <w:noProof w:val="0"/>
          <w:szCs w:val="20"/>
          <w:lang w:val="en-US"/>
        </w:rPr>
        <w:t xml:space="preserve">A. </w:t>
      </w:r>
      <w:r w:rsidR="00830022" w:rsidRPr="00610904">
        <w:rPr>
          <w:rFonts w:eastAsia="Times New Roman" w:cs="Times New Roman"/>
          <w:b/>
          <w:bCs/>
          <w:i/>
          <w:noProof w:val="0"/>
          <w:szCs w:val="20"/>
          <w:lang w:val="en-US"/>
        </w:rPr>
        <w:t>Injured party</w:t>
      </w:r>
      <w:bookmarkEnd w:id="154"/>
      <w:bookmarkEnd w:id="155"/>
    </w:p>
    <w:p w:rsidR="003040F7" w:rsidRPr="00610904" w:rsidRDefault="003040F7" w:rsidP="00610904">
      <w:pPr>
        <w:keepNext/>
        <w:widowControl w:val="0"/>
        <w:tabs>
          <w:tab w:val="left" w:pos="720"/>
        </w:tabs>
        <w:adjustRightInd w:val="0"/>
        <w:textAlignment w:val="baseline"/>
        <w:rPr>
          <w:noProof w:val="0"/>
          <w:spacing w:val="-2"/>
          <w:szCs w:val="20"/>
          <w:lang w:val="en-US"/>
        </w:rPr>
      </w:pPr>
    </w:p>
    <w:p w:rsidR="003040F7" w:rsidRPr="00610904" w:rsidRDefault="007E3CF8" w:rsidP="00610904">
      <w:pPr>
        <w:numPr>
          <w:ilvl w:val="0"/>
          <w:numId w:val="1"/>
        </w:numPr>
        <w:contextualSpacing/>
        <w:rPr>
          <w:noProof w:val="0"/>
          <w:spacing w:val="-2"/>
          <w:lang w:val="en-US"/>
        </w:rPr>
      </w:pPr>
      <w:r w:rsidRPr="00610904">
        <w:rPr>
          <w:noProof w:val="0"/>
          <w:spacing w:val="-2"/>
          <w:lang w:val="en-US"/>
        </w:rPr>
        <w:t>The</w:t>
      </w:r>
      <w:r w:rsidR="00A8072E" w:rsidRPr="00610904">
        <w:rPr>
          <w:noProof w:val="0"/>
          <w:spacing w:val="-2"/>
          <w:lang w:val="en-US"/>
        </w:rPr>
        <w:t xml:space="preserve"> Court</w:t>
      </w:r>
      <w:r w:rsidR="003040F7" w:rsidRPr="00610904">
        <w:rPr>
          <w:noProof w:val="0"/>
          <w:spacing w:val="-2"/>
          <w:lang w:val="en-US"/>
        </w:rPr>
        <w:t xml:space="preserve"> reitera</w:t>
      </w:r>
      <w:r w:rsidRPr="00610904">
        <w:rPr>
          <w:noProof w:val="0"/>
          <w:spacing w:val="-2"/>
          <w:lang w:val="en-US"/>
        </w:rPr>
        <w:t>tes that</w:t>
      </w:r>
      <w:r w:rsidR="003040F7" w:rsidRPr="00610904">
        <w:rPr>
          <w:noProof w:val="0"/>
          <w:spacing w:val="-2"/>
          <w:lang w:val="en-US"/>
        </w:rPr>
        <w:t xml:space="preserve">, </w:t>
      </w:r>
      <w:r w:rsidR="004A6E8B" w:rsidRPr="00610904">
        <w:rPr>
          <w:noProof w:val="0"/>
          <w:spacing w:val="-2"/>
          <w:lang w:val="en-US"/>
        </w:rPr>
        <w:t>in accordance with</w:t>
      </w:r>
      <w:r w:rsidR="006E502B" w:rsidRPr="00610904">
        <w:rPr>
          <w:noProof w:val="0"/>
          <w:spacing w:val="-2"/>
          <w:lang w:val="en-US"/>
        </w:rPr>
        <w:t xml:space="preserve"> Article</w:t>
      </w:r>
      <w:r w:rsidR="003040F7" w:rsidRPr="00610904">
        <w:rPr>
          <w:noProof w:val="0"/>
          <w:spacing w:val="-2"/>
          <w:lang w:val="en-US"/>
        </w:rPr>
        <w:t xml:space="preserve"> </w:t>
      </w:r>
      <w:r w:rsidR="009F3D78" w:rsidRPr="00610904">
        <w:rPr>
          <w:noProof w:val="0"/>
          <w:spacing w:val="-2"/>
          <w:lang w:val="en-US"/>
        </w:rPr>
        <w:t>63(1) of the Convention</w:t>
      </w:r>
      <w:r w:rsidR="003040F7" w:rsidRPr="00610904">
        <w:rPr>
          <w:noProof w:val="0"/>
          <w:spacing w:val="-2"/>
          <w:lang w:val="en-US"/>
        </w:rPr>
        <w:t xml:space="preserve">, </w:t>
      </w:r>
      <w:r w:rsidR="008E38B6" w:rsidRPr="00610904">
        <w:rPr>
          <w:noProof w:val="0"/>
          <w:spacing w:val="-2"/>
          <w:lang w:val="en-US"/>
        </w:rPr>
        <w:t>the</w:t>
      </w:r>
      <w:r w:rsidRPr="00610904">
        <w:rPr>
          <w:noProof w:val="0"/>
          <w:spacing w:val="-2"/>
          <w:lang w:val="en-US"/>
        </w:rPr>
        <w:t xml:space="preserve"> injured party is considered to be anyone who has been declared a victim of </w:t>
      </w:r>
      <w:r w:rsidR="00EF508D" w:rsidRPr="00610904">
        <w:rPr>
          <w:noProof w:val="0"/>
          <w:spacing w:val="-2"/>
          <w:lang w:val="en-US"/>
        </w:rPr>
        <w:t>the violation</w:t>
      </w:r>
      <w:r w:rsidR="003040F7" w:rsidRPr="00610904">
        <w:rPr>
          <w:noProof w:val="0"/>
          <w:spacing w:val="-2"/>
          <w:lang w:val="en-US"/>
        </w:rPr>
        <w:t xml:space="preserve"> </w:t>
      </w:r>
      <w:r w:rsidRPr="00610904">
        <w:rPr>
          <w:noProof w:val="0"/>
          <w:spacing w:val="-2"/>
          <w:lang w:val="en-US"/>
        </w:rPr>
        <w:t>of any right recognized therein.</w:t>
      </w:r>
      <w:r w:rsidR="003040F7" w:rsidRPr="00610904">
        <w:rPr>
          <w:rFonts w:cs="Times New Roman"/>
          <w:noProof w:val="0"/>
          <w:spacing w:val="-2"/>
          <w:szCs w:val="20"/>
          <w:vertAlign w:val="superscript"/>
          <w:lang w:val="en-US"/>
        </w:rPr>
        <w:footnoteReference w:id="373"/>
      </w:r>
      <w:r w:rsidRPr="00610904">
        <w:rPr>
          <w:noProof w:val="0"/>
          <w:spacing w:val="-2"/>
          <w:lang w:val="en-US"/>
        </w:rPr>
        <w:t xml:space="preserve"> Con</w:t>
      </w:r>
      <w:r w:rsidR="008E38B6" w:rsidRPr="00610904">
        <w:rPr>
          <w:noProof w:val="0"/>
          <w:spacing w:val="-2"/>
          <w:lang w:val="en-US"/>
        </w:rPr>
        <w:t>sequently, this Court finds</w:t>
      </w:r>
      <w:r w:rsidRPr="00610904">
        <w:rPr>
          <w:noProof w:val="0"/>
          <w:spacing w:val="-2"/>
          <w:lang w:val="en-US"/>
        </w:rPr>
        <w:t xml:space="preserve"> that </w:t>
      </w:r>
      <w:r w:rsidR="00CD3738" w:rsidRPr="00610904">
        <w:rPr>
          <w:noProof w:val="0"/>
          <w:spacing w:val="-2"/>
          <w:lang w:val="en-US"/>
        </w:rPr>
        <w:t>Talía</w:t>
      </w:r>
      <w:r w:rsidR="003040F7" w:rsidRPr="00610904">
        <w:rPr>
          <w:noProof w:val="0"/>
          <w:spacing w:val="-2"/>
          <w:lang w:val="en-US"/>
        </w:rPr>
        <w:t xml:space="preserve"> Gabriela Gonzales Lluy, Teresa Lluy </w:t>
      </w:r>
      <w:r w:rsidR="005550B0" w:rsidRPr="00610904">
        <w:rPr>
          <w:noProof w:val="0"/>
          <w:spacing w:val="-2"/>
          <w:lang w:val="en-US"/>
        </w:rPr>
        <w:t>and Iván</w:t>
      </w:r>
      <w:r w:rsidR="003040F7" w:rsidRPr="00610904">
        <w:rPr>
          <w:noProof w:val="0"/>
          <w:spacing w:val="-2"/>
          <w:lang w:val="en-US"/>
        </w:rPr>
        <w:t xml:space="preserve"> Lluy</w:t>
      </w:r>
      <w:r w:rsidRPr="00610904">
        <w:rPr>
          <w:noProof w:val="0"/>
          <w:spacing w:val="-2"/>
          <w:lang w:val="en-US"/>
        </w:rPr>
        <w:t xml:space="preserve"> are the “injured party” and, in their capacity as victims of the violations declared in Chapters</w:t>
      </w:r>
      <w:r w:rsidR="00E35442" w:rsidRPr="00610904">
        <w:rPr>
          <w:noProof w:val="0"/>
          <w:spacing w:val="-2"/>
          <w:lang w:val="en-US"/>
        </w:rPr>
        <w:t xml:space="preserve"> IX, X</w:t>
      </w:r>
      <w:r w:rsidR="009F3D78" w:rsidRPr="00610904">
        <w:rPr>
          <w:noProof w:val="0"/>
          <w:spacing w:val="-2"/>
          <w:lang w:val="en-US"/>
        </w:rPr>
        <w:t xml:space="preserve"> and </w:t>
      </w:r>
      <w:r w:rsidR="00E35442" w:rsidRPr="00610904">
        <w:rPr>
          <w:noProof w:val="0"/>
          <w:spacing w:val="-2"/>
          <w:lang w:val="en-US"/>
        </w:rPr>
        <w:t>XI</w:t>
      </w:r>
      <w:r w:rsidRPr="00610904">
        <w:rPr>
          <w:noProof w:val="0"/>
          <w:spacing w:val="-2"/>
          <w:lang w:val="en-US"/>
        </w:rPr>
        <w:t xml:space="preserve">, they will be considered beneficiaries of the </w:t>
      </w:r>
      <w:r w:rsidR="00795F5F" w:rsidRPr="00610904">
        <w:rPr>
          <w:noProof w:val="0"/>
          <w:spacing w:val="-2"/>
          <w:lang w:val="en-US"/>
        </w:rPr>
        <w:t>reparations</w:t>
      </w:r>
      <w:r w:rsidRPr="00610904">
        <w:rPr>
          <w:noProof w:val="0"/>
          <w:spacing w:val="-2"/>
          <w:lang w:val="en-US"/>
        </w:rPr>
        <w:t xml:space="preserve"> ordered by the Court.</w:t>
      </w:r>
      <w:r w:rsidR="003040F7" w:rsidRPr="00610904">
        <w:rPr>
          <w:noProof w:val="0"/>
          <w:spacing w:val="-2"/>
          <w:lang w:val="en-US"/>
        </w:rPr>
        <w:t xml:space="preserve"> </w:t>
      </w:r>
      <w:bookmarkStart w:id="156" w:name="_Toc375560978"/>
    </w:p>
    <w:p w:rsidR="003040F7" w:rsidRPr="00610904" w:rsidRDefault="003040F7" w:rsidP="00610904">
      <w:pPr>
        <w:contextualSpacing/>
        <w:rPr>
          <w:noProof w:val="0"/>
          <w:spacing w:val="-2"/>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57" w:name="_Toc426108480"/>
      <w:bookmarkStart w:id="158" w:name="_Toc443399120"/>
      <w:bookmarkStart w:id="159" w:name="_Toc374024123"/>
      <w:bookmarkStart w:id="160" w:name="_Toc374024204"/>
      <w:bookmarkStart w:id="161" w:name="_Toc406580703"/>
      <w:bookmarkEnd w:id="156"/>
      <w:r w:rsidRPr="00610904">
        <w:rPr>
          <w:rFonts w:eastAsia="Times New Roman" w:cs="Times New Roman"/>
          <w:b/>
          <w:bCs/>
          <w:i/>
          <w:noProof w:val="0"/>
          <w:szCs w:val="20"/>
          <w:lang w:val="en-US"/>
        </w:rPr>
        <w:t xml:space="preserve">B. </w:t>
      </w:r>
      <w:r w:rsidR="00830022" w:rsidRPr="00610904">
        <w:rPr>
          <w:rFonts w:eastAsia="Times New Roman" w:cs="Times New Roman"/>
          <w:b/>
          <w:bCs/>
          <w:i/>
          <w:noProof w:val="0"/>
          <w:szCs w:val="20"/>
          <w:lang w:val="en-US"/>
        </w:rPr>
        <w:t>Obligation to investigate the facts and identify, prosecute and punish, as appropriate, those responsible</w:t>
      </w:r>
      <w:bookmarkEnd w:id="157"/>
      <w:bookmarkEnd w:id="158"/>
    </w:p>
    <w:p w:rsidR="003040F7" w:rsidRPr="00610904" w:rsidRDefault="003040F7" w:rsidP="00610904">
      <w:pPr>
        <w:rPr>
          <w:noProof w:val="0"/>
          <w:spacing w:val="-2"/>
          <w:szCs w:val="20"/>
          <w:lang w:val="en-US"/>
        </w:rPr>
      </w:pPr>
    </w:p>
    <w:p w:rsidR="003040F7" w:rsidRPr="00610904" w:rsidRDefault="002F5BBA" w:rsidP="00610904">
      <w:pPr>
        <w:numPr>
          <w:ilvl w:val="0"/>
          <w:numId w:val="1"/>
        </w:numPr>
        <w:contextualSpacing/>
        <w:rPr>
          <w:noProof w:val="0"/>
          <w:spacing w:val="-2"/>
          <w:szCs w:val="20"/>
          <w:lang w:val="en-US"/>
        </w:rPr>
      </w:pPr>
      <w:r w:rsidRPr="00610904">
        <w:rPr>
          <w:noProof w:val="0"/>
          <w:spacing w:val="-2"/>
          <w:szCs w:val="20"/>
          <w:lang w:val="en-US"/>
        </w:rPr>
        <w:t>The Commission</w:t>
      </w:r>
      <w:r w:rsidR="003040F7" w:rsidRPr="00610904">
        <w:rPr>
          <w:b/>
          <w:i/>
          <w:noProof w:val="0"/>
          <w:szCs w:val="20"/>
          <w:lang w:val="en-US"/>
        </w:rPr>
        <w:t xml:space="preserve"> </w:t>
      </w:r>
      <w:r w:rsidR="007E3CF8" w:rsidRPr="00610904">
        <w:rPr>
          <w:noProof w:val="0"/>
          <w:szCs w:val="20"/>
          <w:lang w:val="en-US"/>
        </w:rPr>
        <w:t xml:space="preserve">asked that the State conduct a complete and effective investigation into the human rights violations declared </w:t>
      </w:r>
      <w:r w:rsidR="00391F07" w:rsidRPr="00610904">
        <w:rPr>
          <w:noProof w:val="0"/>
          <w:szCs w:val="20"/>
          <w:lang w:val="en-US"/>
        </w:rPr>
        <w:t>in this case.</w:t>
      </w:r>
    </w:p>
    <w:p w:rsidR="003040F7" w:rsidRPr="00610904" w:rsidRDefault="003040F7" w:rsidP="00610904">
      <w:pPr>
        <w:contextualSpacing/>
        <w:rPr>
          <w:noProof w:val="0"/>
          <w:spacing w:val="-2"/>
          <w:szCs w:val="20"/>
          <w:lang w:val="en-US"/>
        </w:rPr>
      </w:pPr>
    </w:p>
    <w:p w:rsidR="007E3CF8" w:rsidRPr="00610904" w:rsidRDefault="009F3D78" w:rsidP="00610904">
      <w:pPr>
        <w:numPr>
          <w:ilvl w:val="0"/>
          <w:numId w:val="1"/>
        </w:numPr>
        <w:contextualSpacing/>
        <w:rPr>
          <w:noProof w:val="0"/>
          <w:spacing w:val="-2"/>
          <w:szCs w:val="20"/>
          <w:lang w:val="en-US"/>
        </w:rPr>
      </w:pPr>
      <w:r w:rsidRPr="00610904">
        <w:rPr>
          <w:noProof w:val="0"/>
          <w:szCs w:val="20"/>
          <w:lang w:val="en-US"/>
        </w:rPr>
        <w:lastRenderedPageBreak/>
        <w:t>The representatives</w:t>
      </w:r>
      <w:r w:rsidR="003040F7" w:rsidRPr="00610904">
        <w:rPr>
          <w:b/>
          <w:i/>
          <w:noProof w:val="0"/>
          <w:szCs w:val="20"/>
          <w:lang w:val="en-US"/>
        </w:rPr>
        <w:t xml:space="preserve"> </w:t>
      </w:r>
      <w:r w:rsidR="007E3CF8" w:rsidRPr="00610904">
        <w:rPr>
          <w:noProof w:val="0"/>
          <w:szCs w:val="20"/>
          <w:lang w:val="en-US"/>
        </w:rPr>
        <w:t>asked</w:t>
      </w:r>
      <w:r w:rsidR="003040F7" w:rsidRPr="00610904">
        <w:rPr>
          <w:noProof w:val="0"/>
          <w:szCs w:val="20"/>
          <w:lang w:val="en-US"/>
        </w:rPr>
        <w:t xml:space="preserve"> </w:t>
      </w:r>
      <w:r w:rsidRPr="00610904">
        <w:rPr>
          <w:noProof w:val="0"/>
          <w:szCs w:val="20"/>
          <w:lang w:val="en-US"/>
        </w:rPr>
        <w:t>the Court</w:t>
      </w:r>
      <w:r w:rsidR="003040F7" w:rsidRPr="00610904">
        <w:rPr>
          <w:noProof w:val="0"/>
          <w:szCs w:val="20"/>
          <w:lang w:val="en-US"/>
        </w:rPr>
        <w:t xml:space="preserve"> </w:t>
      </w:r>
      <w:r w:rsidR="007E3CF8" w:rsidRPr="00610904">
        <w:rPr>
          <w:noProof w:val="0"/>
          <w:szCs w:val="20"/>
          <w:lang w:val="en-US"/>
        </w:rPr>
        <w:t>to order the State to inves</w:t>
      </w:r>
      <w:r w:rsidR="008E38B6" w:rsidRPr="00610904">
        <w:rPr>
          <w:noProof w:val="0"/>
          <w:szCs w:val="20"/>
          <w:lang w:val="en-US"/>
        </w:rPr>
        <w:t>tigate and punish the persons who</w:t>
      </w:r>
      <w:r w:rsidR="007E3CF8" w:rsidRPr="00610904">
        <w:rPr>
          <w:noProof w:val="0"/>
          <w:szCs w:val="20"/>
          <w:lang w:val="en-US"/>
        </w:rPr>
        <w:t xml:space="preserve"> caused </w:t>
      </w:r>
      <w:r w:rsidR="00EF508D" w:rsidRPr="00610904">
        <w:rPr>
          <w:noProof w:val="0"/>
          <w:szCs w:val="20"/>
          <w:lang w:val="en-US"/>
        </w:rPr>
        <w:t>the violation</w:t>
      </w:r>
      <w:r w:rsidR="003040F7" w:rsidRPr="00610904">
        <w:rPr>
          <w:noProof w:val="0"/>
          <w:szCs w:val="20"/>
          <w:lang w:val="en-US"/>
        </w:rPr>
        <w:t xml:space="preserve"> </w:t>
      </w:r>
      <w:r w:rsidR="007E3CF8" w:rsidRPr="00610904">
        <w:rPr>
          <w:noProof w:val="0"/>
          <w:szCs w:val="20"/>
          <w:lang w:val="en-US"/>
        </w:rPr>
        <w:t>of the rights of</w:t>
      </w:r>
      <w:r w:rsidR="003040F7" w:rsidRPr="00610904">
        <w:rPr>
          <w:noProof w:val="0"/>
          <w:szCs w:val="20"/>
          <w:lang w:val="en-US"/>
        </w:rPr>
        <w:t xml:space="preserve"> </w:t>
      </w:r>
      <w:r w:rsidR="00CD3738" w:rsidRPr="00610904">
        <w:rPr>
          <w:noProof w:val="0"/>
          <w:szCs w:val="20"/>
          <w:lang w:val="en-US"/>
        </w:rPr>
        <w:t>Talía</w:t>
      </w:r>
      <w:r w:rsidRPr="00610904">
        <w:rPr>
          <w:noProof w:val="0"/>
          <w:szCs w:val="20"/>
          <w:lang w:val="en-US"/>
        </w:rPr>
        <w:t xml:space="preserve"> and</w:t>
      </w:r>
      <w:r w:rsidR="007E3CF8" w:rsidRPr="00610904">
        <w:rPr>
          <w:noProof w:val="0"/>
          <w:szCs w:val="20"/>
          <w:lang w:val="en-US"/>
        </w:rPr>
        <w:t xml:space="preserve"> her family, because these facts “cannot remain </w:t>
      </w:r>
      <w:r w:rsidR="008E38B6" w:rsidRPr="00610904">
        <w:rPr>
          <w:noProof w:val="0"/>
          <w:szCs w:val="20"/>
          <w:lang w:val="en-US"/>
        </w:rPr>
        <w:t>un</w:t>
      </w:r>
      <w:r w:rsidR="007E3CF8" w:rsidRPr="00610904">
        <w:rPr>
          <w:noProof w:val="0"/>
          <w:szCs w:val="20"/>
          <w:lang w:val="en-US"/>
        </w:rPr>
        <w:t>punished and […] could continue to affect other individuals in similar circumstances to Talía.” They emphasized that the need to investigate “should not be restricted to serious violations of civil rights related to offenses,” and that they should b</w:t>
      </w:r>
      <w:r w:rsidR="008E38B6" w:rsidRPr="00610904">
        <w:rPr>
          <w:noProof w:val="0"/>
          <w:szCs w:val="20"/>
          <w:lang w:val="en-US"/>
        </w:rPr>
        <w:t>e of an administrative, civil and</w:t>
      </w:r>
      <w:r w:rsidR="007E3CF8" w:rsidRPr="00610904">
        <w:rPr>
          <w:noProof w:val="0"/>
          <w:szCs w:val="20"/>
          <w:lang w:val="en-US"/>
        </w:rPr>
        <w:t xml:space="preserve"> constitutional nature.</w:t>
      </w:r>
    </w:p>
    <w:p w:rsidR="003040F7" w:rsidRPr="00610904" w:rsidRDefault="003040F7" w:rsidP="00610904">
      <w:pPr>
        <w:contextualSpacing/>
        <w:rPr>
          <w:noProof w:val="0"/>
          <w:spacing w:val="-2"/>
          <w:szCs w:val="20"/>
          <w:lang w:val="en-US"/>
        </w:rPr>
      </w:pPr>
    </w:p>
    <w:p w:rsidR="003040F7" w:rsidRPr="00610904" w:rsidRDefault="007E3CF8" w:rsidP="00610904">
      <w:pPr>
        <w:numPr>
          <w:ilvl w:val="0"/>
          <w:numId w:val="1"/>
        </w:numPr>
        <w:contextualSpacing/>
        <w:rPr>
          <w:noProof w:val="0"/>
          <w:spacing w:val="-2"/>
          <w:szCs w:val="20"/>
          <w:lang w:val="en-US"/>
        </w:rPr>
      </w:pPr>
      <w:r w:rsidRPr="00610904">
        <w:rPr>
          <w:noProof w:val="0"/>
          <w:spacing w:val="-2"/>
          <w:szCs w:val="20"/>
          <w:lang w:val="en-US"/>
        </w:rPr>
        <w:t>In previous cases, with regard to certain violations, the Court has established that the State must initiate, according to the case, disciplinary, administrative or criminal actions pursuant to its domestic laws, with regard to those responsible for different procedural and investigative irregularities.</w:t>
      </w:r>
      <w:r w:rsidRPr="00610904">
        <w:rPr>
          <w:rFonts w:cs="Times New Roman"/>
          <w:noProof w:val="0"/>
          <w:spacing w:val="-2"/>
          <w:szCs w:val="20"/>
          <w:vertAlign w:val="superscript"/>
          <w:lang w:val="en-US"/>
        </w:rPr>
        <w:footnoteReference w:id="374"/>
      </w:r>
      <w:r w:rsidRPr="00610904">
        <w:rPr>
          <w:noProof w:val="0"/>
          <w:spacing w:val="-2"/>
          <w:szCs w:val="20"/>
          <w:lang w:val="en-US"/>
        </w:rPr>
        <w:t xml:space="preserve"> In this case</w:t>
      </w:r>
      <w:r w:rsidR="003040F7" w:rsidRPr="00610904">
        <w:rPr>
          <w:noProof w:val="0"/>
          <w:spacing w:val="-2"/>
          <w:szCs w:val="20"/>
          <w:lang w:val="en-US"/>
        </w:rPr>
        <w:t xml:space="preserve">, </w:t>
      </w:r>
      <w:r w:rsidR="008E38B6" w:rsidRPr="00610904">
        <w:rPr>
          <w:noProof w:val="0"/>
          <w:spacing w:val="-2"/>
          <w:szCs w:val="20"/>
          <w:lang w:val="en-US"/>
        </w:rPr>
        <w:t>this</w:t>
      </w:r>
      <w:r w:rsidR="00A8072E" w:rsidRPr="00610904">
        <w:rPr>
          <w:noProof w:val="0"/>
          <w:spacing w:val="-2"/>
          <w:szCs w:val="20"/>
          <w:lang w:val="en-US"/>
        </w:rPr>
        <w:t xml:space="preserve"> Court</w:t>
      </w:r>
      <w:r w:rsidRPr="00610904">
        <w:rPr>
          <w:noProof w:val="0"/>
          <w:spacing w:val="-2"/>
          <w:szCs w:val="20"/>
          <w:lang w:val="en-US"/>
        </w:rPr>
        <w:t xml:space="preserve"> </w:t>
      </w:r>
      <w:r w:rsidR="008E38B6" w:rsidRPr="00610904">
        <w:rPr>
          <w:noProof w:val="0"/>
          <w:spacing w:val="-2"/>
          <w:szCs w:val="20"/>
          <w:lang w:val="en-US"/>
        </w:rPr>
        <w:t xml:space="preserve">has </w:t>
      </w:r>
      <w:r w:rsidRPr="00610904">
        <w:rPr>
          <w:noProof w:val="0"/>
          <w:spacing w:val="-2"/>
          <w:szCs w:val="20"/>
          <w:lang w:val="en-US"/>
        </w:rPr>
        <w:t>determined that</w:t>
      </w:r>
      <w:r w:rsidR="003040F7" w:rsidRPr="00610904">
        <w:rPr>
          <w:noProof w:val="0"/>
          <w:spacing w:val="-2"/>
          <w:szCs w:val="20"/>
          <w:lang w:val="en-US"/>
        </w:rPr>
        <w:t xml:space="preserve"> </w:t>
      </w:r>
      <w:r w:rsidR="009F3D78" w:rsidRPr="00610904">
        <w:rPr>
          <w:noProof w:val="0"/>
          <w:spacing w:val="-2"/>
          <w:szCs w:val="20"/>
          <w:lang w:val="en-US"/>
        </w:rPr>
        <w:t>the State</w:t>
      </w:r>
      <w:r w:rsidR="003040F7" w:rsidRPr="00610904">
        <w:rPr>
          <w:noProof w:val="0"/>
          <w:spacing w:val="-2"/>
          <w:szCs w:val="20"/>
          <w:lang w:val="en-US"/>
        </w:rPr>
        <w:t xml:space="preserve"> </w:t>
      </w:r>
      <w:r w:rsidRPr="00610904">
        <w:rPr>
          <w:noProof w:val="0"/>
          <w:spacing w:val="-2"/>
          <w:szCs w:val="20"/>
          <w:lang w:val="en-US"/>
        </w:rPr>
        <w:t xml:space="preserve">violated the judicial guarantee of a reasonable time </w:t>
      </w:r>
      <w:r w:rsidR="004A6E8B" w:rsidRPr="00610904">
        <w:rPr>
          <w:noProof w:val="0"/>
          <w:spacing w:val="-2"/>
          <w:szCs w:val="20"/>
          <w:lang w:val="en-US"/>
        </w:rPr>
        <w:t xml:space="preserve">in the </w:t>
      </w:r>
      <w:r w:rsidR="00521F86" w:rsidRPr="00610904">
        <w:rPr>
          <w:noProof w:val="0"/>
          <w:spacing w:val="-2"/>
          <w:szCs w:val="20"/>
          <w:lang w:val="en-US"/>
        </w:rPr>
        <w:t xml:space="preserve">criminal </w:t>
      </w:r>
      <w:r w:rsidRPr="00610904">
        <w:rPr>
          <w:noProof w:val="0"/>
          <w:spacing w:val="-2"/>
          <w:szCs w:val="20"/>
          <w:lang w:val="en-US"/>
        </w:rPr>
        <w:t xml:space="preserve">and civil </w:t>
      </w:r>
      <w:r w:rsidR="00521F86" w:rsidRPr="00610904">
        <w:rPr>
          <w:noProof w:val="0"/>
          <w:spacing w:val="-2"/>
          <w:szCs w:val="20"/>
          <w:lang w:val="en-US"/>
        </w:rPr>
        <w:t>proceedings</w:t>
      </w:r>
      <w:r w:rsidR="008E38B6" w:rsidRPr="00610904">
        <w:rPr>
          <w:noProof w:val="0"/>
          <w:spacing w:val="-2"/>
          <w:szCs w:val="20"/>
          <w:lang w:val="en-US"/>
        </w:rPr>
        <w:t xml:space="preserve"> to the detriment of Talía</w:t>
      </w:r>
      <w:r w:rsidR="00521F86" w:rsidRPr="00610904">
        <w:rPr>
          <w:noProof w:val="0"/>
          <w:spacing w:val="-2"/>
          <w:szCs w:val="20"/>
          <w:lang w:val="en-US"/>
        </w:rPr>
        <w:t xml:space="preserve"> </w:t>
      </w:r>
      <w:r w:rsidR="003040F7" w:rsidRPr="00610904">
        <w:rPr>
          <w:noProof w:val="0"/>
          <w:spacing w:val="-2"/>
          <w:szCs w:val="20"/>
          <w:lang w:val="en-US"/>
        </w:rPr>
        <w:t>(</w:t>
      </w:r>
      <w:r w:rsidR="003040F7" w:rsidRPr="00610904">
        <w:rPr>
          <w:i/>
          <w:noProof w:val="0"/>
          <w:spacing w:val="-2"/>
          <w:szCs w:val="20"/>
          <w:lang w:val="en-US"/>
        </w:rPr>
        <w:t xml:space="preserve">supra </w:t>
      </w:r>
      <w:r w:rsidR="006E502B" w:rsidRPr="00610904">
        <w:rPr>
          <w:noProof w:val="0"/>
          <w:spacing w:val="-2"/>
          <w:szCs w:val="20"/>
          <w:lang w:val="en-US"/>
        </w:rPr>
        <w:t>para.</w:t>
      </w:r>
      <w:r w:rsidR="00266721" w:rsidRPr="00610904">
        <w:rPr>
          <w:noProof w:val="0"/>
          <w:spacing w:val="-2"/>
          <w:szCs w:val="20"/>
          <w:lang w:val="en-US"/>
        </w:rPr>
        <w:t xml:space="preserve"> 318</w:t>
      </w:r>
      <w:r w:rsidR="003040F7" w:rsidRPr="00610904">
        <w:rPr>
          <w:noProof w:val="0"/>
          <w:spacing w:val="-2"/>
          <w:szCs w:val="20"/>
          <w:lang w:val="en-US"/>
        </w:rPr>
        <w:t xml:space="preserve">). </w:t>
      </w:r>
      <w:r w:rsidRPr="00610904">
        <w:rPr>
          <w:noProof w:val="0"/>
          <w:spacing w:val="-2"/>
          <w:szCs w:val="20"/>
          <w:lang w:val="en-US"/>
        </w:rPr>
        <w:t xml:space="preserve">However, it indicated that there was no evidence to show that the actions of the judicial authorities entailed an infringement of the </w:t>
      </w:r>
      <w:r w:rsidR="00830022" w:rsidRPr="00610904">
        <w:rPr>
          <w:noProof w:val="0"/>
          <w:spacing w:val="-2"/>
          <w:szCs w:val="20"/>
          <w:lang w:val="en-US"/>
        </w:rPr>
        <w:t>judicial protection</w:t>
      </w:r>
      <w:r w:rsidRPr="00610904">
        <w:rPr>
          <w:noProof w:val="0"/>
          <w:spacing w:val="-2"/>
          <w:szCs w:val="20"/>
          <w:lang w:val="en-US"/>
        </w:rPr>
        <w:t xml:space="preserve"> of</w:t>
      </w:r>
      <w:r w:rsidR="003040F7" w:rsidRPr="00610904">
        <w:rPr>
          <w:noProof w:val="0"/>
          <w:spacing w:val="-2"/>
          <w:szCs w:val="20"/>
          <w:lang w:val="en-US"/>
        </w:rPr>
        <w:t xml:space="preserve"> Teresa Lluy</w:t>
      </w:r>
      <w:r w:rsidR="009F3D78" w:rsidRPr="00610904">
        <w:rPr>
          <w:noProof w:val="0"/>
          <w:spacing w:val="-2"/>
          <w:szCs w:val="20"/>
          <w:lang w:val="en-US"/>
        </w:rPr>
        <w:t xml:space="preserve"> and </w:t>
      </w:r>
      <w:r w:rsidR="00CD3738" w:rsidRPr="00610904">
        <w:rPr>
          <w:noProof w:val="0"/>
          <w:spacing w:val="-2"/>
          <w:szCs w:val="20"/>
          <w:lang w:val="en-US"/>
        </w:rPr>
        <w:t>Talía</w:t>
      </w:r>
      <w:r w:rsidR="003040F7" w:rsidRPr="00610904">
        <w:rPr>
          <w:noProof w:val="0"/>
          <w:spacing w:val="-2"/>
          <w:szCs w:val="20"/>
          <w:lang w:val="en-US"/>
        </w:rPr>
        <w:t xml:space="preserve"> </w:t>
      </w:r>
      <w:r w:rsidRPr="00610904">
        <w:rPr>
          <w:noProof w:val="0"/>
          <w:spacing w:val="-2"/>
          <w:szCs w:val="20"/>
          <w:lang w:val="en-US"/>
        </w:rPr>
        <w:t xml:space="preserve">in relation to the civil and criminal proceedings </w:t>
      </w:r>
      <w:r w:rsidR="003040F7" w:rsidRPr="00610904">
        <w:rPr>
          <w:noProof w:val="0"/>
          <w:spacing w:val="-2"/>
          <w:szCs w:val="20"/>
          <w:lang w:val="en-US"/>
        </w:rPr>
        <w:t>(</w:t>
      </w:r>
      <w:r w:rsidR="003040F7" w:rsidRPr="00610904">
        <w:rPr>
          <w:i/>
          <w:noProof w:val="0"/>
          <w:spacing w:val="-2"/>
          <w:szCs w:val="20"/>
          <w:lang w:val="en-US"/>
        </w:rPr>
        <w:t xml:space="preserve">supra </w:t>
      </w:r>
      <w:r w:rsidR="006E502B" w:rsidRPr="00610904">
        <w:rPr>
          <w:noProof w:val="0"/>
          <w:spacing w:val="-2"/>
          <w:szCs w:val="20"/>
          <w:lang w:val="en-US"/>
        </w:rPr>
        <w:t>para.</w:t>
      </w:r>
      <w:r w:rsidR="00266721" w:rsidRPr="00610904">
        <w:rPr>
          <w:noProof w:val="0"/>
          <w:spacing w:val="-2"/>
          <w:szCs w:val="20"/>
          <w:lang w:val="en-US"/>
        </w:rPr>
        <w:t xml:space="preserve"> 318</w:t>
      </w:r>
      <w:r w:rsidR="00EF5865" w:rsidRPr="00610904">
        <w:rPr>
          <w:noProof w:val="0"/>
          <w:spacing w:val="-2"/>
          <w:szCs w:val="20"/>
          <w:lang w:val="en-US"/>
        </w:rPr>
        <w:t xml:space="preserve">). </w:t>
      </w:r>
      <w:r w:rsidRPr="00610904">
        <w:rPr>
          <w:noProof w:val="0"/>
          <w:spacing w:val="-2"/>
          <w:szCs w:val="20"/>
          <w:lang w:val="en-US"/>
        </w:rPr>
        <w:t xml:space="preserve">The Court also declared that the State had not violated Talía’s right to </w:t>
      </w:r>
      <w:r w:rsidR="00830022" w:rsidRPr="00610904">
        <w:rPr>
          <w:noProof w:val="0"/>
          <w:spacing w:val="-2"/>
          <w:szCs w:val="20"/>
          <w:lang w:val="en-US"/>
        </w:rPr>
        <w:t>judicial protection</w:t>
      </w:r>
      <w:r w:rsidR="003040F7" w:rsidRPr="00610904">
        <w:rPr>
          <w:noProof w:val="0"/>
          <w:spacing w:val="-2"/>
          <w:szCs w:val="20"/>
          <w:lang w:val="en-US"/>
        </w:rPr>
        <w:t xml:space="preserve"> </w:t>
      </w:r>
      <w:r w:rsidRPr="00610904">
        <w:rPr>
          <w:noProof w:val="0"/>
          <w:spacing w:val="-2"/>
          <w:szCs w:val="20"/>
          <w:lang w:val="en-US"/>
        </w:rPr>
        <w:t xml:space="preserve">in relation to the </w:t>
      </w:r>
      <w:r w:rsidRPr="00610904">
        <w:rPr>
          <w:i/>
          <w:noProof w:val="0"/>
          <w:spacing w:val="-2"/>
          <w:szCs w:val="20"/>
          <w:lang w:val="en-US"/>
        </w:rPr>
        <w:t xml:space="preserve">amparo </w:t>
      </w:r>
      <w:r w:rsidRPr="00610904">
        <w:rPr>
          <w:noProof w:val="0"/>
          <w:spacing w:val="-2"/>
          <w:szCs w:val="20"/>
          <w:lang w:val="en-US"/>
        </w:rPr>
        <w:t>proceeding</w:t>
      </w:r>
      <w:r w:rsidR="003040F7" w:rsidRPr="00610904">
        <w:rPr>
          <w:noProof w:val="0"/>
          <w:spacing w:val="-2"/>
          <w:szCs w:val="20"/>
          <w:lang w:val="en-US"/>
        </w:rPr>
        <w:t xml:space="preserve"> (</w:t>
      </w:r>
      <w:r w:rsidR="003040F7" w:rsidRPr="00610904">
        <w:rPr>
          <w:i/>
          <w:noProof w:val="0"/>
          <w:spacing w:val="-2"/>
          <w:szCs w:val="20"/>
          <w:lang w:val="en-US"/>
        </w:rPr>
        <w:t xml:space="preserve">supra </w:t>
      </w:r>
      <w:r w:rsidR="006E502B" w:rsidRPr="00610904">
        <w:rPr>
          <w:noProof w:val="0"/>
          <w:spacing w:val="-2"/>
          <w:szCs w:val="20"/>
          <w:lang w:val="en-US"/>
        </w:rPr>
        <w:t>para.</w:t>
      </w:r>
      <w:r w:rsidR="005F6DAA" w:rsidRPr="00610904">
        <w:rPr>
          <w:noProof w:val="0"/>
          <w:spacing w:val="-2"/>
          <w:szCs w:val="20"/>
          <w:lang w:val="en-US"/>
        </w:rPr>
        <w:t xml:space="preserve"> 335</w:t>
      </w:r>
      <w:r w:rsidR="003040F7" w:rsidRPr="00610904">
        <w:rPr>
          <w:noProof w:val="0"/>
          <w:spacing w:val="-2"/>
          <w:szCs w:val="20"/>
          <w:lang w:val="en-US"/>
        </w:rPr>
        <w:t>)</w:t>
      </w:r>
      <w:r w:rsidR="00EF5865" w:rsidRPr="00610904">
        <w:rPr>
          <w:noProof w:val="0"/>
          <w:spacing w:val="-2"/>
          <w:szCs w:val="20"/>
          <w:lang w:val="en-US"/>
        </w:rPr>
        <w:t xml:space="preserve">. </w:t>
      </w:r>
      <w:r w:rsidRPr="00610904">
        <w:rPr>
          <w:noProof w:val="0"/>
          <w:spacing w:val="-2"/>
          <w:szCs w:val="20"/>
          <w:lang w:val="en-US"/>
        </w:rPr>
        <w:t xml:space="preserve">Consequently, the Court does not find it pertinent to order </w:t>
      </w:r>
      <w:proofErr w:type="gramStart"/>
      <w:r w:rsidRPr="00610904">
        <w:rPr>
          <w:noProof w:val="0"/>
          <w:spacing w:val="-2"/>
          <w:szCs w:val="20"/>
          <w:lang w:val="en-US"/>
        </w:rPr>
        <w:t>a reparation</w:t>
      </w:r>
      <w:proofErr w:type="gramEnd"/>
      <w:r w:rsidRPr="00610904">
        <w:rPr>
          <w:noProof w:val="0"/>
          <w:spacing w:val="-2"/>
          <w:szCs w:val="20"/>
          <w:lang w:val="en-US"/>
        </w:rPr>
        <w:t xml:space="preserve"> with regard to the opening of new administrative, disciplinary or criminal investigations into the facts of this case. </w:t>
      </w:r>
    </w:p>
    <w:p w:rsidR="003040F7" w:rsidRPr="00610904" w:rsidRDefault="003040F7" w:rsidP="00610904">
      <w:pPr>
        <w:contextualSpacing/>
        <w:rPr>
          <w:noProof w:val="0"/>
          <w:spacing w:val="-2"/>
          <w:szCs w:val="20"/>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62" w:name="_Toc426108481"/>
      <w:bookmarkStart w:id="163" w:name="_Toc443399121"/>
      <w:r w:rsidRPr="00610904">
        <w:rPr>
          <w:rFonts w:eastAsia="Times New Roman" w:cs="Times New Roman"/>
          <w:b/>
          <w:bCs/>
          <w:i/>
          <w:noProof w:val="0"/>
          <w:szCs w:val="20"/>
          <w:lang w:val="en-US"/>
        </w:rPr>
        <w:t xml:space="preserve">C. </w:t>
      </w:r>
      <w:r w:rsidR="007E3CF8" w:rsidRPr="00610904">
        <w:rPr>
          <w:rFonts w:eastAsia="Times New Roman" w:cs="Times New Roman"/>
          <w:b/>
          <w:bCs/>
          <w:i/>
          <w:noProof w:val="0"/>
          <w:szCs w:val="20"/>
          <w:lang w:val="en-US"/>
        </w:rPr>
        <w:t>Measures of restitution, rehabilitation and satisfaction,</w:t>
      </w:r>
      <w:r w:rsidR="009F3D78" w:rsidRPr="00610904">
        <w:rPr>
          <w:rFonts w:eastAsia="Times New Roman" w:cs="Times New Roman"/>
          <w:b/>
          <w:bCs/>
          <w:i/>
          <w:noProof w:val="0"/>
          <w:szCs w:val="20"/>
          <w:lang w:val="en-US"/>
        </w:rPr>
        <w:t xml:space="preserve"> and </w:t>
      </w:r>
      <w:r w:rsidR="00B45E43" w:rsidRPr="00610904">
        <w:rPr>
          <w:rFonts w:eastAsia="Times New Roman" w:cs="Times New Roman"/>
          <w:b/>
          <w:bCs/>
          <w:i/>
          <w:noProof w:val="0"/>
          <w:szCs w:val="20"/>
          <w:lang w:val="en-US"/>
        </w:rPr>
        <w:t>guarantees of non-repetition</w:t>
      </w:r>
      <w:bookmarkEnd w:id="159"/>
      <w:bookmarkEnd w:id="160"/>
      <w:bookmarkEnd w:id="161"/>
      <w:bookmarkEnd w:id="162"/>
      <w:bookmarkEnd w:id="163"/>
    </w:p>
    <w:p w:rsidR="003040F7" w:rsidRPr="00610904" w:rsidRDefault="003040F7" w:rsidP="00610904">
      <w:pPr>
        <w:rPr>
          <w:noProof w:val="0"/>
          <w:lang w:val="en-US"/>
        </w:rPr>
      </w:pPr>
      <w:bookmarkStart w:id="164" w:name="_Toc375560979"/>
      <w:bookmarkStart w:id="165" w:name="_Toc406580704"/>
    </w:p>
    <w:p w:rsidR="003040F7" w:rsidRPr="00610904" w:rsidRDefault="003040F7" w:rsidP="00610904">
      <w:pPr>
        <w:ind w:left="709" w:firstLine="708"/>
        <w:outlineLvl w:val="2"/>
        <w:rPr>
          <w:i/>
          <w:noProof w:val="0"/>
          <w:spacing w:val="-2"/>
          <w:lang w:val="en-US"/>
        </w:rPr>
      </w:pPr>
      <w:bookmarkStart w:id="166" w:name="_Toc426108482"/>
      <w:bookmarkStart w:id="167" w:name="_Toc443399122"/>
      <w:r w:rsidRPr="00610904">
        <w:rPr>
          <w:i/>
          <w:noProof w:val="0"/>
          <w:spacing w:val="-2"/>
          <w:lang w:val="en-US"/>
        </w:rPr>
        <w:t>C.1)</w:t>
      </w:r>
      <w:bookmarkEnd w:id="164"/>
      <w:r w:rsidRPr="00610904">
        <w:rPr>
          <w:i/>
          <w:noProof w:val="0"/>
          <w:spacing w:val="-2"/>
          <w:lang w:val="en-US"/>
        </w:rPr>
        <w:tab/>
      </w:r>
      <w:bookmarkEnd w:id="165"/>
      <w:r w:rsidR="007E3CF8" w:rsidRPr="00610904">
        <w:rPr>
          <w:i/>
          <w:noProof w:val="0"/>
          <w:spacing w:val="-2"/>
          <w:lang w:val="en-US"/>
        </w:rPr>
        <w:t>Measures of restitution</w:t>
      </w:r>
      <w:bookmarkEnd w:id="166"/>
      <w:bookmarkEnd w:id="167"/>
    </w:p>
    <w:p w:rsidR="003040F7" w:rsidRPr="00610904" w:rsidRDefault="003040F7" w:rsidP="00610904">
      <w:pPr>
        <w:widowControl w:val="0"/>
        <w:adjustRightInd w:val="0"/>
        <w:textAlignment w:val="baseline"/>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zCs w:val="20"/>
          <w:lang w:val="en-US"/>
        </w:rPr>
        <w:t>The representatives</w:t>
      </w:r>
      <w:r w:rsidR="003040F7" w:rsidRPr="00610904">
        <w:rPr>
          <w:b/>
          <w:i/>
          <w:noProof w:val="0"/>
          <w:szCs w:val="20"/>
          <w:lang w:val="en-US"/>
        </w:rPr>
        <w:t xml:space="preserve"> </w:t>
      </w:r>
      <w:r w:rsidR="007E3CF8" w:rsidRPr="00610904">
        <w:rPr>
          <w:noProof w:val="0"/>
          <w:szCs w:val="20"/>
          <w:lang w:val="en-US"/>
        </w:rPr>
        <w:t>argued that, since it was not possible to restitute the right violated in this case, “cons</w:t>
      </w:r>
      <w:r w:rsidR="008E38B6" w:rsidRPr="00610904">
        <w:rPr>
          <w:noProof w:val="0"/>
          <w:szCs w:val="20"/>
          <w:lang w:val="en-US"/>
        </w:rPr>
        <w:t>id</w:t>
      </w:r>
      <w:r w:rsidR="007E3CF8" w:rsidRPr="00610904">
        <w:rPr>
          <w:noProof w:val="0"/>
          <w:szCs w:val="20"/>
          <w:lang w:val="en-US"/>
        </w:rPr>
        <w:t>ering that the violation has affected every moment of the lives of th</w:t>
      </w:r>
      <w:r w:rsidR="008E38B6" w:rsidRPr="00610904">
        <w:rPr>
          <w:noProof w:val="0"/>
          <w:szCs w:val="20"/>
          <w:lang w:val="en-US"/>
        </w:rPr>
        <w:t>e</w:t>
      </w:r>
      <w:r w:rsidR="007E3CF8" w:rsidRPr="00610904">
        <w:rPr>
          <w:noProof w:val="0"/>
          <w:szCs w:val="20"/>
          <w:lang w:val="en-US"/>
        </w:rPr>
        <w:t xml:space="preserve"> family </w:t>
      </w:r>
      <w:r w:rsidR="008E38B6" w:rsidRPr="00610904">
        <w:rPr>
          <w:noProof w:val="0"/>
          <w:szCs w:val="20"/>
          <w:lang w:val="en-US"/>
        </w:rPr>
        <w:t xml:space="preserve">members </w:t>
      </w:r>
      <w:r w:rsidR="007E3CF8" w:rsidRPr="00610904">
        <w:rPr>
          <w:noProof w:val="0"/>
          <w:szCs w:val="20"/>
          <w:lang w:val="en-US"/>
        </w:rPr>
        <w:t>in all their social relations,” the compensation granted should not be less than US$</w:t>
      </w:r>
      <w:r w:rsidR="003040F7" w:rsidRPr="00610904">
        <w:rPr>
          <w:noProof w:val="0"/>
          <w:szCs w:val="20"/>
          <w:lang w:val="en-US"/>
        </w:rPr>
        <w:t>100</w:t>
      </w:r>
      <w:r w:rsidR="007916C1" w:rsidRPr="00610904">
        <w:rPr>
          <w:noProof w:val="0"/>
          <w:szCs w:val="20"/>
          <w:lang w:val="en-US"/>
        </w:rPr>
        <w:t>,000.00</w:t>
      </w:r>
      <w:r w:rsidR="007E3CF8" w:rsidRPr="00610904">
        <w:rPr>
          <w:noProof w:val="0"/>
          <w:szCs w:val="20"/>
          <w:lang w:val="en-US"/>
        </w:rPr>
        <w:t xml:space="preserve"> (one hundred</w:t>
      </w:r>
      <w:r w:rsidR="003040F7" w:rsidRPr="00610904">
        <w:rPr>
          <w:noProof w:val="0"/>
          <w:szCs w:val="20"/>
          <w:lang w:val="en-US"/>
        </w:rPr>
        <w:t xml:space="preserve"> </w:t>
      </w:r>
      <w:r w:rsidR="007916C1" w:rsidRPr="00610904">
        <w:rPr>
          <w:noProof w:val="0"/>
          <w:szCs w:val="20"/>
          <w:lang w:val="en-US"/>
        </w:rPr>
        <w:t>thousand United States dollars</w:t>
      </w:r>
      <w:r w:rsidR="003040F7" w:rsidRPr="00610904">
        <w:rPr>
          <w:noProof w:val="0"/>
          <w:szCs w:val="20"/>
          <w:lang w:val="en-US"/>
        </w:rPr>
        <w:t>)</w:t>
      </w:r>
      <w:r w:rsidR="00D6412B" w:rsidRPr="00610904">
        <w:rPr>
          <w:noProof w:val="0"/>
          <w:szCs w:val="20"/>
          <w:lang w:val="en-US"/>
        </w:rPr>
        <w:t xml:space="preserve"> </w:t>
      </w:r>
      <w:r w:rsidR="007E3CF8" w:rsidRPr="00610904">
        <w:rPr>
          <w:noProof w:val="0"/>
          <w:szCs w:val="20"/>
          <w:lang w:val="en-US"/>
        </w:rPr>
        <w:t>for each victim</w:t>
      </w:r>
      <w:r w:rsidR="00D6412B" w:rsidRPr="00610904">
        <w:rPr>
          <w:noProof w:val="0"/>
          <w:szCs w:val="20"/>
          <w:lang w:val="en-US"/>
        </w:rPr>
        <w:t>.</w:t>
      </w:r>
    </w:p>
    <w:p w:rsidR="003040F7" w:rsidRPr="00610904" w:rsidRDefault="003040F7" w:rsidP="00610904">
      <w:pPr>
        <w:contextualSpacing/>
        <w:rPr>
          <w:noProof w:val="0"/>
          <w:spacing w:val="-2"/>
          <w:szCs w:val="20"/>
          <w:lang w:val="en-US"/>
        </w:rPr>
      </w:pPr>
    </w:p>
    <w:p w:rsidR="003040F7" w:rsidRPr="00610904" w:rsidRDefault="007E3CF8" w:rsidP="00610904">
      <w:pPr>
        <w:numPr>
          <w:ilvl w:val="0"/>
          <w:numId w:val="1"/>
        </w:numPr>
        <w:contextualSpacing/>
        <w:rPr>
          <w:noProof w:val="0"/>
          <w:spacing w:val="-2"/>
          <w:szCs w:val="20"/>
          <w:lang w:val="en-US"/>
        </w:rPr>
      </w:pPr>
      <w:r w:rsidRPr="00610904">
        <w:rPr>
          <w:noProof w:val="0"/>
          <w:szCs w:val="20"/>
          <w:lang w:val="en-US"/>
        </w:rPr>
        <w:t>Neither the State nor the Commission referred to this request</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7E3CF8" w:rsidP="00610904">
      <w:pPr>
        <w:numPr>
          <w:ilvl w:val="0"/>
          <w:numId w:val="1"/>
        </w:numPr>
        <w:contextualSpacing/>
        <w:rPr>
          <w:noProof w:val="0"/>
          <w:spacing w:val="-2"/>
          <w:szCs w:val="20"/>
          <w:lang w:val="en-US"/>
        </w:rPr>
      </w:pPr>
      <w:r w:rsidRPr="00610904">
        <w:rPr>
          <w:noProof w:val="0"/>
          <w:spacing w:val="-2"/>
          <w:szCs w:val="20"/>
          <w:lang w:val="en-US"/>
        </w:rPr>
        <w:t>In this case</w:t>
      </w:r>
      <w:r w:rsidR="003040F7" w:rsidRPr="00610904">
        <w:rPr>
          <w:noProof w:val="0"/>
          <w:spacing w:val="-2"/>
          <w:szCs w:val="20"/>
          <w:lang w:val="en-US"/>
        </w:rPr>
        <w:t xml:space="preserve">, </w:t>
      </w:r>
      <w:r w:rsidR="009F3D78" w:rsidRPr="00610904">
        <w:rPr>
          <w:noProof w:val="0"/>
          <w:spacing w:val="-2"/>
          <w:szCs w:val="20"/>
          <w:lang w:val="en-US"/>
        </w:rPr>
        <w:t>the Court</w:t>
      </w:r>
      <w:r w:rsidRPr="00610904">
        <w:rPr>
          <w:noProof w:val="0"/>
          <w:spacing w:val="-2"/>
          <w:szCs w:val="20"/>
          <w:lang w:val="en-US"/>
        </w:rPr>
        <w:t xml:space="preserve"> notes that it is not possible to restore the victims to their situation prior to the violations declared in this case;</w:t>
      </w:r>
      <w:r w:rsidR="003040F7" w:rsidRPr="00610904">
        <w:rPr>
          <w:noProof w:val="0"/>
          <w:spacing w:val="-2"/>
          <w:szCs w:val="20"/>
          <w:lang w:val="en-US"/>
        </w:rPr>
        <w:t xml:space="preserve"> </w:t>
      </w:r>
      <w:r w:rsidRPr="00610904">
        <w:rPr>
          <w:noProof w:val="0"/>
          <w:spacing w:val="-2"/>
          <w:szCs w:val="20"/>
          <w:lang w:val="en-US"/>
        </w:rPr>
        <w:t xml:space="preserve">in other words, before </w:t>
      </w:r>
      <w:r w:rsidR="00CD3738" w:rsidRPr="00610904">
        <w:rPr>
          <w:noProof w:val="0"/>
          <w:szCs w:val="20"/>
          <w:lang w:val="en-US"/>
        </w:rPr>
        <w:t>Talía</w:t>
      </w:r>
      <w:r w:rsidR="003040F7" w:rsidRPr="00610904">
        <w:rPr>
          <w:noProof w:val="0"/>
          <w:spacing w:val="-2"/>
          <w:szCs w:val="20"/>
          <w:lang w:val="en-US"/>
        </w:rPr>
        <w:t xml:space="preserve"> </w:t>
      </w:r>
      <w:r w:rsidRPr="00610904">
        <w:rPr>
          <w:noProof w:val="0"/>
          <w:spacing w:val="-2"/>
          <w:szCs w:val="20"/>
          <w:lang w:val="en-US"/>
        </w:rPr>
        <w:t xml:space="preserve">was infected with HIV. Consequently, the Court will assess this request made by </w:t>
      </w:r>
      <w:r w:rsidR="009F3D78" w:rsidRPr="00610904">
        <w:rPr>
          <w:noProof w:val="0"/>
          <w:spacing w:val="-2"/>
          <w:szCs w:val="20"/>
          <w:lang w:val="en-US"/>
        </w:rPr>
        <w:t>the representatives</w:t>
      </w:r>
      <w:r w:rsidR="003040F7" w:rsidRPr="00610904">
        <w:rPr>
          <w:noProof w:val="0"/>
          <w:spacing w:val="-2"/>
          <w:szCs w:val="20"/>
          <w:lang w:val="en-US"/>
        </w:rPr>
        <w:t xml:space="preserve"> </w:t>
      </w:r>
      <w:r w:rsidRPr="00610904">
        <w:rPr>
          <w:noProof w:val="0"/>
          <w:spacing w:val="-2"/>
          <w:szCs w:val="20"/>
          <w:lang w:val="en-US"/>
        </w:rPr>
        <w:t xml:space="preserve">in the context of the </w:t>
      </w:r>
      <w:r w:rsidR="007916C1" w:rsidRPr="00610904">
        <w:rPr>
          <w:noProof w:val="0"/>
          <w:spacing w:val="-2"/>
          <w:szCs w:val="20"/>
          <w:lang w:val="en-US"/>
        </w:rPr>
        <w:t>compensation</w:t>
      </w:r>
      <w:r w:rsidR="003040F7" w:rsidRPr="00610904">
        <w:rPr>
          <w:noProof w:val="0"/>
          <w:spacing w:val="-2"/>
          <w:szCs w:val="20"/>
          <w:lang w:val="en-US"/>
        </w:rPr>
        <w:t xml:space="preserve"> </w:t>
      </w:r>
      <w:r w:rsidRPr="00610904">
        <w:rPr>
          <w:noProof w:val="0"/>
          <w:spacing w:val="-2"/>
          <w:szCs w:val="20"/>
          <w:lang w:val="en-US"/>
        </w:rPr>
        <w:t>for</w:t>
      </w:r>
      <w:r w:rsidR="003040F7" w:rsidRPr="00610904">
        <w:rPr>
          <w:noProof w:val="0"/>
          <w:spacing w:val="-2"/>
          <w:szCs w:val="20"/>
          <w:lang w:val="en-US"/>
        </w:rPr>
        <w:t xml:space="preserve"> </w:t>
      </w:r>
      <w:r w:rsidR="00830022" w:rsidRPr="00610904">
        <w:rPr>
          <w:noProof w:val="0"/>
          <w:spacing w:val="-2"/>
          <w:szCs w:val="20"/>
          <w:lang w:val="en-US"/>
        </w:rPr>
        <w:t>non-pecuniary damage</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3040F7" w:rsidP="00610904">
      <w:pPr>
        <w:ind w:left="709" w:firstLine="708"/>
        <w:outlineLvl w:val="2"/>
        <w:rPr>
          <w:i/>
          <w:noProof w:val="0"/>
          <w:spacing w:val="-2"/>
          <w:lang w:val="en-US"/>
        </w:rPr>
      </w:pPr>
      <w:bookmarkStart w:id="168" w:name="_Toc426108483"/>
      <w:bookmarkStart w:id="169" w:name="_Toc443399123"/>
      <w:r w:rsidRPr="00610904">
        <w:rPr>
          <w:i/>
          <w:noProof w:val="0"/>
          <w:spacing w:val="-2"/>
          <w:lang w:val="en-US"/>
        </w:rPr>
        <w:t>C.2)</w:t>
      </w:r>
      <w:r w:rsidRPr="00610904">
        <w:rPr>
          <w:i/>
          <w:noProof w:val="0"/>
          <w:spacing w:val="-2"/>
          <w:lang w:val="en-US"/>
        </w:rPr>
        <w:tab/>
      </w:r>
      <w:r w:rsidR="007E3CF8" w:rsidRPr="00610904">
        <w:rPr>
          <w:i/>
          <w:noProof w:val="0"/>
          <w:spacing w:val="-2"/>
          <w:lang w:val="en-US"/>
        </w:rPr>
        <w:t>Measures of rehabilitation</w:t>
      </w:r>
      <w:bookmarkEnd w:id="168"/>
      <w:bookmarkEnd w:id="169"/>
    </w:p>
    <w:p w:rsidR="003040F7" w:rsidRPr="00610904" w:rsidRDefault="003040F7" w:rsidP="00610904">
      <w:pPr>
        <w:contextualSpacing/>
        <w:rPr>
          <w:noProof w:val="0"/>
          <w:spacing w:val="-2"/>
          <w:szCs w:val="20"/>
          <w:lang w:val="en-US"/>
        </w:rPr>
      </w:pPr>
    </w:p>
    <w:p w:rsidR="003040F7" w:rsidRPr="00610904" w:rsidRDefault="002F5BBA" w:rsidP="00610904">
      <w:pPr>
        <w:numPr>
          <w:ilvl w:val="0"/>
          <w:numId w:val="1"/>
        </w:numPr>
        <w:contextualSpacing/>
        <w:rPr>
          <w:noProof w:val="0"/>
          <w:spacing w:val="-2"/>
          <w:szCs w:val="20"/>
          <w:lang w:val="en-US"/>
        </w:rPr>
      </w:pPr>
      <w:r w:rsidRPr="00610904">
        <w:rPr>
          <w:rFonts w:eastAsia="MS Mincho"/>
          <w:noProof w:val="0"/>
          <w:spacing w:val="-2"/>
          <w:szCs w:val="20"/>
          <w:lang w:val="en-US"/>
        </w:rPr>
        <w:t>The Commission</w:t>
      </w:r>
      <w:r w:rsidR="003040F7" w:rsidRPr="00610904">
        <w:rPr>
          <w:rFonts w:eastAsia="MS Mincho"/>
          <w:noProof w:val="0"/>
          <w:spacing w:val="-2"/>
          <w:szCs w:val="20"/>
          <w:lang w:val="en-US"/>
        </w:rPr>
        <w:t xml:space="preserve"> </w:t>
      </w:r>
      <w:r w:rsidR="003040F7" w:rsidRPr="00610904">
        <w:rPr>
          <w:noProof w:val="0"/>
          <w:szCs w:val="20"/>
          <w:lang w:val="en-US"/>
        </w:rPr>
        <w:t>recom</w:t>
      </w:r>
      <w:r w:rsidR="008E38B6" w:rsidRPr="00610904">
        <w:rPr>
          <w:noProof w:val="0"/>
          <w:szCs w:val="20"/>
          <w:lang w:val="en-US"/>
        </w:rPr>
        <w:t>mended</w:t>
      </w:r>
      <w:r w:rsidR="007E3CF8" w:rsidRPr="00610904">
        <w:rPr>
          <w:noProof w:val="0"/>
          <w:szCs w:val="20"/>
          <w:lang w:val="en-US"/>
        </w:rPr>
        <w:t xml:space="preserve"> that the State provide, in consultation with</w:t>
      </w:r>
      <w:r w:rsidR="003040F7" w:rsidRPr="00610904">
        <w:rPr>
          <w:noProof w:val="0"/>
          <w:szCs w:val="20"/>
          <w:lang w:val="en-US"/>
        </w:rPr>
        <w:t xml:space="preserve"> </w:t>
      </w:r>
      <w:r w:rsidR="00CD3738" w:rsidRPr="00610904">
        <w:rPr>
          <w:noProof w:val="0"/>
          <w:szCs w:val="20"/>
          <w:lang w:val="en-US"/>
        </w:rPr>
        <w:t>Talía</w:t>
      </w:r>
      <w:r w:rsidR="003040F7" w:rsidRPr="00610904">
        <w:rPr>
          <w:noProof w:val="0"/>
          <w:szCs w:val="20"/>
          <w:lang w:val="en-US"/>
        </w:rPr>
        <w:t xml:space="preserve">, </w:t>
      </w:r>
      <w:r w:rsidR="008E38B6" w:rsidRPr="00610904">
        <w:rPr>
          <w:noProof w:val="0"/>
          <w:szCs w:val="20"/>
          <w:lang w:val="en-US"/>
        </w:rPr>
        <w:t xml:space="preserve">the specialized medical treatment that she requires, </w:t>
      </w:r>
      <w:r w:rsidR="003040F7" w:rsidRPr="00610904">
        <w:rPr>
          <w:noProof w:val="0"/>
          <w:szCs w:val="20"/>
          <w:lang w:val="en-US"/>
        </w:rPr>
        <w:t>“</w:t>
      </w:r>
      <w:r w:rsidR="008E38B6" w:rsidRPr="00610904">
        <w:rPr>
          <w:noProof w:val="0"/>
          <w:szCs w:val="20"/>
          <w:lang w:val="en-US"/>
        </w:rPr>
        <w:t>immediately and permanently.</w:t>
      </w:r>
      <w:r w:rsidR="007E3CF8" w:rsidRPr="00610904">
        <w:rPr>
          <w:noProof w:val="0"/>
          <w:szCs w:val="20"/>
          <w:lang w:val="en-US"/>
        </w:rPr>
        <w:t>”</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rFonts w:eastAsia="MS Mincho"/>
          <w:noProof w:val="0"/>
          <w:spacing w:val="-2"/>
          <w:szCs w:val="20"/>
          <w:lang w:val="en-US"/>
        </w:rPr>
        <w:t>The representatives</w:t>
      </w:r>
      <w:r w:rsidR="003040F7" w:rsidRPr="00610904">
        <w:rPr>
          <w:noProof w:val="0"/>
          <w:spacing w:val="-2"/>
          <w:szCs w:val="20"/>
          <w:lang w:val="en-US"/>
        </w:rPr>
        <w:t xml:space="preserve"> </w:t>
      </w:r>
      <w:r w:rsidR="00E2523C" w:rsidRPr="00610904">
        <w:rPr>
          <w:noProof w:val="0"/>
          <w:spacing w:val="-2"/>
          <w:szCs w:val="20"/>
          <w:lang w:val="en-US"/>
        </w:rPr>
        <w:t>requested that</w:t>
      </w:r>
      <w:r w:rsidR="003040F7" w:rsidRPr="00610904">
        <w:rPr>
          <w:noProof w:val="0"/>
          <w:spacing w:val="-2"/>
          <w:szCs w:val="20"/>
          <w:lang w:val="en-US"/>
        </w:rPr>
        <w:t xml:space="preserve">, </w:t>
      </w:r>
      <w:r w:rsidR="00E2523C" w:rsidRPr="00610904">
        <w:rPr>
          <w:noProof w:val="0"/>
          <w:spacing w:val="-2"/>
          <w:szCs w:val="20"/>
          <w:lang w:val="en-US"/>
        </w:rPr>
        <w:t>through</w:t>
      </w:r>
      <w:r w:rsidR="00215C41" w:rsidRPr="00610904">
        <w:rPr>
          <w:noProof w:val="0"/>
          <w:spacing w:val="-2"/>
          <w:szCs w:val="20"/>
          <w:lang w:val="en-US"/>
        </w:rPr>
        <w:t xml:space="preserve"> the Ministry of Health</w:t>
      </w:r>
      <w:r w:rsidR="003040F7" w:rsidRPr="00610904">
        <w:rPr>
          <w:noProof w:val="0"/>
          <w:spacing w:val="-2"/>
          <w:szCs w:val="20"/>
          <w:lang w:val="en-US"/>
        </w:rPr>
        <w:t xml:space="preserve">, </w:t>
      </w:r>
      <w:r w:rsidR="00CD3738" w:rsidRPr="00610904">
        <w:rPr>
          <w:noProof w:val="0"/>
          <w:spacing w:val="-2"/>
          <w:szCs w:val="20"/>
          <w:lang w:val="en-US"/>
        </w:rPr>
        <w:t>Talía</w:t>
      </w:r>
      <w:r w:rsidR="003040F7" w:rsidRPr="00610904">
        <w:rPr>
          <w:noProof w:val="0"/>
          <w:spacing w:val="-2"/>
          <w:szCs w:val="20"/>
          <w:lang w:val="en-US"/>
        </w:rPr>
        <w:t xml:space="preserve"> </w:t>
      </w:r>
      <w:r w:rsidR="00E2523C" w:rsidRPr="00610904">
        <w:rPr>
          <w:noProof w:val="0"/>
          <w:spacing w:val="-2"/>
          <w:szCs w:val="20"/>
          <w:lang w:val="en-US"/>
        </w:rPr>
        <w:t>be</w:t>
      </w:r>
      <w:r w:rsidR="008E38B6" w:rsidRPr="00610904">
        <w:rPr>
          <w:noProof w:val="0"/>
          <w:spacing w:val="-2"/>
          <w:szCs w:val="20"/>
          <w:lang w:val="en-US"/>
        </w:rPr>
        <w:t xml:space="preserve"> </w:t>
      </w:r>
      <w:r w:rsidR="00E2523C" w:rsidRPr="00610904">
        <w:rPr>
          <w:noProof w:val="0"/>
          <w:spacing w:val="-2"/>
          <w:szCs w:val="20"/>
          <w:lang w:val="en-US"/>
        </w:rPr>
        <w:t>provided with the necessary health care, including medical examinations, the best medicines</w:t>
      </w:r>
      <w:r w:rsidR="008E38B6" w:rsidRPr="00610904">
        <w:rPr>
          <w:noProof w:val="0"/>
          <w:spacing w:val="-2"/>
          <w:szCs w:val="20"/>
          <w:lang w:val="en-US"/>
        </w:rPr>
        <w:t>,</w:t>
      </w:r>
      <w:r w:rsidR="00E2523C" w:rsidRPr="00610904">
        <w:rPr>
          <w:noProof w:val="0"/>
          <w:spacing w:val="-2"/>
          <w:szCs w:val="20"/>
          <w:lang w:val="en-US"/>
        </w:rPr>
        <w:t xml:space="preserve"> and appropriate medical consu</w:t>
      </w:r>
      <w:r w:rsidR="008E38B6" w:rsidRPr="00610904">
        <w:rPr>
          <w:noProof w:val="0"/>
          <w:spacing w:val="-2"/>
          <w:szCs w:val="20"/>
          <w:lang w:val="en-US"/>
        </w:rPr>
        <w:t>l</w:t>
      </w:r>
      <w:r w:rsidR="00E2523C" w:rsidRPr="00610904">
        <w:rPr>
          <w:noProof w:val="0"/>
          <w:spacing w:val="-2"/>
          <w:szCs w:val="20"/>
          <w:lang w:val="en-US"/>
        </w:rPr>
        <w:t>tations. In addition, they asked that a treatment plan be drawn up that included “a contingency plan in case there is a change in the authorities</w:t>
      </w:r>
      <w:r w:rsidR="008E38B6" w:rsidRPr="00610904">
        <w:rPr>
          <w:noProof w:val="0"/>
          <w:spacing w:val="-2"/>
          <w:szCs w:val="20"/>
          <w:lang w:val="en-US"/>
        </w:rPr>
        <w:t>,</w:t>
      </w:r>
      <w:r w:rsidR="00E2523C" w:rsidRPr="00610904">
        <w:rPr>
          <w:noProof w:val="0"/>
          <w:spacing w:val="-2"/>
          <w:szCs w:val="20"/>
          <w:lang w:val="en-US"/>
        </w:rPr>
        <w:t xml:space="preserve"> or in any other situation that could arise</w:t>
      </w:r>
      <w:r w:rsidR="008E38B6" w:rsidRPr="00610904">
        <w:rPr>
          <w:noProof w:val="0"/>
          <w:spacing w:val="-2"/>
          <w:szCs w:val="20"/>
          <w:lang w:val="en-US"/>
        </w:rPr>
        <w:t>,</w:t>
      </w:r>
      <w:r w:rsidR="00E2523C" w:rsidRPr="00610904">
        <w:rPr>
          <w:noProof w:val="0"/>
          <w:spacing w:val="-2"/>
          <w:szCs w:val="20"/>
          <w:lang w:val="en-US"/>
        </w:rPr>
        <w:t xml:space="preserve"> in order to preve</w:t>
      </w:r>
      <w:r w:rsidR="008E38B6" w:rsidRPr="00610904">
        <w:rPr>
          <w:noProof w:val="0"/>
          <w:spacing w:val="-2"/>
          <w:szCs w:val="20"/>
          <w:lang w:val="en-US"/>
        </w:rPr>
        <w:t>nt interruptions in the service</w:t>
      </w:r>
      <w:r w:rsidR="00E2523C" w:rsidRPr="00610904">
        <w:rPr>
          <w:noProof w:val="0"/>
          <w:spacing w:val="-2"/>
          <w:szCs w:val="20"/>
          <w:lang w:val="en-US"/>
        </w:rPr>
        <w:t xml:space="preserve"> and to ensure her right to health and life.” They also reiterated the need for the treatment to be prompt, friendly and of high quality. Also, in their final written arguments, they asked that the recommendations made by expert witness Diana Murcia be taken into account. She had indicated that “Talía and her family should undergo a therapeutic procedure for at least eight </w:t>
      </w:r>
      <w:r w:rsidR="00E2523C" w:rsidRPr="00610904">
        <w:rPr>
          <w:noProof w:val="0"/>
          <w:spacing w:val="-2"/>
          <w:szCs w:val="20"/>
          <w:lang w:val="en-US"/>
        </w:rPr>
        <w:lastRenderedPageBreak/>
        <w:t>months, with a minimum of three sessions a month,” as well as an evaluation following the proc</w:t>
      </w:r>
      <w:r w:rsidR="008E38B6" w:rsidRPr="00610904">
        <w:rPr>
          <w:noProof w:val="0"/>
          <w:spacing w:val="-2"/>
          <w:szCs w:val="20"/>
          <w:lang w:val="en-US"/>
        </w:rPr>
        <w:t>edure to determine whether it was</w:t>
      </w:r>
      <w:r w:rsidR="00E2523C" w:rsidRPr="00610904">
        <w:rPr>
          <w:noProof w:val="0"/>
          <w:spacing w:val="-2"/>
          <w:szCs w:val="20"/>
          <w:lang w:val="en-US"/>
        </w:rPr>
        <w:t xml:space="preserve"> necessary to prolong the therapy or change the approach. Regarding the health problems suffered by </w:t>
      </w:r>
      <w:r w:rsidR="008E38B6" w:rsidRPr="00610904">
        <w:rPr>
          <w:noProof w:val="0"/>
          <w:spacing w:val="-2"/>
          <w:szCs w:val="20"/>
          <w:lang w:val="en-US"/>
        </w:rPr>
        <w:t>T</w:t>
      </w:r>
      <w:r w:rsidR="003040F7" w:rsidRPr="00610904">
        <w:rPr>
          <w:noProof w:val="0"/>
          <w:spacing w:val="-2"/>
          <w:szCs w:val="20"/>
          <w:lang w:val="en-US"/>
        </w:rPr>
        <w:t xml:space="preserve">eresa </w:t>
      </w:r>
      <w:r w:rsidR="005550B0" w:rsidRPr="00610904">
        <w:rPr>
          <w:noProof w:val="0"/>
          <w:spacing w:val="-2"/>
          <w:szCs w:val="20"/>
          <w:lang w:val="en-US"/>
        </w:rPr>
        <w:t>and Iván</w:t>
      </w:r>
      <w:r w:rsidR="003040F7" w:rsidRPr="00610904">
        <w:rPr>
          <w:noProof w:val="0"/>
          <w:spacing w:val="-2"/>
          <w:szCs w:val="20"/>
          <w:lang w:val="en-US"/>
        </w:rPr>
        <w:t xml:space="preserve"> Lluy, </w:t>
      </w:r>
      <w:r w:rsidRPr="00610904">
        <w:rPr>
          <w:noProof w:val="0"/>
          <w:spacing w:val="-2"/>
          <w:szCs w:val="20"/>
          <w:lang w:val="en-US"/>
        </w:rPr>
        <w:t>the representatives</w:t>
      </w:r>
      <w:r w:rsidR="003040F7" w:rsidRPr="00610904">
        <w:rPr>
          <w:noProof w:val="0"/>
          <w:spacing w:val="-2"/>
          <w:szCs w:val="20"/>
          <w:lang w:val="en-US"/>
        </w:rPr>
        <w:t xml:space="preserve"> </w:t>
      </w:r>
      <w:r w:rsidR="00E2523C" w:rsidRPr="00610904">
        <w:rPr>
          <w:noProof w:val="0"/>
          <w:spacing w:val="-2"/>
          <w:szCs w:val="20"/>
          <w:lang w:val="en-US"/>
        </w:rPr>
        <w:t xml:space="preserve">asked for reparation in the form of financial compensation. </w:t>
      </w:r>
    </w:p>
    <w:p w:rsidR="003040F7" w:rsidRPr="00610904" w:rsidRDefault="003040F7" w:rsidP="00610904">
      <w:pPr>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noProof w:val="0"/>
          <w:spacing w:val="-2"/>
          <w:szCs w:val="20"/>
          <w:lang w:val="en-US"/>
        </w:rPr>
        <w:t xml:space="preserve"> </w:t>
      </w:r>
      <w:r w:rsidR="00E2523C" w:rsidRPr="00610904">
        <w:rPr>
          <w:noProof w:val="0"/>
          <w:spacing w:val="-2"/>
          <w:szCs w:val="20"/>
          <w:lang w:val="en-US"/>
        </w:rPr>
        <w:t xml:space="preserve">affirmed that it has public policies for the effective treatment of HIV, and thus the </w:t>
      </w:r>
      <w:r w:rsidRPr="00610904">
        <w:rPr>
          <w:noProof w:val="0"/>
          <w:szCs w:val="20"/>
          <w:lang w:val="en-US"/>
        </w:rPr>
        <w:t>representatives</w:t>
      </w:r>
      <w:r w:rsidR="00E2523C" w:rsidRPr="00610904">
        <w:rPr>
          <w:noProof w:val="0"/>
          <w:szCs w:val="20"/>
          <w:lang w:val="en-US"/>
        </w:rPr>
        <w:t>’ request</w:t>
      </w:r>
      <w:r w:rsidR="003040F7" w:rsidRPr="00610904">
        <w:rPr>
          <w:noProof w:val="0"/>
          <w:szCs w:val="20"/>
          <w:lang w:val="en-US"/>
        </w:rPr>
        <w:t xml:space="preserve"> “</w:t>
      </w:r>
      <w:r w:rsidR="00E2523C" w:rsidRPr="00610904">
        <w:rPr>
          <w:noProof w:val="0"/>
          <w:szCs w:val="20"/>
          <w:lang w:val="en-US"/>
        </w:rPr>
        <w:t>is unfounded.” It also indicated that the actions taken in relation to the</w:t>
      </w:r>
      <w:r w:rsidR="00953111" w:rsidRPr="00610904">
        <w:rPr>
          <w:noProof w:val="0"/>
          <w:szCs w:val="20"/>
          <w:lang w:val="en-US"/>
        </w:rPr>
        <w:t xml:space="preserve"> treatment of</w:t>
      </w:r>
      <w:r w:rsidR="00E2523C" w:rsidRPr="00610904">
        <w:rPr>
          <w:noProof w:val="0"/>
          <w:szCs w:val="20"/>
          <w:lang w:val="en-US"/>
        </w:rPr>
        <w:t xml:space="preserve"> HIV are supported by parameters established by international agencie</w:t>
      </w:r>
      <w:r w:rsidR="00953111" w:rsidRPr="00610904">
        <w:rPr>
          <w:noProof w:val="0"/>
          <w:szCs w:val="20"/>
          <w:lang w:val="en-US"/>
        </w:rPr>
        <w:t>s. In addition, it advised that</w:t>
      </w:r>
      <w:r w:rsidR="00E2523C" w:rsidRPr="00610904">
        <w:rPr>
          <w:noProof w:val="0"/>
          <w:szCs w:val="20"/>
          <w:lang w:val="en-US"/>
        </w:rPr>
        <w:t xml:space="preserve"> there are 13 center</w:t>
      </w:r>
      <w:r w:rsidR="00953111" w:rsidRPr="00610904">
        <w:rPr>
          <w:noProof w:val="0"/>
          <w:szCs w:val="20"/>
          <w:lang w:val="en-US"/>
        </w:rPr>
        <w:t>s</w:t>
      </w:r>
      <w:r w:rsidR="00E2523C" w:rsidRPr="00610904">
        <w:rPr>
          <w:noProof w:val="0"/>
          <w:szCs w:val="20"/>
          <w:lang w:val="en-US"/>
        </w:rPr>
        <w:t xml:space="preserve"> </w:t>
      </w:r>
      <w:r w:rsidR="00953111" w:rsidRPr="00610904">
        <w:rPr>
          <w:noProof w:val="0"/>
          <w:szCs w:val="20"/>
          <w:lang w:val="en-US"/>
        </w:rPr>
        <w:t xml:space="preserve">in the provinces of Azuay and Cañar </w:t>
      </w:r>
      <w:r w:rsidR="00E2523C" w:rsidRPr="00610904">
        <w:rPr>
          <w:noProof w:val="0"/>
          <w:szCs w:val="20"/>
          <w:lang w:val="en-US"/>
        </w:rPr>
        <w:t>that provide quality health care services</w:t>
      </w:r>
      <w:r w:rsidR="00953111" w:rsidRPr="00610904">
        <w:rPr>
          <w:noProof w:val="0"/>
          <w:szCs w:val="20"/>
          <w:lang w:val="en-US"/>
        </w:rPr>
        <w:t>,</w:t>
      </w:r>
      <w:r w:rsidR="00E2523C" w:rsidRPr="00610904">
        <w:rPr>
          <w:noProof w:val="0"/>
          <w:szCs w:val="20"/>
          <w:lang w:val="en-US"/>
        </w:rPr>
        <w:t xml:space="preserve"> and reiterated that it “hope[d] tha</w:t>
      </w:r>
      <w:r w:rsidR="00953111" w:rsidRPr="00610904">
        <w:rPr>
          <w:noProof w:val="0"/>
          <w:szCs w:val="20"/>
          <w:lang w:val="en-US"/>
        </w:rPr>
        <w:t>t</w:t>
      </w:r>
      <w:r w:rsidR="00E2523C" w:rsidRPr="00610904">
        <w:rPr>
          <w:noProof w:val="0"/>
          <w:szCs w:val="20"/>
          <w:lang w:val="en-US"/>
        </w:rPr>
        <w:t xml:space="preserve"> Talía […] would conti</w:t>
      </w:r>
      <w:r w:rsidR="00953111" w:rsidRPr="00610904">
        <w:rPr>
          <w:noProof w:val="0"/>
          <w:szCs w:val="20"/>
          <w:lang w:val="en-US"/>
        </w:rPr>
        <w:t>nue being treated at</w:t>
      </w:r>
      <w:r w:rsidR="00E2523C" w:rsidRPr="00610904">
        <w:rPr>
          <w:noProof w:val="0"/>
          <w:szCs w:val="20"/>
          <w:lang w:val="en-US"/>
        </w:rPr>
        <w:t xml:space="preserve"> the Homero </w:t>
      </w:r>
      <w:r w:rsidR="00953111" w:rsidRPr="00610904">
        <w:rPr>
          <w:noProof w:val="0"/>
          <w:szCs w:val="20"/>
          <w:lang w:val="en-US"/>
        </w:rPr>
        <w:t xml:space="preserve">Castanier Public Hospital” by the </w:t>
      </w:r>
      <w:r w:rsidR="00E2523C" w:rsidRPr="00610904">
        <w:rPr>
          <w:noProof w:val="0"/>
          <w:szCs w:val="20"/>
          <w:lang w:val="en-US"/>
        </w:rPr>
        <w:t>internal medicine</w:t>
      </w:r>
      <w:r w:rsidR="00953111" w:rsidRPr="00610904">
        <w:rPr>
          <w:noProof w:val="0"/>
          <w:szCs w:val="20"/>
          <w:lang w:val="en-US"/>
        </w:rPr>
        <w:t xml:space="preserve"> specialist</w:t>
      </w:r>
      <w:r w:rsidR="00E2523C" w:rsidRPr="00610904">
        <w:rPr>
          <w:noProof w:val="0"/>
          <w:szCs w:val="20"/>
          <w:lang w:val="en-US"/>
        </w:rPr>
        <w:t xml:space="preserve"> responsible for the HIV program at that hospital. Furthermore, it “</w:t>
      </w:r>
      <w:proofErr w:type="gramStart"/>
      <w:r w:rsidR="00E2523C" w:rsidRPr="00610904">
        <w:rPr>
          <w:noProof w:val="0"/>
          <w:szCs w:val="20"/>
          <w:lang w:val="en-US"/>
        </w:rPr>
        <w:t>invite[</w:t>
      </w:r>
      <w:proofErr w:type="gramEnd"/>
      <w:r w:rsidR="00E2523C" w:rsidRPr="00610904">
        <w:rPr>
          <w:noProof w:val="0"/>
          <w:szCs w:val="20"/>
          <w:lang w:val="en-US"/>
        </w:rPr>
        <w:t xml:space="preserve">d] </w:t>
      </w:r>
      <w:r w:rsidR="00956779" w:rsidRPr="00610904">
        <w:rPr>
          <w:noProof w:val="0"/>
          <w:szCs w:val="20"/>
          <w:lang w:val="en-US"/>
        </w:rPr>
        <w:t>Talí</w:t>
      </w:r>
      <w:r w:rsidR="003040F7" w:rsidRPr="00610904">
        <w:rPr>
          <w:noProof w:val="0"/>
          <w:szCs w:val="20"/>
          <w:lang w:val="en-US"/>
        </w:rPr>
        <w:t xml:space="preserve">a Gonzales, </w:t>
      </w:r>
      <w:r w:rsidR="006D7F48" w:rsidRPr="00610904">
        <w:rPr>
          <w:noProof w:val="0"/>
          <w:szCs w:val="20"/>
          <w:lang w:val="en-US"/>
        </w:rPr>
        <w:t>her mother</w:t>
      </w:r>
      <w:r w:rsidRPr="00610904">
        <w:rPr>
          <w:noProof w:val="0"/>
          <w:szCs w:val="20"/>
          <w:lang w:val="en-US"/>
        </w:rPr>
        <w:t xml:space="preserve"> and </w:t>
      </w:r>
      <w:r w:rsidR="00E2523C" w:rsidRPr="00610904">
        <w:rPr>
          <w:noProof w:val="0"/>
          <w:szCs w:val="20"/>
          <w:lang w:val="en-US"/>
        </w:rPr>
        <w:t>brother to use the Ecuadorian health care service</w:t>
      </w:r>
      <w:r w:rsidR="00953111" w:rsidRPr="00610904">
        <w:rPr>
          <w:noProof w:val="0"/>
          <w:szCs w:val="20"/>
          <w:lang w:val="en-US"/>
        </w:rPr>
        <w:t>s</w:t>
      </w:r>
      <w:r w:rsidR="00E2523C" w:rsidRPr="00610904">
        <w:rPr>
          <w:noProof w:val="0"/>
          <w:szCs w:val="20"/>
          <w:lang w:val="en-US"/>
        </w:rPr>
        <w:t xml:space="preserve"> in the different public hospitals and health care centers.” In addition, </w:t>
      </w:r>
      <w:r w:rsidR="00830022" w:rsidRPr="00610904">
        <w:rPr>
          <w:noProof w:val="0"/>
          <w:szCs w:val="20"/>
          <w:lang w:val="en-US"/>
        </w:rPr>
        <w:t xml:space="preserve">during </w:t>
      </w:r>
      <w:r w:rsidR="00AD687D" w:rsidRPr="00610904">
        <w:rPr>
          <w:noProof w:val="0"/>
          <w:szCs w:val="20"/>
          <w:lang w:val="en-US"/>
        </w:rPr>
        <w:t>the public hearing</w:t>
      </w:r>
      <w:r w:rsidR="00E2523C" w:rsidRPr="00610904">
        <w:rPr>
          <w:noProof w:val="0"/>
          <w:szCs w:val="20"/>
          <w:lang w:val="en-US"/>
        </w:rPr>
        <w:t>,</w:t>
      </w:r>
      <w:r w:rsidR="003040F7" w:rsidRPr="00610904">
        <w:rPr>
          <w:noProof w:val="0"/>
          <w:szCs w:val="20"/>
          <w:lang w:val="en-US"/>
        </w:rPr>
        <w:t xml:space="preserve"> </w:t>
      </w:r>
      <w:r w:rsidRPr="00610904">
        <w:rPr>
          <w:noProof w:val="0"/>
          <w:szCs w:val="20"/>
          <w:lang w:val="en-US"/>
        </w:rPr>
        <w:t>the State</w:t>
      </w:r>
      <w:r w:rsidR="003040F7" w:rsidRPr="00610904">
        <w:rPr>
          <w:noProof w:val="0"/>
          <w:szCs w:val="20"/>
          <w:lang w:val="en-US"/>
        </w:rPr>
        <w:t xml:space="preserve"> </w:t>
      </w:r>
      <w:r w:rsidR="00E2523C" w:rsidRPr="00610904">
        <w:rPr>
          <w:noProof w:val="0"/>
          <w:szCs w:val="20"/>
          <w:lang w:val="en-US"/>
        </w:rPr>
        <w:t xml:space="preserve">indicated that, if </w:t>
      </w:r>
      <w:r w:rsidRPr="00610904">
        <w:rPr>
          <w:noProof w:val="0"/>
          <w:szCs w:val="20"/>
          <w:lang w:val="en-US"/>
        </w:rPr>
        <w:t>the Court</w:t>
      </w:r>
      <w:r w:rsidR="003040F7" w:rsidRPr="00610904">
        <w:rPr>
          <w:noProof w:val="0"/>
          <w:szCs w:val="20"/>
          <w:lang w:val="en-US"/>
        </w:rPr>
        <w:t xml:space="preserve"> </w:t>
      </w:r>
      <w:r w:rsidR="00953111" w:rsidRPr="00610904">
        <w:rPr>
          <w:noProof w:val="0"/>
          <w:szCs w:val="20"/>
          <w:lang w:val="en-US"/>
        </w:rPr>
        <w:t xml:space="preserve">should declare the </w:t>
      </w:r>
      <w:r w:rsidR="00E2523C" w:rsidRPr="00610904">
        <w:rPr>
          <w:noProof w:val="0"/>
          <w:szCs w:val="20"/>
          <w:lang w:val="en-US"/>
        </w:rPr>
        <w:t>State’s respons</w:t>
      </w:r>
      <w:r w:rsidR="00953111" w:rsidRPr="00610904">
        <w:rPr>
          <w:noProof w:val="0"/>
          <w:szCs w:val="20"/>
          <w:lang w:val="en-US"/>
        </w:rPr>
        <w:t>ibility, it would “continue</w:t>
      </w:r>
      <w:r w:rsidR="003040F7" w:rsidRPr="00610904">
        <w:rPr>
          <w:noProof w:val="0"/>
          <w:szCs w:val="20"/>
          <w:lang w:val="en-US"/>
        </w:rPr>
        <w:t xml:space="preserve"> </w:t>
      </w:r>
      <w:r w:rsidR="002D6E02" w:rsidRPr="00610904">
        <w:rPr>
          <w:noProof w:val="0"/>
          <w:szCs w:val="20"/>
          <w:lang w:val="en-US"/>
        </w:rPr>
        <w:t>the Comprehensive Health Care Protocol</w:t>
      </w:r>
      <w:r w:rsidR="003040F7" w:rsidRPr="00610904">
        <w:rPr>
          <w:noProof w:val="0"/>
          <w:szCs w:val="20"/>
          <w:lang w:val="en-US"/>
        </w:rPr>
        <w:t xml:space="preserve"> </w:t>
      </w:r>
      <w:r w:rsidR="00E2523C" w:rsidRPr="00610904">
        <w:rPr>
          <w:noProof w:val="0"/>
          <w:szCs w:val="20"/>
          <w:lang w:val="en-US"/>
        </w:rPr>
        <w:t xml:space="preserve">that [it] had been providing, and implement it through outpatient care, with access to the necessary </w:t>
      </w:r>
      <w:r w:rsidR="00856968" w:rsidRPr="00610904">
        <w:rPr>
          <w:noProof w:val="0"/>
          <w:szCs w:val="20"/>
          <w:lang w:val="en-US"/>
        </w:rPr>
        <w:t>antiretroviral</w:t>
      </w:r>
      <w:r w:rsidR="00E2523C" w:rsidRPr="00610904">
        <w:rPr>
          <w:noProof w:val="0"/>
          <w:szCs w:val="20"/>
          <w:lang w:val="en-US"/>
        </w:rPr>
        <w:t xml:space="preserve"> treatment, and the provision of psychological support and social assistance to </w:t>
      </w:r>
      <w:r w:rsidR="00CD3738" w:rsidRPr="00610904">
        <w:rPr>
          <w:noProof w:val="0"/>
          <w:szCs w:val="20"/>
          <w:lang w:val="en-US"/>
        </w:rPr>
        <w:t>Talía</w:t>
      </w:r>
      <w:r w:rsidRPr="00610904">
        <w:rPr>
          <w:noProof w:val="0"/>
          <w:szCs w:val="20"/>
          <w:lang w:val="en-US"/>
        </w:rPr>
        <w:t xml:space="preserve"> and </w:t>
      </w:r>
      <w:r w:rsidR="006D7F48" w:rsidRPr="00610904">
        <w:rPr>
          <w:noProof w:val="0"/>
          <w:szCs w:val="20"/>
          <w:lang w:val="en-US"/>
        </w:rPr>
        <w:t>her mother</w:t>
      </w:r>
      <w:r w:rsidR="00953111" w:rsidRPr="00610904">
        <w:rPr>
          <w:noProof w:val="0"/>
          <w:szCs w:val="20"/>
          <w:lang w:val="en-US"/>
        </w:rPr>
        <w:t xml:space="preserve"> in the different departments and at the different levels of attention of</w:t>
      </w:r>
      <w:r w:rsidR="00E2523C" w:rsidRPr="00610904">
        <w:rPr>
          <w:noProof w:val="0"/>
          <w:szCs w:val="20"/>
          <w:lang w:val="en-US"/>
        </w:rPr>
        <w:t xml:space="preserve"> the institutions of the public health network.”</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E2523C"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E2523C" w:rsidRPr="00610904">
        <w:rPr>
          <w:noProof w:val="0"/>
          <w:spacing w:val="-2"/>
          <w:szCs w:val="20"/>
          <w:lang w:val="en-US"/>
        </w:rPr>
        <w:t xml:space="preserve"> notes the information provided by </w:t>
      </w:r>
      <w:r w:rsidRPr="00610904">
        <w:rPr>
          <w:noProof w:val="0"/>
          <w:spacing w:val="-2"/>
          <w:szCs w:val="20"/>
          <w:lang w:val="en-US"/>
        </w:rPr>
        <w:t>the representatives</w:t>
      </w:r>
      <w:r w:rsidR="003040F7" w:rsidRPr="00610904">
        <w:rPr>
          <w:noProof w:val="0"/>
          <w:spacing w:val="-2"/>
          <w:szCs w:val="20"/>
          <w:lang w:val="en-US"/>
        </w:rPr>
        <w:t xml:space="preserve"> </w:t>
      </w:r>
      <w:r w:rsidR="00E2523C" w:rsidRPr="00610904">
        <w:rPr>
          <w:noProof w:val="0"/>
          <w:spacing w:val="-2"/>
          <w:szCs w:val="20"/>
          <w:lang w:val="en-US"/>
        </w:rPr>
        <w:t>in the request for p</w:t>
      </w:r>
      <w:r w:rsidR="00A8072E" w:rsidRPr="00610904">
        <w:rPr>
          <w:noProof w:val="0"/>
          <w:spacing w:val="-2"/>
          <w:szCs w:val="20"/>
          <w:lang w:val="en-US"/>
        </w:rPr>
        <w:t>rovisional measures</w:t>
      </w:r>
      <w:r w:rsidR="003040F7" w:rsidRPr="00610904">
        <w:rPr>
          <w:noProof w:val="0"/>
          <w:spacing w:val="-2"/>
          <w:szCs w:val="20"/>
          <w:lang w:val="en-US"/>
        </w:rPr>
        <w:t xml:space="preserve"> present</w:t>
      </w:r>
      <w:r w:rsidR="00E2523C" w:rsidRPr="00610904">
        <w:rPr>
          <w:noProof w:val="0"/>
          <w:spacing w:val="-2"/>
          <w:szCs w:val="20"/>
          <w:lang w:val="en-US"/>
        </w:rPr>
        <w:t xml:space="preserve">ed during the proceedings that, from May 2014 to date </w:t>
      </w:r>
      <w:r w:rsidR="00CD3738" w:rsidRPr="00610904">
        <w:rPr>
          <w:noProof w:val="0"/>
          <w:spacing w:val="-2"/>
          <w:szCs w:val="20"/>
          <w:lang w:val="en-US"/>
        </w:rPr>
        <w:t>Talía</w:t>
      </w:r>
      <w:r w:rsidR="003040F7" w:rsidRPr="00610904">
        <w:rPr>
          <w:noProof w:val="0"/>
          <w:spacing w:val="-2"/>
          <w:szCs w:val="20"/>
          <w:lang w:val="en-US"/>
        </w:rPr>
        <w:t xml:space="preserve"> ha</w:t>
      </w:r>
      <w:r w:rsidR="00E2523C" w:rsidRPr="00610904">
        <w:rPr>
          <w:noProof w:val="0"/>
          <w:spacing w:val="-2"/>
          <w:szCs w:val="20"/>
          <w:lang w:val="en-US"/>
        </w:rPr>
        <w:t>s been receiving medical treatment in the Azogues hospital</w:t>
      </w:r>
      <w:r w:rsidR="003040F7" w:rsidRPr="00610904">
        <w:rPr>
          <w:noProof w:val="0"/>
          <w:spacing w:val="-2"/>
          <w:szCs w:val="20"/>
          <w:lang w:val="en-US"/>
        </w:rPr>
        <w:t>,</w:t>
      </w:r>
      <w:r w:rsidR="00E2523C" w:rsidRPr="00610904">
        <w:rPr>
          <w:noProof w:val="0"/>
          <w:spacing w:val="-2"/>
          <w:szCs w:val="20"/>
          <w:lang w:val="en-US"/>
        </w:rPr>
        <w:t xml:space="preserve"> w</w:t>
      </w:r>
      <w:r w:rsidR="00953111" w:rsidRPr="00610904">
        <w:rPr>
          <w:noProof w:val="0"/>
          <w:spacing w:val="-2"/>
          <w:szCs w:val="20"/>
          <w:lang w:val="en-US"/>
        </w:rPr>
        <w:t>h</w:t>
      </w:r>
      <w:r w:rsidR="00E2523C" w:rsidRPr="00610904">
        <w:rPr>
          <w:noProof w:val="0"/>
          <w:spacing w:val="-2"/>
          <w:szCs w:val="20"/>
          <w:lang w:val="en-US"/>
        </w:rPr>
        <w:t xml:space="preserve">ich </w:t>
      </w:r>
      <w:r w:rsidR="00953111" w:rsidRPr="00610904">
        <w:rPr>
          <w:noProof w:val="0"/>
          <w:spacing w:val="-2"/>
          <w:szCs w:val="20"/>
          <w:lang w:val="en-US"/>
        </w:rPr>
        <w:t>forms part of</w:t>
      </w:r>
      <w:r w:rsidR="00E2523C" w:rsidRPr="00610904">
        <w:rPr>
          <w:noProof w:val="0"/>
          <w:spacing w:val="-2"/>
          <w:szCs w:val="20"/>
          <w:lang w:val="en-US"/>
        </w:rPr>
        <w:t xml:space="preserve"> the Ecuadorian public health care network</w:t>
      </w:r>
      <w:r w:rsidR="003040F7" w:rsidRPr="00610904">
        <w:rPr>
          <w:noProof w:val="0"/>
          <w:spacing w:val="-2"/>
          <w:szCs w:val="20"/>
          <w:lang w:val="en-US"/>
        </w:rPr>
        <w:t>.</w:t>
      </w:r>
      <w:r w:rsidR="00427F68" w:rsidRPr="00610904">
        <w:rPr>
          <w:noProof w:val="0"/>
          <w:spacing w:val="-2"/>
          <w:szCs w:val="20"/>
          <w:lang w:val="en-US"/>
        </w:rPr>
        <w:t xml:space="preserve"> </w:t>
      </w:r>
      <w:r w:rsidRPr="00610904">
        <w:rPr>
          <w:noProof w:val="0"/>
          <w:spacing w:val="-2"/>
          <w:szCs w:val="20"/>
          <w:lang w:val="en-US"/>
        </w:rPr>
        <w:t>The representatives</w:t>
      </w:r>
      <w:r w:rsidR="003040F7" w:rsidRPr="00610904">
        <w:rPr>
          <w:noProof w:val="0"/>
          <w:spacing w:val="-2"/>
          <w:szCs w:val="20"/>
          <w:lang w:val="en-US"/>
        </w:rPr>
        <w:t xml:space="preserve"> </w:t>
      </w:r>
      <w:r w:rsidR="00E2523C" w:rsidRPr="00610904">
        <w:rPr>
          <w:noProof w:val="0"/>
          <w:spacing w:val="-2"/>
          <w:szCs w:val="20"/>
          <w:lang w:val="en-US"/>
        </w:rPr>
        <w:t xml:space="preserve">indicated that, over this period, her health has </w:t>
      </w:r>
      <w:r w:rsidR="00953111" w:rsidRPr="00610904">
        <w:rPr>
          <w:noProof w:val="0"/>
          <w:spacing w:val="-2"/>
          <w:szCs w:val="20"/>
          <w:lang w:val="en-US"/>
        </w:rPr>
        <w:t>deteriorated</w:t>
      </w:r>
      <w:r w:rsidR="00E2523C" w:rsidRPr="00610904">
        <w:rPr>
          <w:noProof w:val="0"/>
          <w:spacing w:val="-2"/>
          <w:szCs w:val="20"/>
          <w:lang w:val="en-US"/>
        </w:rPr>
        <w:t xml:space="preserve"> and her CD4 cell count has decreased rapidly.</w:t>
      </w:r>
      <w:r w:rsidR="003040F7" w:rsidRPr="00610904">
        <w:rPr>
          <w:rFonts w:cs="Times New Roman"/>
          <w:noProof w:val="0"/>
          <w:spacing w:val="-2"/>
          <w:szCs w:val="20"/>
          <w:vertAlign w:val="superscript"/>
          <w:lang w:val="en-US"/>
        </w:rPr>
        <w:footnoteReference w:id="375"/>
      </w:r>
      <w:r w:rsidR="003040F7" w:rsidRPr="00610904">
        <w:rPr>
          <w:noProof w:val="0"/>
          <w:spacing w:val="-2"/>
          <w:szCs w:val="20"/>
          <w:lang w:val="en-US"/>
        </w:rPr>
        <w:t xml:space="preserve"> </w:t>
      </w:r>
      <w:r w:rsidR="007916C1" w:rsidRPr="00610904">
        <w:rPr>
          <w:noProof w:val="0"/>
          <w:spacing w:val="-2"/>
          <w:szCs w:val="20"/>
          <w:lang w:val="en-US"/>
        </w:rPr>
        <w:t>According to the</w:t>
      </w:r>
      <w:r w:rsidRPr="00610904">
        <w:rPr>
          <w:noProof w:val="0"/>
          <w:spacing w:val="-2"/>
          <w:szCs w:val="20"/>
          <w:lang w:val="en-US"/>
        </w:rPr>
        <w:t xml:space="preserve"> representatives</w:t>
      </w:r>
      <w:r w:rsidR="003040F7" w:rsidRPr="00610904">
        <w:rPr>
          <w:noProof w:val="0"/>
          <w:spacing w:val="-2"/>
          <w:szCs w:val="20"/>
          <w:lang w:val="en-US"/>
        </w:rPr>
        <w:t xml:space="preserve">, </w:t>
      </w:r>
      <w:r w:rsidR="00E2523C" w:rsidRPr="00610904">
        <w:rPr>
          <w:noProof w:val="0"/>
          <w:spacing w:val="-2"/>
          <w:szCs w:val="20"/>
          <w:lang w:val="en-US"/>
        </w:rPr>
        <w:t>the medicines pro</w:t>
      </w:r>
      <w:r w:rsidR="00953111" w:rsidRPr="00610904">
        <w:rPr>
          <w:noProof w:val="0"/>
          <w:spacing w:val="-2"/>
          <w:szCs w:val="20"/>
          <w:lang w:val="en-US"/>
        </w:rPr>
        <w:t>vided to her by the public netwo</w:t>
      </w:r>
      <w:r w:rsidR="00E2523C" w:rsidRPr="00610904">
        <w:rPr>
          <w:noProof w:val="0"/>
          <w:spacing w:val="-2"/>
          <w:szCs w:val="20"/>
          <w:lang w:val="en-US"/>
        </w:rPr>
        <w:t xml:space="preserve">rk “do not improve her blood, or keep up her defenses.” Consequently, </w:t>
      </w:r>
      <w:r w:rsidRPr="00610904">
        <w:rPr>
          <w:noProof w:val="0"/>
          <w:spacing w:val="-2"/>
          <w:szCs w:val="20"/>
          <w:lang w:val="en-US"/>
        </w:rPr>
        <w:t>the representatives</w:t>
      </w:r>
      <w:r w:rsidR="003040F7" w:rsidRPr="00610904">
        <w:rPr>
          <w:noProof w:val="0"/>
          <w:spacing w:val="-2"/>
          <w:szCs w:val="20"/>
          <w:lang w:val="en-US"/>
        </w:rPr>
        <w:t xml:space="preserve"> </w:t>
      </w:r>
      <w:r w:rsidR="00E2523C" w:rsidRPr="00610904">
        <w:rPr>
          <w:noProof w:val="0"/>
          <w:spacing w:val="-2"/>
          <w:szCs w:val="20"/>
          <w:lang w:val="en-US"/>
        </w:rPr>
        <w:t>asked that a high-level committee be appointed</w:t>
      </w:r>
      <w:r w:rsidR="00953111" w:rsidRPr="00610904">
        <w:rPr>
          <w:noProof w:val="0"/>
          <w:spacing w:val="-2"/>
          <w:szCs w:val="20"/>
          <w:lang w:val="en-US"/>
        </w:rPr>
        <w:t>,</w:t>
      </w:r>
      <w:r w:rsidR="00E2523C" w:rsidRPr="00610904">
        <w:rPr>
          <w:noProof w:val="0"/>
          <w:spacing w:val="-2"/>
          <w:szCs w:val="20"/>
          <w:lang w:val="en-US"/>
        </w:rPr>
        <w:t xml:space="preserve"> composed of persons that Talía trusted</w:t>
      </w:r>
      <w:r w:rsidR="00953111" w:rsidRPr="00610904">
        <w:rPr>
          <w:noProof w:val="0"/>
          <w:spacing w:val="-2"/>
          <w:szCs w:val="20"/>
          <w:lang w:val="en-US"/>
        </w:rPr>
        <w:t>,</w:t>
      </w:r>
      <w:r w:rsidR="00E2523C" w:rsidRPr="00610904">
        <w:rPr>
          <w:noProof w:val="0"/>
          <w:spacing w:val="-2"/>
          <w:szCs w:val="20"/>
          <w:lang w:val="en-US"/>
        </w:rPr>
        <w:t xml:space="preserve"> to determine the conditions required to restore her health, and that the State “cover all the expenses for the emergency treatment of Talía’s health.”</w:t>
      </w:r>
    </w:p>
    <w:p w:rsidR="003040F7" w:rsidRPr="00610904" w:rsidRDefault="003040F7" w:rsidP="00610904">
      <w:pPr>
        <w:contextualSpacing/>
        <w:rPr>
          <w:noProof w:val="0"/>
          <w:spacing w:val="-2"/>
          <w:szCs w:val="20"/>
          <w:lang w:val="en-US"/>
        </w:rPr>
      </w:pPr>
    </w:p>
    <w:p w:rsidR="00922321" w:rsidRPr="00610904" w:rsidRDefault="003040F7" w:rsidP="00610904">
      <w:pPr>
        <w:numPr>
          <w:ilvl w:val="0"/>
          <w:numId w:val="1"/>
        </w:numPr>
        <w:contextualSpacing/>
        <w:rPr>
          <w:noProof w:val="0"/>
          <w:spacing w:val="-2"/>
          <w:szCs w:val="20"/>
          <w:lang w:val="en-US"/>
        </w:rPr>
      </w:pPr>
      <w:r w:rsidRPr="00610904">
        <w:rPr>
          <w:b/>
          <w:noProof w:val="0"/>
          <w:spacing w:val="-2"/>
          <w:szCs w:val="20"/>
          <w:lang w:val="en-US"/>
        </w:rPr>
        <w:t xml:space="preserve"> </w:t>
      </w:r>
      <w:r w:rsidR="00922321" w:rsidRPr="00610904">
        <w:rPr>
          <w:noProof w:val="0"/>
          <w:spacing w:val="-2"/>
          <w:szCs w:val="20"/>
          <w:lang w:val="en-US"/>
        </w:rPr>
        <w:t xml:space="preserve">In this regard, </w:t>
      </w:r>
      <w:r w:rsidR="002F5BBA" w:rsidRPr="00610904">
        <w:rPr>
          <w:noProof w:val="0"/>
          <w:spacing w:val="-2"/>
          <w:szCs w:val="20"/>
          <w:lang w:val="en-US"/>
        </w:rPr>
        <w:t>the Commission</w:t>
      </w:r>
      <w:r w:rsidRPr="00610904">
        <w:rPr>
          <w:noProof w:val="0"/>
          <w:spacing w:val="-2"/>
          <w:szCs w:val="20"/>
          <w:lang w:val="en-US"/>
        </w:rPr>
        <w:t xml:space="preserve"> “</w:t>
      </w:r>
      <w:r w:rsidR="00922321" w:rsidRPr="00610904">
        <w:rPr>
          <w:noProof w:val="0"/>
          <w:spacing w:val="-2"/>
          <w:szCs w:val="20"/>
          <w:lang w:val="en-US"/>
        </w:rPr>
        <w:t>expresse[d] its deep concern owing to the information presented by the repre</w:t>
      </w:r>
      <w:r w:rsidR="00953111" w:rsidRPr="00610904">
        <w:rPr>
          <w:noProof w:val="0"/>
          <w:spacing w:val="-2"/>
          <w:szCs w:val="20"/>
          <w:lang w:val="en-US"/>
        </w:rPr>
        <w:t>sentatives regarding Talía’s</w:t>
      </w:r>
      <w:r w:rsidR="00922321" w:rsidRPr="00610904">
        <w:rPr>
          <w:noProof w:val="0"/>
          <w:spacing w:val="-2"/>
          <w:szCs w:val="20"/>
          <w:lang w:val="en-US"/>
        </w:rPr>
        <w:t xml:space="preserve"> precarious health situation, specifically the progressive and accelerated decrease in </w:t>
      </w:r>
      <w:r w:rsidR="00953111" w:rsidRPr="00610904">
        <w:rPr>
          <w:noProof w:val="0"/>
          <w:spacing w:val="-2"/>
          <w:szCs w:val="20"/>
          <w:lang w:val="en-US"/>
        </w:rPr>
        <w:t>her</w:t>
      </w:r>
      <w:r w:rsidR="00922321" w:rsidRPr="00610904">
        <w:rPr>
          <w:noProof w:val="0"/>
          <w:spacing w:val="-2"/>
          <w:szCs w:val="20"/>
          <w:lang w:val="en-US"/>
        </w:rPr>
        <w:t xml:space="preserve"> defenses,” and observed that her health, life and personal integrity were </w:t>
      </w:r>
      <w:r w:rsidR="00953111" w:rsidRPr="00610904">
        <w:rPr>
          <w:noProof w:val="0"/>
          <w:spacing w:val="-2"/>
          <w:szCs w:val="20"/>
          <w:lang w:val="en-US"/>
        </w:rPr>
        <w:t>“seriously threatened.” Therefo</w:t>
      </w:r>
      <w:r w:rsidR="00922321" w:rsidRPr="00610904">
        <w:rPr>
          <w:noProof w:val="0"/>
          <w:spacing w:val="-2"/>
          <w:szCs w:val="20"/>
          <w:lang w:val="en-US"/>
        </w:rPr>
        <w:t>re, it stressed the importance of the Court “establishing the need for the State to provide the beneficiary immediately with the specific antiretroviral treatment required based on the specific situation of her health, through the public or private institutions that offer this.”</w:t>
      </w:r>
    </w:p>
    <w:p w:rsidR="003040F7" w:rsidRPr="00610904" w:rsidRDefault="003040F7" w:rsidP="00610904">
      <w:pPr>
        <w:contextualSpacing/>
        <w:rPr>
          <w:noProof w:val="0"/>
          <w:spacing w:val="-2"/>
          <w:szCs w:val="20"/>
          <w:lang w:val="en-US"/>
        </w:rPr>
      </w:pPr>
    </w:p>
    <w:p w:rsidR="003040F7" w:rsidRPr="00610904" w:rsidRDefault="00922321" w:rsidP="00610904">
      <w:pPr>
        <w:numPr>
          <w:ilvl w:val="0"/>
          <w:numId w:val="1"/>
        </w:numPr>
        <w:contextualSpacing/>
        <w:rPr>
          <w:noProof w:val="0"/>
          <w:spacing w:val="-2"/>
          <w:szCs w:val="20"/>
          <w:lang w:val="en-US"/>
        </w:rPr>
      </w:pPr>
      <w:r w:rsidRPr="00610904">
        <w:rPr>
          <w:noProof w:val="0"/>
          <w:spacing w:val="-2"/>
          <w:szCs w:val="20"/>
          <w:lang w:val="en-US"/>
        </w:rPr>
        <w:t xml:space="preserve">Meanwhile, the State alleged that, according to the </w:t>
      </w:r>
      <w:r w:rsidR="00953111" w:rsidRPr="00610904">
        <w:rPr>
          <w:noProof w:val="0"/>
          <w:spacing w:val="-2"/>
          <w:szCs w:val="20"/>
          <w:lang w:val="en-US"/>
        </w:rPr>
        <w:t xml:space="preserve">July 20, 2015, </w:t>
      </w:r>
      <w:r w:rsidRPr="00610904">
        <w:rPr>
          <w:noProof w:val="0"/>
          <w:spacing w:val="-2"/>
          <w:szCs w:val="20"/>
          <w:lang w:val="en-US"/>
        </w:rPr>
        <w:t xml:space="preserve">report of the medical specialist of the </w:t>
      </w:r>
      <w:r w:rsidR="00830022" w:rsidRPr="00610904">
        <w:rPr>
          <w:noProof w:val="0"/>
          <w:spacing w:val="-2"/>
          <w:szCs w:val="20"/>
          <w:lang w:val="en-US"/>
        </w:rPr>
        <w:t>Ministry of Public Health</w:t>
      </w:r>
      <w:r w:rsidR="003040F7" w:rsidRPr="00610904">
        <w:rPr>
          <w:noProof w:val="0"/>
          <w:spacing w:val="-2"/>
          <w:szCs w:val="20"/>
          <w:lang w:val="en-US"/>
        </w:rPr>
        <w:t xml:space="preserve">, </w:t>
      </w:r>
      <w:r w:rsidRPr="00610904">
        <w:rPr>
          <w:noProof w:val="0"/>
          <w:spacing w:val="-2"/>
          <w:szCs w:val="20"/>
          <w:lang w:val="en-US"/>
        </w:rPr>
        <w:t>Talía’s health had been subject to various controls.</w:t>
      </w:r>
      <w:r w:rsidR="003040F7" w:rsidRPr="00610904">
        <w:rPr>
          <w:rFonts w:cs="Times New Roman"/>
          <w:noProof w:val="0"/>
          <w:spacing w:val="-2"/>
          <w:szCs w:val="20"/>
          <w:vertAlign w:val="superscript"/>
          <w:lang w:val="en-US"/>
        </w:rPr>
        <w:footnoteReference w:id="376"/>
      </w:r>
      <w:r w:rsidRPr="00610904">
        <w:rPr>
          <w:noProof w:val="0"/>
          <w:spacing w:val="-2"/>
          <w:szCs w:val="20"/>
          <w:lang w:val="en-US"/>
        </w:rPr>
        <w:t xml:space="preserve"> However, the State considered that “there was a probability of resistan</w:t>
      </w:r>
      <w:r w:rsidR="00953111" w:rsidRPr="00610904">
        <w:rPr>
          <w:noProof w:val="0"/>
          <w:spacing w:val="-2"/>
          <w:szCs w:val="20"/>
          <w:lang w:val="en-US"/>
        </w:rPr>
        <w:t>ce to treatment</w:t>
      </w:r>
      <w:r w:rsidRPr="00610904">
        <w:rPr>
          <w:noProof w:val="0"/>
          <w:spacing w:val="-2"/>
          <w:szCs w:val="20"/>
          <w:lang w:val="en-US"/>
        </w:rPr>
        <w:t>” and</w:t>
      </w:r>
      <w:r w:rsidR="00953111" w:rsidRPr="00610904">
        <w:rPr>
          <w:noProof w:val="0"/>
          <w:spacing w:val="-2"/>
          <w:szCs w:val="20"/>
          <w:lang w:val="en-US"/>
        </w:rPr>
        <w:t>,</w:t>
      </w:r>
      <w:r w:rsidRPr="00610904">
        <w:rPr>
          <w:noProof w:val="0"/>
          <w:spacing w:val="-2"/>
          <w:szCs w:val="20"/>
          <w:lang w:val="en-US"/>
        </w:rPr>
        <w:t xml:space="preserve"> therefore</w:t>
      </w:r>
      <w:r w:rsidR="00953111" w:rsidRPr="00610904">
        <w:rPr>
          <w:noProof w:val="0"/>
          <w:spacing w:val="-2"/>
          <w:szCs w:val="20"/>
          <w:lang w:val="en-US"/>
        </w:rPr>
        <w:t>,</w:t>
      </w:r>
      <w:r w:rsidRPr="00610904">
        <w:rPr>
          <w:noProof w:val="0"/>
          <w:spacing w:val="-2"/>
          <w:szCs w:val="20"/>
          <w:lang w:val="en-US"/>
        </w:rPr>
        <w:t xml:space="preserve"> emphasized the importance of performing a genotyping test and a rev</w:t>
      </w:r>
      <w:r w:rsidR="00953111" w:rsidRPr="00610904">
        <w:rPr>
          <w:noProof w:val="0"/>
          <w:spacing w:val="-2"/>
          <w:szCs w:val="20"/>
          <w:lang w:val="en-US"/>
        </w:rPr>
        <w:t>iew of the dosage of the drugs s</w:t>
      </w:r>
      <w:r w:rsidRPr="00610904">
        <w:rPr>
          <w:noProof w:val="0"/>
          <w:spacing w:val="-2"/>
          <w:szCs w:val="20"/>
          <w:lang w:val="en-US"/>
        </w:rPr>
        <w:t>he was taking, in order to determine</w:t>
      </w:r>
      <w:r w:rsidR="00953111" w:rsidRPr="00610904">
        <w:rPr>
          <w:noProof w:val="0"/>
          <w:spacing w:val="-2"/>
          <w:szCs w:val="20"/>
          <w:lang w:val="en-US"/>
        </w:rPr>
        <w:t xml:space="preserve"> the</w:t>
      </w:r>
      <w:r w:rsidRPr="00610904">
        <w:rPr>
          <w:noProof w:val="0"/>
          <w:spacing w:val="-2"/>
          <w:szCs w:val="20"/>
          <w:lang w:val="en-US"/>
        </w:rPr>
        <w:t xml:space="preserve"> future treatment for her </w:t>
      </w:r>
      <w:r w:rsidRPr="00610904">
        <w:rPr>
          <w:noProof w:val="0"/>
          <w:spacing w:val="-2"/>
          <w:szCs w:val="20"/>
          <w:lang w:val="en-US"/>
        </w:rPr>
        <w:lastRenderedPageBreak/>
        <w:t>condition. The State also advised that</w:t>
      </w:r>
      <w:r w:rsidR="00953111" w:rsidRPr="00610904">
        <w:rPr>
          <w:noProof w:val="0"/>
          <w:spacing w:val="-2"/>
          <w:szCs w:val="20"/>
          <w:lang w:val="en-US"/>
        </w:rPr>
        <w:t xml:space="preserve"> there had been difficulties in ensuring that</w:t>
      </w:r>
      <w:r w:rsidRPr="00610904">
        <w:rPr>
          <w:noProof w:val="0"/>
          <w:spacing w:val="-2"/>
          <w:szCs w:val="20"/>
          <w:lang w:val="en-US"/>
        </w:rPr>
        <w:t xml:space="preserve"> Talía </w:t>
      </w:r>
      <w:r w:rsidR="00953111" w:rsidRPr="00610904">
        <w:rPr>
          <w:noProof w:val="0"/>
          <w:spacing w:val="-2"/>
          <w:szCs w:val="20"/>
          <w:lang w:val="en-US"/>
        </w:rPr>
        <w:t xml:space="preserve">performed </w:t>
      </w:r>
      <w:r w:rsidRPr="00610904">
        <w:rPr>
          <w:noProof w:val="0"/>
          <w:spacing w:val="-2"/>
          <w:szCs w:val="20"/>
          <w:lang w:val="en-US"/>
        </w:rPr>
        <w:t xml:space="preserve">the necessary tests and, therefore, the doctor who treated her “had proceeded to make frequent telephone calls, starting on […] July 15, 2014; [but </w:t>
      </w:r>
      <w:r w:rsidR="00AF14CB" w:rsidRPr="00610904">
        <w:rPr>
          <w:noProof w:val="0"/>
          <w:spacing w:val="-2"/>
          <w:szCs w:val="20"/>
          <w:lang w:val="en-US"/>
        </w:rPr>
        <w:t>Teresa</w:t>
      </w:r>
      <w:r w:rsidR="003040F7" w:rsidRPr="00610904">
        <w:rPr>
          <w:noProof w:val="0"/>
          <w:spacing w:val="-2"/>
          <w:szCs w:val="20"/>
          <w:lang w:val="en-US"/>
        </w:rPr>
        <w:t xml:space="preserve"> Lluy </w:t>
      </w:r>
      <w:r w:rsidR="00953111" w:rsidRPr="00610904">
        <w:rPr>
          <w:noProof w:val="0"/>
          <w:spacing w:val="-2"/>
          <w:szCs w:val="20"/>
          <w:lang w:val="en-US"/>
        </w:rPr>
        <w:t>had told him] that her daughter</w:t>
      </w:r>
      <w:r w:rsidRPr="00610904">
        <w:rPr>
          <w:noProof w:val="0"/>
          <w:spacing w:val="-2"/>
          <w:szCs w:val="20"/>
          <w:lang w:val="en-US"/>
        </w:rPr>
        <w:t xml:space="preserve"> was being treated by a private doctor.” Lastly, the State indicat</w:t>
      </w:r>
      <w:r w:rsidR="00953111" w:rsidRPr="00610904">
        <w:rPr>
          <w:noProof w:val="0"/>
          <w:spacing w:val="-2"/>
          <w:szCs w:val="20"/>
          <w:lang w:val="en-US"/>
        </w:rPr>
        <w:t>ed that the Minister of Public H</w:t>
      </w:r>
      <w:r w:rsidRPr="00610904">
        <w:rPr>
          <w:noProof w:val="0"/>
          <w:spacing w:val="-2"/>
          <w:szCs w:val="20"/>
          <w:lang w:val="en-US"/>
        </w:rPr>
        <w:t>ealth had immediately set up a high-level medical committee to determine the necessary conditions to improve Talía’s health.</w:t>
      </w:r>
      <w:r w:rsidR="003040F7" w:rsidRPr="00610904">
        <w:rPr>
          <w:rFonts w:cs="Times New Roman"/>
          <w:noProof w:val="0"/>
          <w:spacing w:val="-2"/>
          <w:szCs w:val="20"/>
          <w:vertAlign w:val="superscript"/>
          <w:lang w:val="en-US"/>
        </w:rPr>
        <w:footnoteReference w:id="377"/>
      </w:r>
    </w:p>
    <w:p w:rsidR="003040F7" w:rsidRPr="00610904" w:rsidRDefault="003040F7" w:rsidP="00610904">
      <w:pPr>
        <w:contextualSpacing/>
        <w:rPr>
          <w:noProof w:val="0"/>
          <w:spacing w:val="-2"/>
          <w:szCs w:val="20"/>
          <w:lang w:val="en-US"/>
        </w:rPr>
      </w:pPr>
    </w:p>
    <w:p w:rsidR="00922321"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w:t>
      </w:r>
      <w:r w:rsidR="00922321" w:rsidRPr="00610904">
        <w:rPr>
          <w:noProof w:val="0"/>
          <w:spacing w:val="-2"/>
          <w:szCs w:val="20"/>
          <w:lang w:val="en-US"/>
        </w:rPr>
        <w:t>underlines that, in</w:t>
      </w:r>
      <w:r w:rsidR="004A6E8B" w:rsidRPr="00610904">
        <w:rPr>
          <w:noProof w:val="0"/>
          <w:spacing w:val="-2"/>
          <w:szCs w:val="20"/>
          <w:lang w:val="en-US"/>
        </w:rPr>
        <w:t xml:space="preserve"> this Judgment</w:t>
      </w:r>
      <w:r w:rsidR="003040F7" w:rsidRPr="00610904">
        <w:rPr>
          <w:noProof w:val="0"/>
          <w:spacing w:val="-2"/>
          <w:szCs w:val="20"/>
          <w:lang w:val="en-US"/>
        </w:rPr>
        <w:t xml:space="preserve">, </w:t>
      </w:r>
      <w:r w:rsidR="00922321" w:rsidRPr="00610904">
        <w:rPr>
          <w:noProof w:val="0"/>
          <w:spacing w:val="-2"/>
          <w:szCs w:val="20"/>
          <w:lang w:val="en-US"/>
        </w:rPr>
        <w:t xml:space="preserve">it has been declared that </w:t>
      </w:r>
      <w:r w:rsidR="00CD3738" w:rsidRPr="00610904">
        <w:rPr>
          <w:noProof w:val="0"/>
          <w:spacing w:val="-2"/>
          <w:szCs w:val="20"/>
          <w:lang w:val="en-US"/>
        </w:rPr>
        <w:t>Talía</w:t>
      </w:r>
      <w:r w:rsidR="003040F7" w:rsidRPr="00610904">
        <w:rPr>
          <w:noProof w:val="0"/>
          <w:spacing w:val="-2"/>
          <w:szCs w:val="20"/>
          <w:lang w:val="en-US"/>
        </w:rPr>
        <w:t xml:space="preserve"> a</w:t>
      </w:r>
      <w:r w:rsidR="00922321" w:rsidRPr="00610904">
        <w:rPr>
          <w:noProof w:val="0"/>
          <w:spacing w:val="-2"/>
          <w:szCs w:val="20"/>
          <w:lang w:val="en-US"/>
        </w:rPr>
        <w:t>cquired the HIV virus as a direct result of acts and omissions of the State in the context of inspection, supervision and control of the provision of health services by the St</w:t>
      </w:r>
      <w:r w:rsidR="00953111" w:rsidRPr="00610904">
        <w:rPr>
          <w:noProof w:val="0"/>
          <w:spacing w:val="-2"/>
          <w:szCs w:val="20"/>
          <w:lang w:val="en-US"/>
        </w:rPr>
        <w:t>ate. Consequently, although the</w:t>
      </w:r>
      <w:r w:rsidR="00922321" w:rsidRPr="00610904">
        <w:rPr>
          <w:noProof w:val="0"/>
          <w:spacing w:val="-2"/>
          <w:szCs w:val="20"/>
          <w:lang w:val="en-US"/>
        </w:rPr>
        <w:t xml:space="preserve"> Court </w:t>
      </w:r>
      <w:r w:rsidR="00953111" w:rsidRPr="00610904">
        <w:rPr>
          <w:noProof w:val="0"/>
          <w:spacing w:val="-2"/>
          <w:szCs w:val="20"/>
          <w:lang w:val="en-US"/>
        </w:rPr>
        <w:t>considers it</w:t>
      </w:r>
      <w:r w:rsidR="00922321" w:rsidRPr="00610904">
        <w:rPr>
          <w:noProof w:val="0"/>
          <w:spacing w:val="-2"/>
          <w:szCs w:val="20"/>
          <w:lang w:val="en-US"/>
        </w:rPr>
        <w:t xml:space="preserve"> a positive element</w:t>
      </w:r>
      <w:r w:rsidR="00953111" w:rsidRPr="00610904">
        <w:rPr>
          <w:noProof w:val="0"/>
          <w:spacing w:val="-2"/>
          <w:szCs w:val="20"/>
          <w:lang w:val="en-US"/>
        </w:rPr>
        <w:t>,</w:t>
      </w:r>
      <w:r w:rsidR="00922321" w:rsidRPr="00610904">
        <w:rPr>
          <w:noProof w:val="0"/>
          <w:spacing w:val="-2"/>
          <w:szCs w:val="20"/>
          <w:lang w:val="en-US"/>
        </w:rPr>
        <w:t xml:space="preserve"> and appreciates the institutional effort that has been made to provide quality medical care through the public sector, the Court finds it pertinent that, for the health care to fulfill a reparatory function in this specific case, the State must provide the level of prevention, treatment, care and support that Talía’s health care requires. </w:t>
      </w:r>
    </w:p>
    <w:p w:rsidR="003040F7" w:rsidRPr="00610904" w:rsidRDefault="003040F7" w:rsidP="00610904">
      <w:pPr>
        <w:pStyle w:val="MediumGrid1-Accent21"/>
        <w:rPr>
          <w:noProof w:val="0"/>
          <w:spacing w:val="-2"/>
          <w:szCs w:val="20"/>
          <w:lang w:val="en-US"/>
        </w:rPr>
      </w:pPr>
    </w:p>
    <w:p w:rsidR="00922321" w:rsidRPr="00610904" w:rsidRDefault="00922321" w:rsidP="00610904">
      <w:pPr>
        <w:numPr>
          <w:ilvl w:val="0"/>
          <w:numId w:val="1"/>
        </w:numPr>
        <w:contextualSpacing/>
        <w:rPr>
          <w:noProof w:val="0"/>
          <w:spacing w:val="-2"/>
          <w:szCs w:val="20"/>
          <w:lang w:val="en-US"/>
        </w:rPr>
      </w:pPr>
      <w:r w:rsidRPr="00610904">
        <w:rPr>
          <w:noProof w:val="0"/>
          <w:spacing w:val="-2"/>
          <w:szCs w:val="20"/>
          <w:lang w:val="en-US"/>
        </w:rPr>
        <w:t xml:space="preserve">Therefore, </w:t>
      </w:r>
      <w:r w:rsidR="009F3D78" w:rsidRPr="00610904">
        <w:rPr>
          <w:noProof w:val="0"/>
          <w:spacing w:val="-2"/>
          <w:szCs w:val="20"/>
          <w:lang w:val="en-US"/>
        </w:rPr>
        <w:t>the Court</w:t>
      </w:r>
      <w:r w:rsidR="003040F7" w:rsidRPr="00610904">
        <w:rPr>
          <w:noProof w:val="0"/>
          <w:spacing w:val="-2"/>
          <w:szCs w:val="20"/>
          <w:lang w:val="en-US"/>
        </w:rPr>
        <w:t xml:space="preserve"> </w:t>
      </w:r>
      <w:r w:rsidRPr="00610904">
        <w:rPr>
          <w:noProof w:val="0"/>
          <w:spacing w:val="-2"/>
          <w:szCs w:val="20"/>
          <w:lang w:val="en-US"/>
        </w:rPr>
        <w:t>finds, as it has in other cases,</w:t>
      </w:r>
      <w:r w:rsidR="003040F7" w:rsidRPr="00610904">
        <w:rPr>
          <w:rStyle w:val="FootnoteReference"/>
          <w:noProof w:val="0"/>
          <w:spacing w:val="-2"/>
          <w:lang w:val="en-US"/>
        </w:rPr>
        <w:footnoteReference w:id="378"/>
      </w:r>
      <w:r w:rsidRPr="00610904">
        <w:rPr>
          <w:noProof w:val="0"/>
          <w:spacing w:val="-2"/>
          <w:szCs w:val="20"/>
          <w:lang w:val="en-US"/>
        </w:rPr>
        <w:t xml:space="preserve"> that it is necessary to </w:t>
      </w:r>
      <w:r w:rsidR="00856968" w:rsidRPr="00610904">
        <w:rPr>
          <w:noProof w:val="0"/>
          <w:spacing w:val="-2"/>
          <w:szCs w:val="20"/>
          <w:lang w:val="en-US"/>
        </w:rPr>
        <w:t>establish</w:t>
      </w:r>
      <w:r w:rsidR="003040F7" w:rsidRPr="00610904">
        <w:rPr>
          <w:noProof w:val="0"/>
          <w:spacing w:val="-2"/>
          <w:szCs w:val="20"/>
          <w:lang w:val="en-US"/>
        </w:rPr>
        <w:t xml:space="preserve"> </w:t>
      </w:r>
      <w:r w:rsidRPr="00610904">
        <w:rPr>
          <w:noProof w:val="0"/>
          <w:spacing w:val="-2"/>
          <w:szCs w:val="20"/>
          <w:lang w:val="en-US"/>
        </w:rPr>
        <w:t xml:space="preserve">a measure that provides adequate treatment for the physical and psychological problems suffered by </w:t>
      </w:r>
      <w:r w:rsidR="00CD3738" w:rsidRPr="00610904">
        <w:rPr>
          <w:noProof w:val="0"/>
          <w:spacing w:val="-2"/>
          <w:szCs w:val="20"/>
          <w:lang w:val="en-US"/>
        </w:rPr>
        <w:t>Talía</w:t>
      </w:r>
      <w:r w:rsidRPr="00610904">
        <w:rPr>
          <w:noProof w:val="0"/>
          <w:spacing w:val="-2"/>
          <w:szCs w:val="20"/>
          <w:lang w:val="en-US"/>
        </w:rPr>
        <w:t xml:space="preserve"> as a result of the violations established in this Judgment. Thus, the Court establishes the State’s obligation to provide immediately and free of charge, through specialized public health institutions or specialized health care personnel, prompt, adequate and effective medical and psychological or psychiatric treatment to </w:t>
      </w:r>
      <w:r w:rsidR="00CD3738" w:rsidRPr="00610904">
        <w:rPr>
          <w:noProof w:val="0"/>
          <w:spacing w:val="-2"/>
          <w:szCs w:val="20"/>
          <w:lang w:val="en-US"/>
        </w:rPr>
        <w:t>Talía</w:t>
      </w:r>
      <w:r w:rsidR="003040F7" w:rsidRPr="00610904">
        <w:rPr>
          <w:noProof w:val="0"/>
          <w:spacing w:val="-2"/>
          <w:szCs w:val="20"/>
          <w:lang w:val="en-US"/>
        </w:rPr>
        <w:t xml:space="preserve"> Gonzales Lluy, inclu</w:t>
      </w:r>
      <w:r w:rsidRPr="00610904">
        <w:rPr>
          <w:noProof w:val="0"/>
          <w:spacing w:val="-2"/>
          <w:szCs w:val="20"/>
          <w:lang w:val="en-US"/>
        </w:rPr>
        <w:t>ding the provision, also free of charge, of the medicines that she may require, tak</w:t>
      </w:r>
      <w:r w:rsidR="00953111" w:rsidRPr="00610904">
        <w:rPr>
          <w:noProof w:val="0"/>
          <w:spacing w:val="-2"/>
          <w:szCs w:val="20"/>
          <w:lang w:val="en-US"/>
        </w:rPr>
        <w:t>ing into consideration her ailm</w:t>
      </w:r>
      <w:r w:rsidRPr="00610904">
        <w:rPr>
          <w:noProof w:val="0"/>
          <w:spacing w:val="-2"/>
          <w:szCs w:val="20"/>
          <w:lang w:val="en-US"/>
        </w:rPr>
        <w:t>ents. If the State lacks such resources, it must have recourse to private or specialized civil society institutions. In addition, the respective treatment must be provided, insofar as possible, in the center neares</w:t>
      </w:r>
      <w:r w:rsidR="00953111" w:rsidRPr="00610904">
        <w:rPr>
          <w:noProof w:val="0"/>
          <w:spacing w:val="-2"/>
          <w:szCs w:val="20"/>
          <w:lang w:val="en-US"/>
        </w:rPr>
        <w:t>t</w:t>
      </w:r>
      <w:r w:rsidRPr="00610904">
        <w:rPr>
          <w:noProof w:val="0"/>
          <w:spacing w:val="-2"/>
          <w:szCs w:val="20"/>
          <w:lang w:val="en-US"/>
        </w:rPr>
        <w:t xml:space="preserve"> to her place of residence in Ecuador for </w:t>
      </w:r>
      <w:r w:rsidR="00953111" w:rsidRPr="00610904">
        <w:rPr>
          <w:noProof w:val="0"/>
          <w:spacing w:val="-2"/>
          <w:szCs w:val="20"/>
          <w:lang w:val="en-US"/>
        </w:rPr>
        <w:t>as long as</w:t>
      </w:r>
      <w:r w:rsidRPr="00610904">
        <w:rPr>
          <w:noProof w:val="0"/>
          <w:spacing w:val="-2"/>
          <w:szCs w:val="20"/>
          <w:lang w:val="en-US"/>
        </w:rPr>
        <w:t xml:space="preserve"> necessary. The vict</w:t>
      </w:r>
      <w:r w:rsidR="00953111" w:rsidRPr="00610904">
        <w:rPr>
          <w:noProof w:val="0"/>
          <w:spacing w:val="-2"/>
          <w:szCs w:val="20"/>
          <w:lang w:val="en-US"/>
        </w:rPr>
        <w:t>im or</w:t>
      </w:r>
      <w:r w:rsidRPr="00610904">
        <w:rPr>
          <w:noProof w:val="0"/>
          <w:spacing w:val="-2"/>
          <w:szCs w:val="20"/>
          <w:lang w:val="en-US"/>
        </w:rPr>
        <w:t xml:space="preserve"> her legal representatives have six months from notification of this Judgment to advise the State of her intention to receive psychological and/or psychiatric treatment.</w:t>
      </w:r>
    </w:p>
    <w:p w:rsidR="003040F7" w:rsidRPr="00610904" w:rsidRDefault="003040F7" w:rsidP="00610904">
      <w:pPr>
        <w:ind w:left="720"/>
        <w:contextualSpacing/>
        <w:rPr>
          <w:noProof w:val="0"/>
          <w:spacing w:val="-2"/>
          <w:szCs w:val="20"/>
          <w:lang w:val="en-US"/>
        </w:rPr>
      </w:pPr>
    </w:p>
    <w:p w:rsidR="00922321" w:rsidRPr="00610904" w:rsidRDefault="00922321" w:rsidP="00610904">
      <w:pPr>
        <w:numPr>
          <w:ilvl w:val="0"/>
          <w:numId w:val="1"/>
        </w:numPr>
        <w:contextualSpacing/>
        <w:rPr>
          <w:noProof w:val="0"/>
          <w:spacing w:val="-2"/>
          <w:szCs w:val="20"/>
          <w:lang w:val="en-US"/>
        </w:rPr>
      </w:pPr>
      <w:r w:rsidRPr="00610904">
        <w:rPr>
          <w:noProof w:val="0"/>
          <w:szCs w:val="20"/>
          <w:lang w:val="en-US"/>
        </w:rPr>
        <w:t xml:space="preserve">Furthermore, in emergency situations, the Court establishes that the State must </w:t>
      </w:r>
      <w:r w:rsidR="00953111" w:rsidRPr="00610904">
        <w:rPr>
          <w:noProof w:val="0"/>
          <w:szCs w:val="20"/>
          <w:lang w:val="en-US"/>
        </w:rPr>
        <w:t xml:space="preserve">adopt </w:t>
      </w:r>
      <w:r w:rsidRPr="00610904">
        <w:rPr>
          <w:noProof w:val="0"/>
          <w:szCs w:val="20"/>
          <w:lang w:val="en-US"/>
        </w:rPr>
        <w:t xml:space="preserve">the recommendations of the doctor indicated by Talía. Also, if that doctor determines that there is a well-founded reason for Talía to receive treatment under the private health care system, the State must cover the required expenses to restore her health. It will be for the State to prove before the Court that this measure remains in place and, every three </w:t>
      </w:r>
      <w:proofErr w:type="gramStart"/>
      <w:r w:rsidRPr="00610904">
        <w:rPr>
          <w:noProof w:val="0"/>
          <w:szCs w:val="20"/>
          <w:lang w:val="en-US"/>
        </w:rPr>
        <w:t>months,</w:t>
      </w:r>
      <w:proofErr w:type="gramEnd"/>
      <w:r w:rsidRPr="00610904">
        <w:rPr>
          <w:noProof w:val="0"/>
          <w:szCs w:val="20"/>
          <w:lang w:val="en-US"/>
        </w:rPr>
        <w:t xml:space="preserve"> it must present a report on the measure.</w:t>
      </w:r>
    </w:p>
    <w:p w:rsidR="003040F7" w:rsidRPr="00610904" w:rsidRDefault="003040F7" w:rsidP="00610904">
      <w:pPr>
        <w:contextualSpacing/>
        <w:rPr>
          <w:noProof w:val="0"/>
          <w:color w:val="00B050"/>
          <w:spacing w:val="-2"/>
          <w:szCs w:val="20"/>
          <w:lang w:val="en-US"/>
        </w:rPr>
      </w:pPr>
    </w:p>
    <w:p w:rsidR="003040F7" w:rsidRPr="00610904" w:rsidRDefault="003040F7" w:rsidP="00610904">
      <w:pPr>
        <w:ind w:left="709" w:firstLine="708"/>
        <w:outlineLvl w:val="2"/>
        <w:rPr>
          <w:i/>
          <w:noProof w:val="0"/>
          <w:spacing w:val="-2"/>
          <w:lang w:val="en-US"/>
        </w:rPr>
      </w:pPr>
      <w:bookmarkStart w:id="170" w:name="_Toc426108484"/>
      <w:bookmarkStart w:id="171" w:name="_Toc443399124"/>
      <w:r w:rsidRPr="00610904">
        <w:rPr>
          <w:i/>
          <w:noProof w:val="0"/>
          <w:spacing w:val="-2"/>
          <w:lang w:val="en-US"/>
        </w:rPr>
        <w:t>C.3)</w:t>
      </w:r>
      <w:r w:rsidRPr="00610904">
        <w:rPr>
          <w:i/>
          <w:noProof w:val="0"/>
          <w:spacing w:val="-2"/>
          <w:lang w:val="en-US"/>
        </w:rPr>
        <w:tab/>
      </w:r>
      <w:r w:rsidR="00922321" w:rsidRPr="00610904">
        <w:rPr>
          <w:i/>
          <w:noProof w:val="0"/>
          <w:spacing w:val="-2"/>
          <w:lang w:val="en-US"/>
        </w:rPr>
        <w:t>Measures of satisfaction</w:t>
      </w:r>
      <w:bookmarkEnd w:id="170"/>
      <w:bookmarkEnd w:id="171"/>
    </w:p>
    <w:p w:rsidR="003040F7" w:rsidRPr="00610904" w:rsidRDefault="003040F7" w:rsidP="00610904">
      <w:pPr>
        <w:rPr>
          <w:noProof w:val="0"/>
          <w:lang w:val="en-US"/>
        </w:rPr>
      </w:pPr>
    </w:p>
    <w:p w:rsidR="003040F7" w:rsidRPr="00610904" w:rsidRDefault="003040F7" w:rsidP="00610904">
      <w:pPr>
        <w:pStyle w:val="Heading4"/>
        <w:spacing w:before="0" w:after="0"/>
        <w:rPr>
          <w:rFonts w:eastAsia="Batang"/>
          <w:noProof w:val="0"/>
          <w:lang w:val="en-US"/>
        </w:rPr>
      </w:pPr>
      <w:r w:rsidRPr="00610904">
        <w:rPr>
          <w:rFonts w:eastAsia="Batang"/>
          <w:noProof w:val="0"/>
          <w:lang w:val="en-US"/>
        </w:rPr>
        <w:tab/>
      </w:r>
      <w:bookmarkStart w:id="172" w:name="_Toc443399125"/>
      <w:r w:rsidRPr="00610904">
        <w:rPr>
          <w:rFonts w:eastAsia="Batang"/>
          <w:noProof w:val="0"/>
          <w:lang w:val="en-US"/>
        </w:rPr>
        <w:t xml:space="preserve">C.3.1) </w:t>
      </w:r>
      <w:r w:rsidR="00856968" w:rsidRPr="00610904">
        <w:rPr>
          <w:rFonts w:eastAsia="Batang"/>
          <w:noProof w:val="0"/>
          <w:lang w:val="en-US"/>
        </w:rPr>
        <w:t>Publication</w:t>
      </w:r>
      <w:r w:rsidRPr="00610904">
        <w:rPr>
          <w:rFonts w:eastAsia="Batang"/>
          <w:noProof w:val="0"/>
          <w:lang w:val="en-US"/>
        </w:rPr>
        <w:t xml:space="preserve"> </w:t>
      </w:r>
      <w:r w:rsidR="004A6E8B" w:rsidRPr="00610904">
        <w:rPr>
          <w:rFonts w:eastAsia="Batang"/>
          <w:noProof w:val="0"/>
          <w:lang w:val="en-US"/>
        </w:rPr>
        <w:t>of this Judgment</w:t>
      </w:r>
      <w:bookmarkEnd w:id="172"/>
    </w:p>
    <w:p w:rsidR="003040F7" w:rsidRPr="00610904" w:rsidRDefault="003040F7" w:rsidP="00610904">
      <w:pPr>
        <w:rPr>
          <w:i/>
          <w:noProof w:val="0"/>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noProof w:val="0"/>
          <w:spacing w:val="-2"/>
          <w:szCs w:val="20"/>
          <w:lang w:val="en-US"/>
        </w:rPr>
        <w:t xml:space="preserve"> </w:t>
      </w:r>
      <w:r w:rsidR="00922321" w:rsidRPr="00610904">
        <w:rPr>
          <w:noProof w:val="0"/>
          <w:spacing w:val="-2"/>
          <w:szCs w:val="20"/>
          <w:lang w:val="en-US"/>
        </w:rPr>
        <w:t xml:space="preserve">asked that the State publish the official summary </w:t>
      </w:r>
      <w:r w:rsidR="004A6E8B" w:rsidRPr="00610904">
        <w:rPr>
          <w:noProof w:val="0"/>
          <w:spacing w:val="-2"/>
          <w:szCs w:val="20"/>
          <w:lang w:val="en-US"/>
        </w:rPr>
        <w:t>of this Judgment</w:t>
      </w:r>
      <w:r w:rsidR="00972F01" w:rsidRPr="00610904">
        <w:rPr>
          <w:noProof w:val="0"/>
          <w:spacing w:val="-2"/>
          <w:szCs w:val="20"/>
          <w:lang w:val="en-US"/>
        </w:rPr>
        <w:t xml:space="preserve"> </w:t>
      </w:r>
      <w:r w:rsidR="00E84932" w:rsidRPr="00610904">
        <w:rPr>
          <w:noProof w:val="0"/>
          <w:spacing w:val="-2"/>
          <w:szCs w:val="20"/>
          <w:lang w:val="en-US"/>
        </w:rPr>
        <w:t>in the Official G</w:t>
      </w:r>
      <w:r w:rsidR="00922321" w:rsidRPr="00610904">
        <w:rPr>
          <w:noProof w:val="0"/>
          <w:spacing w:val="-2"/>
          <w:szCs w:val="20"/>
          <w:lang w:val="en-US"/>
        </w:rPr>
        <w:t>azette; in a newspaper with widespread national and local circulati</w:t>
      </w:r>
      <w:r w:rsidR="00953111" w:rsidRPr="00610904">
        <w:rPr>
          <w:noProof w:val="0"/>
          <w:spacing w:val="-2"/>
          <w:szCs w:val="20"/>
          <w:lang w:val="en-US"/>
        </w:rPr>
        <w:t>on in Cuenca, and on the website</w:t>
      </w:r>
      <w:r w:rsidR="00922321" w:rsidRPr="00610904">
        <w:rPr>
          <w:noProof w:val="0"/>
          <w:spacing w:val="-2"/>
          <w:szCs w:val="20"/>
          <w:lang w:val="en-US"/>
        </w:rPr>
        <w:t>s of the Ministry of Justice, Human Rights and Worship</w:t>
      </w:r>
      <w:r w:rsidR="00972F01" w:rsidRPr="00610904">
        <w:rPr>
          <w:noProof w:val="0"/>
          <w:spacing w:val="-2"/>
          <w:szCs w:val="20"/>
          <w:lang w:val="en-US"/>
        </w:rPr>
        <w:t>,</w:t>
      </w:r>
      <w:r w:rsidR="00922321" w:rsidRPr="00610904">
        <w:rPr>
          <w:noProof w:val="0"/>
          <w:spacing w:val="-2"/>
          <w:szCs w:val="20"/>
          <w:lang w:val="en-US"/>
        </w:rPr>
        <w:t xml:space="preserve"> the</w:t>
      </w:r>
      <w:r w:rsidR="003040F7" w:rsidRPr="00610904">
        <w:rPr>
          <w:noProof w:val="0"/>
          <w:spacing w:val="-2"/>
          <w:szCs w:val="20"/>
          <w:lang w:val="en-US"/>
        </w:rPr>
        <w:t xml:space="preserve"> </w:t>
      </w:r>
      <w:r w:rsidR="00830022" w:rsidRPr="00610904">
        <w:rPr>
          <w:noProof w:val="0"/>
          <w:spacing w:val="-2"/>
          <w:szCs w:val="20"/>
          <w:lang w:val="en-US"/>
        </w:rPr>
        <w:t>Ministry of Public Health</w:t>
      </w:r>
      <w:r w:rsidR="003040F7" w:rsidRPr="00610904">
        <w:rPr>
          <w:noProof w:val="0"/>
          <w:spacing w:val="-2"/>
          <w:szCs w:val="20"/>
          <w:lang w:val="en-US"/>
        </w:rPr>
        <w:t>,</w:t>
      </w:r>
      <w:r w:rsidRPr="00610904">
        <w:rPr>
          <w:noProof w:val="0"/>
          <w:spacing w:val="-2"/>
          <w:szCs w:val="20"/>
          <w:lang w:val="en-US"/>
        </w:rPr>
        <w:t xml:space="preserve"> and </w:t>
      </w:r>
      <w:r w:rsidR="00922321" w:rsidRPr="00610904">
        <w:rPr>
          <w:noProof w:val="0"/>
          <w:spacing w:val="-2"/>
          <w:szCs w:val="20"/>
          <w:lang w:val="en-US"/>
        </w:rPr>
        <w:t>the Ministry of Education</w:t>
      </w:r>
      <w:r w:rsidR="003040F7"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zCs w:val="20"/>
          <w:lang w:val="en-US"/>
        </w:rPr>
        <w:lastRenderedPageBreak/>
        <w:t>The State</w:t>
      </w:r>
      <w:r w:rsidR="003040F7" w:rsidRPr="00610904">
        <w:rPr>
          <w:noProof w:val="0"/>
          <w:szCs w:val="20"/>
          <w:lang w:val="en-US"/>
        </w:rPr>
        <w:t xml:space="preserve"> </w:t>
      </w:r>
      <w:r w:rsidR="00922321" w:rsidRPr="00610904">
        <w:rPr>
          <w:noProof w:val="0"/>
          <w:szCs w:val="20"/>
          <w:lang w:val="en-US"/>
        </w:rPr>
        <w:t>indicated that, if the Court should determine its responsi</w:t>
      </w:r>
      <w:r w:rsidR="00953111" w:rsidRPr="00610904">
        <w:rPr>
          <w:noProof w:val="0"/>
          <w:szCs w:val="20"/>
          <w:lang w:val="en-US"/>
        </w:rPr>
        <w:t>bility, it “would consider publ</w:t>
      </w:r>
      <w:r w:rsidR="00922321" w:rsidRPr="00610904">
        <w:rPr>
          <w:noProof w:val="0"/>
          <w:szCs w:val="20"/>
          <w:lang w:val="en-US"/>
        </w:rPr>
        <w:t>ishing the official summary of the jud</w:t>
      </w:r>
      <w:r w:rsidR="00953111" w:rsidRPr="00610904">
        <w:rPr>
          <w:noProof w:val="0"/>
          <w:szCs w:val="20"/>
          <w:lang w:val="en-US"/>
        </w:rPr>
        <w:t>gment in the national newspaper</w:t>
      </w:r>
      <w:r w:rsidR="00922321" w:rsidRPr="00610904">
        <w:rPr>
          <w:noProof w:val="0"/>
          <w:szCs w:val="20"/>
          <w:lang w:val="en-US"/>
        </w:rPr>
        <w:t xml:space="preserve"> </w:t>
      </w:r>
      <w:r w:rsidR="003040F7" w:rsidRPr="00610904">
        <w:rPr>
          <w:i/>
          <w:noProof w:val="0"/>
          <w:szCs w:val="20"/>
          <w:lang w:val="en-US"/>
        </w:rPr>
        <w:t>El Telégrafo</w:t>
      </w:r>
      <w:r w:rsidR="00922321" w:rsidRPr="00610904">
        <w:rPr>
          <w:i/>
          <w:noProof w:val="0"/>
          <w:szCs w:val="20"/>
          <w:lang w:val="en-US"/>
        </w:rPr>
        <w:t>,</w:t>
      </w:r>
      <w:r w:rsidR="00953111" w:rsidRPr="00610904">
        <w:rPr>
          <w:i/>
          <w:noProof w:val="0"/>
          <w:szCs w:val="20"/>
          <w:lang w:val="en-US"/>
        </w:rPr>
        <w:t xml:space="preserve"> </w:t>
      </w:r>
      <w:r w:rsidR="00922321" w:rsidRPr="00610904">
        <w:rPr>
          <w:noProof w:val="0"/>
          <w:szCs w:val="20"/>
          <w:lang w:val="en-US"/>
        </w:rPr>
        <w:t>[and</w:t>
      </w:r>
      <w:r w:rsidR="003040F7" w:rsidRPr="00610904">
        <w:rPr>
          <w:noProof w:val="0"/>
          <w:szCs w:val="20"/>
          <w:lang w:val="en-US"/>
        </w:rPr>
        <w:t xml:space="preserve">] </w:t>
      </w:r>
      <w:r w:rsidR="00922321" w:rsidRPr="00610904">
        <w:rPr>
          <w:noProof w:val="0"/>
          <w:szCs w:val="20"/>
          <w:lang w:val="en-US"/>
        </w:rPr>
        <w:t>would make the publications on the different websites of the institutions as requested.” It also indicated that it would publis</w:t>
      </w:r>
      <w:r w:rsidR="00953111" w:rsidRPr="00610904">
        <w:rPr>
          <w:noProof w:val="0"/>
          <w:szCs w:val="20"/>
          <w:lang w:val="en-US"/>
        </w:rPr>
        <w:t>h</w:t>
      </w:r>
      <w:r w:rsidR="00922321" w:rsidRPr="00610904">
        <w:rPr>
          <w:noProof w:val="0"/>
          <w:szCs w:val="20"/>
          <w:lang w:val="en-US"/>
        </w:rPr>
        <w:t xml:space="preserve"> the official </w:t>
      </w:r>
      <w:r w:rsidR="00E84932" w:rsidRPr="00610904">
        <w:rPr>
          <w:noProof w:val="0"/>
          <w:szCs w:val="20"/>
          <w:lang w:val="en-US"/>
        </w:rPr>
        <w:t>summary of the judgment in the Official G</w:t>
      </w:r>
      <w:r w:rsidR="00922321" w:rsidRPr="00610904">
        <w:rPr>
          <w:noProof w:val="0"/>
          <w:szCs w:val="20"/>
          <w:lang w:val="en-US"/>
        </w:rPr>
        <w:t xml:space="preserve">azette, owing to “the importance that the State […] accords to this type of measure </w:t>
      </w:r>
      <w:r w:rsidR="00953111" w:rsidRPr="00610904">
        <w:rPr>
          <w:noProof w:val="0"/>
          <w:szCs w:val="20"/>
          <w:lang w:val="en-US"/>
        </w:rPr>
        <w:t>which</w:t>
      </w:r>
      <w:r w:rsidR="00922321" w:rsidRPr="00610904">
        <w:rPr>
          <w:noProof w:val="0"/>
          <w:szCs w:val="20"/>
          <w:lang w:val="en-US"/>
        </w:rPr>
        <w:t xml:space="preserve"> ensures that […] the general p</w:t>
      </w:r>
      <w:r w:rsidR="00953111" w:rsidRPr="00610904">
        <w:rPr>
          <w:noProof w:val="0"/>
          <w:szCs w:val="20"/>
          <w:lang w:val="en-US"/>
        </w:rPr>
        <w:t>ublic</w:t>
      </w:r>
      <w:r w:rsidR="00922321" w:rsidRPr="00610904">
        <w:rPr>
          <w:noProof w:val="0"/>
          <w:szCs w:val="20"/>
          <w:lang w:val="en-US"/>
        </w:rPr>
        <w:t xml:space="preserve"> </w:t>
      </w:r>
      <w:r w:rsidR="003040F7" w:rsidRPr="00610904">
        <w:rPr>
          <w:noProof w:val="0"/>
          <w:szCs w:val="20"/>
          <w:lang w:val="en-US"/>
        </w:rPr>
        <w:t>a</w:t>
      </w:r>
      <w:r w:rsidR="00922321" w:rsidRPr="00610904">
        <w:rPr>
          <w:noProof w:val="0"/>
          <w:szCs w:val="20"/>
          <w:lang w:val="en-US"/>
        </w:rPr>
        <w:t xml:space="preserve">re informed of the Court’s ruling and its scope.” </w:t>
      </w:r>
    </w:p>
    <w:p w:rsidR="003040F7" w:rsidRPr="00610904" w:rsidRDefault="003040F7" w:rsidP="00610904">
      <w:pPr>
        <w:contextualSpacing/>
        <w:rPr>
          <w:noProof w:val="0"/>
          <w:spacing w:val="-2"/>
          <w:szCs w:val="20"/>
          <w:lang w:val="en-US"/>
        </w:rPr>
      </w:pPr>
    </w:p>
    <w:p w:rsidR="003040F7" w:rsidRPr="00610904" w:rsidRDefault="002F5BBA" w:rsidP="00610904">
      <w:pPr>
        <w:numPr>
          <w:ilvl w:val="0"/>
          <w:numId w:val="1"/>
        </w:numPr>
        <w:contextualSpacing/>
        <w:rPr>
          <w:noProof w:val="0"/>
          <w:spacing w:val="-2"/>
          <w:szCs w:val="20"/>
          <w:lang w:val="en-US"/>
        </w:rPr>
      </w:pPr>
      <w:r w:rsidRPr="00610904">
        <w:rPr>
          <w:noProof w:val="0"/>
          <w:spacing w:val="-2"/>
          <w:szCs w:val="20"/>
          <w:lang w:val="en-US"/>
        </w:rPr>
        <w:t>The Commission</w:t>
      </w:r>
      <w:r w:rsidR="003040F7" w:rsidRPr="00610904">
        <w:rPr>
          <w:noProof w:val="0"/>
          <w:spacing w:val="-2"/>
          <w:szCs w:val="20"/>
          <w:lang w:val="en-US"/>
        </w:rPr>
        <w:t xml:space="preserve"> </w:t>
      </w:r>
      <w:r w:rsidR="00922321" w:rsidRPr="00610904">
        <w:rPr>
          <w:noProof w:val="0"/>
          <w:spacing w:val="-2"/>
          <w:szCs w:val="20"/>
          <w:lang w:val="en-US"/>
        </w:rPr>
        <w:t>did not refer to this request</w:t>
      </w:r>
      <w:r w:rsidR="003040F7"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922321"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w:t>
      </w:r>
      <w:r w:rsidR="00922321" w:rsidRPr="00610904">
        <w:rPr>
          <w:noProof w:val="0"/>
          <w:spacing w:val="-2"/>
          <w:szCs w:val="20"/>
          <w:lang w:val="en-US"/>
        </w:rPr>
        <w:t>establishes, as it has in other cases,</w:t>
      </w:r>
      <w:r w:rsidR="003040F7" w:rsidRPr="00610904">
        <w:rPr>
          <w:rFonts w:cs="Times New Roman"/>
          <w:noProof w:val="0"/>
          <w:spacing w:val="-2"/>
          <w:szCs w:val="20"/>
          <w:vertAlign w:val="superscript"/>
          <w:lang w:val="en-US"/>
        </w:rPr>
        <w:footnoteReference w:id="379"/>
      </w:r>
      <w:r w:rsidR="00922321" w:rsidRPr="00610904">
        <w:rPr>
          <w:noProof w:val="0"/>
          <w:spacing w:val="-2"/>
          <w:szCs w:val="20"/>
          <w:lang w:val="en-US"/>
        </w:rPr>
        <w:t xml:space="preserve"> that the State must publish, within six months </w:t>
      </w:r>
      <w:r w:rsidR="004A6E8B" w:rsidRPr="00610904">
        <w:rPr>
          <w:noProof w:val="0"/>
          <w:spacing w:val="-2"/>
          <w:szCs w:val="20"/>
          <w:lang w:val="en-US"/>
        </w:rPr>
        <w:t>of notification of this Judgment</w:t>
      </w:r>
      <w:r w:rsidR="003040F7" w:rsidRPr="00610904">
        <w:rPr>
          <w:noProof w:val="0"/>
          <w:spacing w:val="-2"/>
          <w:szCs w:val="20"/>
          <w:lang w:val="en-US"/>
        </w:rPr>
        <w:t xml:space="preserve">: </w:t>
      </w:r>
      <w:r w:rsidR="00922321" w:rsidRPr="00610904">
        <w:rPr>
          <w:noProof w:val="0"/>
          <w:spacing w:val="-2"/>
          <w:szCs w:val="20"/>
          <w:lang w:val="en-US"/>
        </w:rPr>
        <w:t>(</w:t>
      </w:r>
      <w:r w:rsidR="003040F7" w:rsidRPr="00610904">
        <w:rPr>
          <w:noProof w:val="0"/>
          <w:spacing w:val="-2"/>
          <w:szCs w:val="20"/>
          <w:lang w:val="en-US"/>
        </w:rPr>
        <w:t xml:space="preserve">a) </w:t>
      </w:r>
      <w:r w:rsidR="00922321" w:rsidRPr="00610904">
        <w:rPr>
          <w:noProof w:val="0"/>
          <w:spacing w:val="-2"/>
          <w:szCs w:val="20"/>
          <w:lang w:val="en-US"/>
        </w:rPr>
        <w:t>the official summary</w:t>
      </w:r>
      <w:r w:rsidR="003040F7" w:rsidRPr="00610904">
        <w:rPr>
          <w:noProof w:val="0"/>
          <w:spacing w:val="-2"/>
          <w:szCs w:val="20"/>
          <w:lang w:val="en-US"/>
        </w:rPr>
        <w:t xml:space="preserve"> </w:t>
      </w:r>
      <w:r w:rsidR="004A6E8B" w:rsidRPr="00610904">
        <w:rPr>
          <w:noProof w:val="0"/>
          <w:spacing w:val="-2"/>
          <w:szCs w:val="20"/>
          <w:lang w:val="en-US"/>
        </w:rPr>
        <w:t>of this Judgment</w:t>
      </w:r>
      <w:r w:rsidR="003040F7" w:rsidRPr="00610904">
        <w:rPr>
          <w:noProof w:val="0"/>
          <w:spacing w:val="-2"/>
          <w:szCs w:val="20"/>
          <w:lang w:val="en-US"/>
        </w:rPr>
        <w:t xml:space="preserve"> </w:t>
      </w:r>
      <w:r w:rsidR="00922321" w:rsidRPr="00610904">
        <w:rPr>
          <w:noProof w:val="0"/>
          <w:spacing w:val="-2"/>
          <w:szCs w:val="20"/>
          <w:lang w:val="en-US"/>
        </w:rPr>
        <w:t>prepared by</w:t>
      </w:r>
      <w:r w:rsidR="003040F7" w:rsidRPr="00610904">
        <w:rPr>
          <w:noProof w:val="0"/>
          <w:spacing w:val="-2"/>
          <w:szCs w:val="20"/>
          <w:lang w:val="en-US"/>
        </w:rPr>
        <w:t xml:space="preserve"> </w:t>
      </w:r>
      <w:r w:rsidRPr="00610904">
        <w:rPr>
          <w:noProof w:val="0"/>
          <w:spacing w:val="-2"/>
          <w:szCs w:val="20"/>
          <w:lang w:val="en-US"/>
        </w:rPr>
        <w:t>the Court</w:t>
      </w:r>
      <w:r w:rsidR="003040F7" w:rsidRPr="00610904">
        <w:rPr>
          <w:noProof w:val="0"/>
          <w:spacing w:val="-2"/>
          <w:szCs w:val="20"/>
          <w:lang w:val="en-US"/>
        </w:rPr>
        <w:t xml:space="preserve">, </w:t>
      </w:r>
      <w:r w:rsidR="00E84932" w:rsidRPr="00610904">
        <w:rPr>
          <w:noProof w:val="0"/>
          <w:spacing w:val="-2"/>
          <w:szCs w:val="20"/>
          <w:lang w:val="en-US"/>
        </w:rPr>
        <w:t>once, in the Official G</w:t>
      </w:r>
      <w:r w:rsidR="00922321" w:rsidRPr="00610904">
        <w:rPr>
          <w:noProof w:val="0"/>
          <w:spacing w:val="-2"/>
          <w:szCs w:val="20"/>
          <w:lang w:val="en-US"/>
        </w:rPr>
        <w:t>azette; (b) the official summary of this Judgment, once, in a national newspaper with widespread circulation, and (c) this Judgment in its entirety, av</w:t>
      </w:r>
      <w:r w:rsidR="00953111" w:rsidRPr="00610904">
        <w:rPr>
          <w:noProof w:val="0"/>
          <w:spacing w:val="-2"/>
          <w:szCs w:val="20"/>
          <w:lang w:val="en-US"/>
        </w:rPr>
        <w:t>a</w:t>
      </w:r>
      <w:r w:rsidR="00922321" w:rsidRPr="00610904">
        <w:rPr>
          <w:noProof w:val="0"/>
          <w:spacing w:val="-2"/>
          <w:szCs w:val="20"/>
          <w:lang w:val="en-US"/>
        </w:rPr>
        <w:t>ilable for at least one year on an official national website, so that it is accessible to the public.</w:t>
      </w:r>
    </w:p>
    <w:p w:rsidR="003040F7" w:rsidRPr="00610904" w:rsidRDefault="003040F7" w:rsidP="00610904">
      <w:pPr>
        <w:contextualSpacing/>
        <w:rPr>
          <w:noProof w:val="0"/>
          <w:spacing w:val="-2"/>
          <w:szCs w:val="20"/>
          <w:lang w:val="en-US"/>
        </w:rPr>
      </w:pPr>
    </w:p>
    <w:p w:rsidR="003040F7" w:rsidRPr="00610904" w:rsidRDefault="003040F7" w:rsidP="00610904">
      <w:pPr>
        <w:pStyle w:val="Heading4"/>
        <w:spacing w:before="0" w:after="0"/>
        <w:rPr>
          <w:rFonts w:eastAsia="Batang"/>
          <w:noProof w:val="0"/>
          <w:lang w:val="en-US"/>
        </w:rPr>
      </w:pPr>
      <w:bookmarkStart w:id="173" w:name="_Toc443399126"/>
      <w:r w:rsidRPr="00610904">
        <w:rPr>
          <w:rFonts w:eastAsia="Batang"/>
          <w:noProof w:val="0"/>
          <w:lang w:val="en-US"/>
        </w:rPr>
        <w:t xml:space="preserve">C.3.2) </w:t>
      </w:r>
      <w:r w:rsidR="00B45E43" w:rsidRPr="00610904">
        <w:rPr>
          <w:rFonts w:eastAsia="Batang"/>
          <w:noProof w:val="0"/>
          <w:lang w:val="en-US"/>
        </w:rPr>
        <w:t>Public act to acknowledge international responsibility</w:t>
      </w:r>
      <w:bookmarkEnd w:id="173"/>
    </w:p>
    <w:p w:rsidR="003040F7" w:rsidRPr="00610904" w:rsidRDefault="003040F7" w:rsidP="00610904">
      <w:pPr>
        <w:ind w:left="720"/>
        <w:contextualSpacing/>
        <w:rPr>
          <w:i/>
          <w:noProof w:val="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b/>
          <w:i/>
          <w:noProof w:val="0"/>
          <w:spacing w:val="-2"/>
          <w:szCs w:val="20"/>
          <w:lang w:val="en-US"/>
        </w:rPr>
        <w:t xml:space="preserve"> </w:t>
      </w:r>
      <w:r w:rsidR="00922321" w:rsidRPr="00610904">
        <w:rPr>
          <w:noProof w:val="0"/>
          <w:spacing w:val="-2"/>
          <w:szCs w:val="20"/>
          <w:lang w:val="en-US"/>
        </w:rPr>
        <w:t xml:space="preserve">asked that the State apologize, by the national radio and television network, for the human rights violations declared in this case, as well as for “the </w:t>
      </w:r>
      <w:r w:rsidR="00856968" w:rsidRPr="00610904">
        <w:rPr>
          <w:noProof w:val="0"/>
          <w:spacing w:val="-2"/>
          <w:szCs w:val="20"/>
          <w:lang w:val="en-US"/>
        </w:rPr>
        <w:t>humiliation</w:t>
      </w:r>
      <w:r w:rsidR="00922321" w:rsidRPr="00610904">
        <w:rPr>
          <w:noProof w:val="0"/>
          <w:spacing w:val="-2"/>
          <w:szCs w:val="20"/>
          <w:lang w:val="en-US"/>
        </w:rPr>
        <w:t xml:space="preserve"> suffered from numerous State officials, recognizing the more than 16 years” that the family has struggled, and indicating the individual and institutional responsibilities in order to prevent a repetition of these facts</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zCs w:val="20"/>
          <w:lang w:val="en-US"/>
        </w:rPr>
        <w:t>The State</w:t>
      </w:r>
      <w:r w:rsidR="00922321" w:rsidRPr="00610904">
        <w:rPr>
          <w:noProof w:val="0"/>
          <w:szCs w:val="20"/>
          <w:lang w:val="en-US"/>
        </w:rPr>
        <w:t>, in its</w:t>
      </w:r>
      <w:r w:rsidR="003040F7" w:rsidRPr="00610904">
        <w:rPr>
          <w:noProof w:val="0"/>
          <w:szCs w:val="20"/>
          <w:lang w:val="en-US"/>
        </w:rPr>
        <w:t xml:space="preserve"> </w:t>
      </w:r>
      <w:r w:rsidR="00A8072E" w:rsidRPr="00610904">
        <w:rPr>
          <w:noProof w:val="0"/>
          <w:szCs w:val="20"/>
          <w:lang w:val="en-US"/>
        </w:rPr>
        <w:t>answering brief</w:t>
      </w:r>
      <w:r w:rsidRPr="00610904">
        <w:rPr>
          <w:noProof w:val="0"/>
          <w:szCs w:val="20"/>
          <w:lang w:val="en-US"/>
        </w:rPr>
        <w:t xml:space="preserve"> and </w:t>
      </w:r>
      <w:r w:rsidR="00922321" w:rsidRPr="00610904">
        <w:rPr>
          <w:noProof w:val="0"/>
          <w:szCs w:val="20"/>
          <w:lang w:val="en-US"/>
        </w:rPr>
        <w:t>in its</w:t>
      </w:r>
      <w:r w:rsidR="003040F7" w:rsidRPr="00610904">
        <w:rPr>
          <w:noProof w:val="0"/>
          <w:szCs w:val="20"/>
          <w:lang w:val="en-US"/>
        </w:rPr>
        <w:t xml:space="preserve"> </w:t>
      </w:r>
      <w:r w:rsidR="00A8072E" w:rsidRPr="00610904">
        <w:rPr>
          <w:noProof w:val="0"/>
          <w:szCs w:val="20"/>
          <w:lang w:val="en-US"/>
        </w:rPr>
        <w:t>final written arguments</w:t>
      </w:r>
      <w:r w:rsidR="00922321" w:rsidRPr="00610904">
        <w:rPr>
          <w:noProof w:val="0"/>
          <w:szCs w:val="20"/>
          <w:lang w:val="en-US"/>
        </w:rPr>
        <w:t xml:space="preserve">, asked the Court to reject the </w:t>
      </w:r>
      <w:r w:rsidRPr="00610904">
        <w:rPr>
          <w:noProof w:val="0"/>
          <w:szCs w:val="20"/>
          <w:lang w:val="en-US"/>
        </w:rPr>
        <w:t>representatives</w:t>
      </w:r>
      <w:r w:rsidR="00922321" w:rsidRPr="00610904">
        <w:rPr>
          <w:noProof w:val="0"/>
          <w:szCs w:val="20"/>
          <w:lang w:val="en-US"/>
        </w:rPr>
        <w:t xml:space="preserve">’ request </w:t>
      </w:r>
      <w:r w:rsidR="00953111" w:rsidRPr="00610904">
        <w:rPr>
          <w:noProof w:val="0"/>
          <w:szCs w:val="20"/>
          <w:lang w:val="en-US"/>
        </w:rPr>
        <w:t>for</w:t>
      </w:r>
      <w:r w:rsidR="00922321" w:rsidRPr="00610904">
        <w:rPr>
          <w:noProof w:val="0"/>
          <w:szCs w:val="20"/>
          <w:lang w:val="en-US"/>
        </w:rPr>
        <w:t xml:space="preserve"> a public apology for the violations declared in this case </w:t>
      </w:r>
      <w:r w:rsidR="00922321" w:rsidRPr="00610904">
        <w:rPr>
          <w:noProof w:val="0"/>
          <w:spacing w:val="-2"/>
          <w:szCs w:val="20"/>
          <w:lang w:val="en-US"/>
        </w:rPr>
        <w:t>by the national radio and television network, because the judgment, as such, constituted a measure of satisfaction.</w:t>
      </w:r>
      <w:r w:rsidR="003040F7" w:rsidRPr="00610904">
        <w:rPr>
          <w:noProof w:val="0"/>
          <w:szCs w:val="20"/>
          <w:lang w:val="en-US"/>
        </w:rPr>
        <w:t xml:space="preserve"> </w:t>
      </w:r>
      <w:r w:rsidR="00922321" w:rsidRPr="00610904">
        <w:rPr>
          <w:noProof w:val="0"/>
          <w:szCs w:val="20"/>
          <w:lang w:val="en-US"/>
        </w:rPr>
        <w:t xml:space="preserve">However, during the </w:t>
      </w:r>
      <w:r w:rsidR="00AD687D" w:rsidRPr="00610904">
        <w:rPr>
          <w:noProof w:val="0"/>
          <w:szCs w:val="20"/>
          <w:lang w:val="en-US"/>
        </w:rPr>
        <w:t>public hearing</w:t>
      </w:r>
      <w:r w:rsidR="00922321" w:rsidRPr="00610904">
        <w:rPr>
          <w:noProof w:val="0"/>
          <w:szCs w:val="20"/>
          <w:lang w:val="en-US"/>
        </w:rPr>
        <w:t>, it indicated that, if its responsibility was declared, “the Minister of Public Health, as the highest authority</w:t>
      </w:r>
      <w:r w:rsidR="003040F7" w:rsidRPr="00610904">
        <w:rPr>
          <w:noProof w:val="0"/>
          <w:szCs w:val="20"/>
          <w:lang w:val="en-US"/>
        </w:rPr>
        <w:t xml:space="preserve"> </w:t>
      </w:r>
      <w:r w:rsidR="00922321" w:rsidRPr="00610904">
        <w:rPr>
          <w:noProof w:val="0"/>
          <w:szCs w:val="20"/>
          <w:lang w:val="en-US"/>
        </w:rPr>
        <w:t>in the field of public</w:t>
      </w:r>
      <w:r w:rsidR="00B45E43" w:rsidRPr="00610904">
        <w:rPr>
          <w:noProof w:val="0"/>
          <w:szCs w:val="20"/>
          <w:lang w:val="en-US"/>
        </w:rPr>
        <w:t xml:space="preserve"> health</w:t>
      </w:r>
      <w:r w:rsidR="00953111" w:rsidRPr="00610904">
        <w:rPr>
          <w:noProof w:val="0"/>
          <w:szCs w:val="20"/>
          <w:lang w:val="en-US"/>
        </w:rPr>
        <w:t>,</w:t>
      </w:r>
      <w:r w:rsidR="003040F7" w:rsidRPr="00610904">
        <w:rPr>
          <w:noProof w:val="0"/>
          <w:szCs w:val="20"/>
          <w:lang w:val="en-US"/>
        </w:rPr>
        <w:t xml:space="preserve"> </w:t>
      </w:r>
      <w:r w:rsidR="00922321" w:rsidRPr="00610904">
        <w:rPr>
          <w:noProof w:val="0"/>
          <w:szCs w:val="20"/>
          <w:lang w:val="en-US"/>
        </w:rPr>
        <w:t xml:space="preserve">would make a public apology to </w:t>
      </w:r>
      <w:r w:rsidR="00CD3738" w:rsidRPr="00610904">
        <w:rPr>
          <w:noProof w:val="0"/>
          <w:szCs w:val="20"/>
          <w:lang w:val="en-US"/>
        </w:rPr>
        <w:t>Talía</w:t>
      </w:r>
      <w:r w:rsidR="003040F7" w:rsidRPr="00610904">
        <w:rPr>
          <w:noProof w:val="0"/>
          <w:szCs w:val="20"/>
          <w:lang w:val="en-US"/>
        </w:rPr>
        <w:t xml:space="preserve"> […]</w:t>
      </w:r>
      <w:r w:rsidRPr="00610904">
        <w:rPr>
          <w:noProof w:val="0"/>
          <w:szCs w:val="20"/>
          <w:lang w:val="en-US"/>
        </w:rPr>
        <w:t xml:space="preserve"> and </w:t>
      </w:r>
      <w:r w:rsidR="006D7F48" w:rsidRPr="00610904">
        <w:rPr>
          <w:noProof w:val="0"/>
          <w:szCs w:val="20"/>
          <w:lang w:val="en-US"/>
        </w:rPr>
        <w:t>her mother</w:t>
      </w:r>
      <w:r w:rsidR="003040F7" w:rsidRPr="00610904">
        <w:rPr>
          <w:noProof w:val="0"/>
          <w:szCs w:val="20"/>
          <w:lang w:val="en-US"/>
        </w:rPr>
        <w:t xml:space="preserve"> </w:t>
      </w:r>
      <w:r w:rsidR="00922321" w:rsidRPr="00610904">
        <w:rPr>
          <w:noProof w:val="0"/>
          <w:szCs w:val="20"/>
          <w:lang w:val="en-US"/>
        </w:rPr>
        <w:t xml:space="preserve">in relation to the specific fact acknowledged by </w:t>
      </w:r>
      <w:r w:rsidRPr="00610904">
        <w:rPr>
          <w:noProof w:val="0"/>
          <w:szCs w:val="20"/>
          <w:lang w:val="en-US"/>
        </w:rPr>
        <w:t>the State</w:t>
      </w:r>
      <w:r w:rsidR="00922321" w:rsidRPr="00610904">
        <w:rPr>
          <w:noProof w:val="0"/>
          <w:szCs w:val="20"/>
          <w:lang w:val="en-US"/>
        </w:rPr>
        <w:t>.”</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2F5BBA" w:rsidP="00610904">
      <w:pPr>
        <w:numPr>
          <w:ilvl w:val="0"/>
          <w:numId w:val="1"/>
        </w:numPr>
        <w:contextualSpacing/>
        <w:rPr>
          <w:noProof w:val="0"/>
          <w:spacing w:val="-2"/>
          <w:szCs w:val="20"/>
          <w:lang w:val="en-US"/>
        </w:rPr>
      </w:pPr>
      <w:r w:rsidRPr="00610904">
        <w:rPr>
          <w:noProof w:val="0"/>
          <w:spacing w:val="-2"/>
          <w:szCs w:val="20"/>
          <w:lang w:val="en-US"/>
        </w:rPr>
        <w:t>The Commission</w:t>
      </w:r>
      <w:r w:rsidR="003040F7" w:rsidRPr="00610904">
        <w:rPr>
          <w:b/>
          <w:i/>
          <w:noProof w:val="0"/>
          <w:spacing w:val="-2"/>
          <w:szCs w:val="20"/>
          <w:lang w:val="en-US"/>
        </w:rPr>
        <w:t xml:space="preserve"> </w:t>
      </w:r>
      <w:r w:rsidR="00922321" w:rsidRPr="00610904">
        <w:rPr>
          <w:noProof w:val="0"/>
          <w:spacing w:val="-2"/>
          <w:szCs w:val="20"/>
          <w:lang w:val="en-US"/>
        </w:rPr>
        <w:t>indicated that the acknowledgement should include all the facts and human rights violations that occurred in this case.</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w:t>
      </w:r>
      <w:r w:rsidR="00922321" w:rsidRPr="00610904">
        <w:rPr>
          <w:noProof w:val="0"/>
          <w:spacing w:val="-2"/>
          <w:szCs w:val="20"/>
          <w:lang w:val="en-US"/>
        </w:rPr>
        <w:t>finds it necessary, as it has in other cases,</w:t>
      </w:r>
      <w:r w:rsidR="003040F7" w:rsidRPr="00610904">
        <w:rPr>
          <w:rFonts w:cs="Times New Roman"/>
          <w:noProof w:val="0"/>
          <w:spacing w:val="-2"/>
          <w:szCs w:val="20"/>
          <w:vertAlign w:val="superscript"/>
          <w:lang w:val="en-US"/>
        </w:rPr>
        <w:footnoteReference w:id="380"/>
      </w:r>
      <w:r w:rsidR="003040F7" w:rsidRPr="00610904">
        <w:rPr>
          <w:noProof w:val="0"/>
          <w:spacing w:val="-2"/>
          <w:szCs w:val="20"/>
          <w:lang w:val="en-US"/>
        </w:rPr>
        <w:t xml:space="preserve"> </w:t>
      </w:r>
      <w:r w:rsidR="00922321" w:rsidRPr="00610904">
        <w:rPr>
          <w:noProof w:val="0"/>
          <w:spacing w:val="-2"/>
          <w:szCs w:val="20"/>
          <w:lang w:val="en-US"/>
        </w:rPr>
        <w:t>in order to redress the harm caused to the victims and to prevent a repetition of events such as those of this case, to establish that the State must organize a p</w:t>
      </w:r>
      <w:r w:rsidR="00B45E43" w:rsidRPr="00610904">
        <w:rPr>
          <w:noProof w:val="0"/>
          <w:spacing w:val="-2"/>
          <w:szCs w:val="20"/>
          <w:lang w:val="en-US"/>
        </w:rPr>
        <w:t>ublic act to acknowledge international responsibility</w:t>
      </w:r>
      <w:r w:rsidR="003040F7" w:rsidRPr="00610904">
        <w:rPr>
          <w:noProof w:val="0"/>
          <w:spacing w:val="-2"/>
          <w:szCs w:val="20"/>
          <w:lang w:val="en-US"/>
        </w:rPr>
        <w:t xml:space="preserve"> </w:t>
      </w:r>
      <w:r w:rsidR="00B45E43" w:rsidRPr="00610904">
        <w:rPr>
          <w:noProof w:val="0"/>
          <w:spacing w:val="-2"/>
          <w:szCs w:val="20"/>
          <w:lang w:val="en-US"/>
        </w:rPr>
        <w:t>in Ecuador</w:t>
      </w:r>
      <w:r w:rsidR="003040F7" w:rsidRPr="00610904">
        <w:rPr>
          <w:noProof w:val="0"/>
          <w:spacing w:val="-2"/>
          <w:szCs w:val="20"/>
          <w:lang w:val="en-US"/>
        </w:rPr>
        <w:t xml:space="preserve">, </w:t>
      </w:r>
      <w:r w:rsidR="004A6E8B" w:rsidRPr="00610904">
        <w:rPr>
          <w:noProof w:val="0"/>
          <w:spacing w:val="-2"/>
          <w:szCs w:val="20"/>
          <w:lang w:val="en-US"/>
        </w:rPr>
        <w:t>in relation to</w:t>
      </w:r>
      <w:r w:rsidR="003040F7" w:rsidRPr="00610904">
        <w:rPr>
          <w:noProof w:val="0"/>
          <w:spacing w:val="-2"/>
          <w:szCs w:val="20"/>
          <w:lang w:val="en-US"/>
        </w:rPr>
        <w:t xml:space="preserve"> </w:t>
      </w:r>
      <w:r w:rsidR="00922321" w:rsidRPr="00610904">
        <w:rPr>
          <w:noProof w:val="0"/>
          <w:spacing w:val="-2"/>
          <w:szCs w:val="20"/>
          <w:lang w:val="en-US"/>
        </w:rPr>
        <w:t xml:space="preserve">the fact of this case. During this act, reference must be made to the human rights violations declared in this Judgment. Moreover, the act must </w:t>
      </w:r>
      <w:r w:rsidR="00953111" w:rsidRPr="00610904">
        <w:rPr>
          <w:noProof w:val="0"/>
          <w:spacing w:val="-2"/>
          <w:szCs w:val="20"/>
          <w:lang w:val="en-US"/>
        </w:rPr>
        <w:t>take place during</w:t>
      </w:r>
      <w:r w:rsidR="00922321" w:rsidRPr="00610904">
        <w:rPr>
          <w:noProof w:val="0"/>
          <w:spacing w:val="-2"/>
          <w:szCs w:val="20"/>
          <w:lang w:val="en-US"/>
        </w:rPr>
        <w:t xml:space="preserve"> a public ceremony in the presence of senior State authorities, as well as with the</w:t>
      </w:r>
      <w:r w:rsidR="00953111" w:rsidRPr="00610904">
        <w:rPr>
          <w:noProof w:val="0"/>
          <w:spacing w:val="-2"/>
          <w:szCs w:val="20"/>
          <w:lang w:val="en-US"/>
        </w:rPr>
        <w:t xml:space="preserve"> participation of the victims in</w:t>
      </w:r>
      <w:r w:rsidR="00922321" w:rsidRPr="00610904">
        <w:rPr>
          <w:noProof w:val="0"/>
          <w:spacing w:val="-2"/>
          <w:szCs w:val="20"/>
          <w:lang w:val="en-US"/>
        </w:rPr>
        <w:t xml:space="preserve"> this case. The State must reach agreement with the victims or their representatives on how this public act of </w:t>
      </w:r>
      <w:r w:rsidR="00856968" w:rsidRPr="00610904">
        <w:rPr>
          <w:noProof w:val="0"/>
          <w:spacing w:val="-2"/>
          <w:szCs w:val="20"/>
          <w:lang w:val="en-US"/>
        </w:rPr>
        <w:t>acknowledgement</w:t>
      </w:r>
      <w:r w:rsidR="00922321" w:rsidRPr="00610904">
        <w:rPr>
          <w:noProof w:val="0"/>
          <w:spacing w:val="-2"/>
          <w:szCs w:val="20"/>
          <w:lang w:val="en-US"/>
        </w:rPr>
        <w:t xml:space="preserve"> should be organized, as well as on its characteristics, such as the place and date. To this end, the State has one year as of </w:t>
      </w:r>
      <w:r w:rsidR="004A6E8B" w:rsidRPr="00610904">
        <w:rPr>
          <w:noProof w:val="0"/>
          <w:spacing w:val="-2"/>
          <w:szCs w:val="20"/>
          <w:lang w:val="en-US"/>
        </w:rPr>
        <w:t>notification of this Judgment</w:t>
      </w:r>
      <w:r w:rsidR="003040F7" w:rsidRPr="00610904">
        <w:rPr>
          <w:noProof w:val="0"/>
          <w:spacing w:val="-2"/>
          <w:szCs w:val="20"/>
          <w:lang w:val="en-US"/>
        </w:rPr>
        <w:t xml:space="preserve">. </w:t>
      </w:r>
    </w:p>
    <w:p w:rsidR="003040F7" w:rsidRPr="00610904" w:rsidRDefault="003040F7" w:rsidP="00610904">
      <w:pPr>
        <w:ind w:left="720"/>
        <w:contextualSpacing/>
        <w:rPr>
          <w:i/>
          <w:noProof w:val="0"/>
          <w:lang w:val="en-US"/>
        </w:rPr>
      </w:pPr>
    </w:p>
    <w:p w:rsidR="003040F7" w:rsidRPr="00610904" w:rsidRDefault="003040F7" w:rsidP="00610904">
      <w:pPr>
        <w:pStyle w:val="Heading4"/>
        <w:spacing w:before="0" w:after="0"/>
        <w:rPr>
          <w:rFonts w:eastAsia="Batang"/>
          <w:noProof w:val="0"/>
          <w:lang w:val="en-US"/>
        </w:rPr>
      </w:pPr>
      <w:bookmarkStart w:id="174" w:name="_Toc443399127"/>
      <w:r w:rsidRPr="00610904">
        <w:rPr>
          <w:rFonts w:eastAsia="Batang"/>
          <w:noProof w:val="0"/>
          <w:lang w:val="en-US"/>
        </w:rPr>
        <w:t xml:space="preserve">C.3.3) </w:t>
      </w:r>
      <w:r w:rsidR="00B45E43" w:rsidRPr="00610904">
        <w:rPr>
          <w:rFonts w:eastAsia="Batang"/>
          <w:noProof w:val="0"/>
          <w:lang w:val="en-US"/>
        </w:rPr>
        <w:t>Scholarship</w:t>
      </w:r>
      <w:bookmarkEnd w:id="174"/>
    </w:p>
    <w:p w:rsidR="003040F7" w:rsidRPr="00610904" w:rsidRDefault="003040F7" w:rsidP="00610904">
      <w:pPr>
        <w:ind w:left="720"/>
        <w:contextualSpacing/>
        <w:rPr>
          <w:i/>
          <w:noProof w:val="0"/>
          <w:lang w:val="en-US"/>
        </w:rPr>
      </w:pPr>
    </w:p>
    <w:p w:rsidR="001B077C"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lastRenderedPageBreak/>
        <w:t>The State</w:t>
      </w:r>
      <w:r w:rsidR="003040F7" w:rsidRPr="00610904">
        <w:rPr>
          <w:b/>
          <w:i/>
          <w:noProof w:val="0"/>
          <w:spacing w:val="-2"/>
          <w:szCs w:val="20"/>
          <w:lang w:val="en-US"/>
        </w:rPr>
        <w:t xml:space="preserve"> </w:t>
      </w:r>
      <w:r w:rsidR="003040F7" w:rsidRPr="00610904">
        <w:rPr>
          <w:noProof w:val="0"/>
          <w:spacing w:val="-2"/>
          <w:szCs w:val="20"/>
          <w:lang w:val="en-US"/>
        </w:rPr>
        <w:t>a</w:t>
      </w:r>
      <w:r w:rsidR="001B077C" w:rsidRPr="00610904">
        <w:rPr>
          <w:noProof w:val="0"/>
          <w:spacing w:val="-2"/>
          <w:szCs w:val="20"/>
          <w:lang w:val="en-US"/>
        </w:rPr>
        <w:t>rgued during the</w:t>
      </w:r>
      <w:r w:rsidR="003040F7" w:rsidRPr="00610904">
        <w:rPr>
          <w:noProof w:val="0"/>
          <w:spacing w:val="-2"/>
          <w:szCs w:val="20"/>
          <w:lang w:val="en-US"/>
        </w:rPr>
        <w:t xml:space="preserve"> </w:t>
      </w:r>
      <w:r w:rsidR="00AD687D" w:rsidRPr="00610904">
        <w:rPr>
          <w:noProof w:val="0"/>
          <w:spacing w:val="-2"/>
          <w:szCs w:val="20"/>
          <w:lang w:val="en-US"/>
        </w:rPr>
        <w:t>public hearing</w:t>
      </w:r>
      <w:r w:rsidR="003040F7" w:rsidRPr="00610904">
        <w:rPr>
          <w:noProof w:val="0"/>
          <w:spacing w:val="-2"/>
          <w:szCs w:val="20"/>
          <w:lang w:val="en-US"/>
        </w:rPr>
        <w:t xml:space="preserve"> </w:t>
      </w:r>
      <w:r w:rsidR="001B077C" w:rsidRPr="00610904">
        <w:rPr>
          <w:noProof w:val="0"/>
          <w:spacing w:val="-2"/>
          <w:szCs w:val="20"/>
          <w:lang w:val="en-US"/>
        </w:rPr>
        <w:t xml:space="preserve">that the </w:t>
      </w:r>
      <w:r w:rsidR="0051335D" w:rsidRPr="00610904">
        <w:rPr>
          <w:noProof w:val="0"/>
          <w:spacing w:val="-2"/>
          <w:szCs w:val="20"/>
          <w:lang w:val="en-US"/>
        </w:rPr>
        <w:t>marks</w:t>
      </w:r>
      <w:r w:rsidR="001B077C" w:rsidRPr="00610904">
        <w:rPr>
          <w:noProof w:val="0"/>
          <w:spacing w:val="-2"/>
          <w:szCs w:val="20"/>
          <w:lang w:val="en-US"/>
        </w:rPr>
        <w:t xml:space="preserve"> obtained by </w:t>
      </w:r>
      <w:r w:rsidR="00CD3738" w:rsidRPr="00610904">
        <w:rPr>
          <w:noProof w:val="0"/>
          <w:spacing w:val="-2"/>
          <w:szCs w:val="20"/>
          <w:lang w:val="en-US"/>
        </w:rPr>
        <w:t>Talía</w:t>
      </w:r>
      <w:r w:rsidR="001B077C" w:rsidRPr="00610904">
        <w:rPr>
          <w:noProof w:val="0"/>
          <w:spacing w:val="-2"/>
          <w:szCs w:val="20"/>
          <w:lang w:val="en-US"/>
        </w:rPr>
        <w:t xml:space="preserve"> to </w:t>
      </w:r>
      <w:r w:rsidR="00856968" w:rsidRPr="00610904">
        <w:rPr>
          <w:noProof w:val="0"/>
          <w:spacing w:val="-2"/>
          <w:szCs w:val="20"/>
          <w:lang w:val="en-US"/>
        </w:rPr>
        <w:t>enroll</w:t>
      </w:r>
      <w:r w:rsidR="001B077C" w:rsidRPr="00610904">
        <w:rPr>
          <w:noProof w:val="0"/>
          <w:spacing w:val="-2"/>
          <w:szCs w:val="20"/>
          <w:lang w:val="en-US"/>
        </w:rPr>
        <w:t xml:space="preserve"> in the university entitled her to a place at the Universidad of Cuenca, which is</w:t>
      </w:r>
      <w:r w:rsidR="00953111" w:rsidRPr="00610904">
        <w:rPr>
          <w:noProof w:val="0"/>
          <w:spacing w:val="-2"/>
          <w:szCs w:val="20"/>
          <w:lang w:val="en-US"/>
        </w:rPr>
        <w:t xml:space="preserve"> a</w:t>
      </w:r>
      <w:r w:rsidR="001B077C" w:rsidRPr="00610904">
        <w:rPr>
          <w:noProof w:val="0"/>
          <w:spacing w:val="-2"/>
          <w:szCs w:val="20"/>
          <w:lang w:val="en-US"/>
        </w:rPr>
        <w:t xml:space="preserve"> free, public university. It indicated that her academic performance “will determine the possibility of […] being a candidate for a scholarship based on academic excellence, which entails the State providing the funding for her to carry out higher or postgraduate studies in any university in the world in which she is accepted.”</w:t>
      </w:r>
    </w:p>
    <w:p w:rsidR="003040F7" w:rsidRPr="00610904" w:rsidRDefault="003040F7" w:rsidP="00610904">
      <w:pPr>
        <w:contextualSpacing/>
        <w:rPr>
          <w:noProof w:val="0"/>
          <w:spacing w:val="-2"/>
          <w:szCs w:val="20"/>
          <w:lang w:val="en-US"/>
        </w:rPr>
      </w:pPr>
    </w:p>
    <w:p w:rsidR="001B077C" w:rsidRPr="00610904" w:rsidRDefault="002F5BBA" w:rsidP="00610904">
      <w:pPr>
        <w:numPr>
          <w:ilvl w:val="0"/>
          <w:numId w:val="1"/>
        </w:numPr>
        <w:contextualSpacing/>
        <w:rPr>
          <w:noProof w:val="0"/>
          <w:spacing w:val="-2"/>
          <w:szCs w:val="20"/>
          <w:lang w:val="en-US"/>
        </w:rPr>
      </w:pPr>
      <w:r w:rsidRPr="00610904">
        <w:rPr>
          <w:noProof w:val="0"/>
          <w:szCs w:val="20"/>
          <w:lang w:val="en-US"/>
        </w:rPr>
        <w:t>The Commission</w:t>
      </w:r>
      <w:r w:rsidR="003040F7" w:rsidRPr="00610904">
        <w:rPr>
          <w:b/>
          <w:i/>
          <w:noProof w:val="0"/>
          <w:szCs w:val="20"/>
          <w:lang w:val="en-US"/>
        </w:rPr>
        <w:t xml:space="preserve"> </w:t>
      </w:r>
      <w:r w:rsidR="001B077C" w:rsidRPr="00610904">
        <w:rPr>
          <w:noProof w:val="0"/>
          <w:szCs w:val="20"/>
          <w:lang w:val="en-US"/>
        </w:rPr>
        <w:t>asked</w:t>
      </w:r>
      <w:r w:rsidR="00FF3200" w:rsidRPr="00610904">
        <w:rPr>
          <w:noProof w:val="0"/>
          <w:szCs w:val="20"/>
          <w:lang w:val="en-US"/>
        </w:rPr>
        <w:t xml:space="preserve"> </w:t>
      </w:r>
      <w:r w:rsidR="00A8072E" w:rsidRPr="00610904">
        <w:rPr>
          <w:noProof w:val="0"/>
          <w:szCs w:val="20"/>
          <w:lang w:val="en-US"/>
        </w:rPr>
        <w:t>in the Merits</w:t>
      </w:r>
      <w:r w:rsidR="006E502B" w:rsidRPr="00610904">
        <w:rPr>
          <w:noProof w:val="0"/>
          <w:szCs w:val="20"/>
          <w:lang w:val="en-US"/>
        </w:rPr>
        <w:t xml:space="preserve"> Report</w:t>
      </w:r>
      <w:r w:rsidR="003040F7" w:rsidRPr="00610904">
        <w:rPr>
          <w:noProof w:val="0"/>
          <w:szCs w:val="20"/>
          <w:lang w:val="en-US"/>
        </w:rPr>
        <w:t xml:space="preserve"> </w:t>
      </w:r>
      <w:r w:rsidR="001B077C" w:rsidRPr="00610904">
        <w:rPr>
          <w:noProof w:val="0"/>
          <w:szCs w:val="20"/>
          <w:lang w:val="en-US"/>
        </w:rPr>
        <w:t>that the</w:t>
      </w:r>
      <w:r w:rsidR="009F3D78" w:rsidRPr="00610904">
        <w:rPr>
          <w:noProof w:val="0"/>
          <w:szCs w:val="20"/>
          <w:lang w:val="en-US"/>
        </w:rPr>
        <w:t xml:space="preserve"> State</w:t>
      </w:r>
      <w:r w:rsidR="003040F7" w:rsidRPr="00610904">
        <w:rPr>
          <w:noProof w:val="0"/>
          <w:szCs w:val="20"/>
          <w:lang w:val="en-US"/>
        </w:rPr>
        <w:t xml:space="preserve"> prov</w:t>
      </w:r>
      <w:r w:rsidR="001B077C" w:rsidRPr="00610904">
        <w:rPr>
          <w:noProof w:val="0"/>
          <w:szCs w:val="20"/>
          <w:lang w:val="en-US"/>
        </w:rPr>
        <w:t xml:space="preserve">ide, in consultation with </w:t>
      </w:r>
      <w:r w:rsidR="00CD3738" w:rsidRPr="00610904">
        <w:rPr>
          <w:noProof w:val="0"/>
          <w:szCs w:val="20"/>
          <w:lang w:val="en-US"/>
        </w:rPr>
        <w:t>Talía</w:t>
      </w:r>
      <w:r w:rsidR="003040F7" w:rsidRPr="00610904">
        <w:rPr>
          <w:noProof w:val="0"/>
          <w:szCs w:val="20"/>
          <w:lang w:val="en-US"/>
        </w:rPr>
        <w:t xml:space="preserve"> Gonzales Lluy, “</w:t>
      </w:r>
      <w:r w:rsidR="001B077C" w:rsidRPr="00610904">
        <w:rPr>
          <w:noProof w:val="0"/>
          <w:szCs w:val="20"/>
          <w:lang w:val="en-US"/>
        </w:rPr>
        <w:t xml:space="preserve">primary, secondary and university education, free of charge.” Subsequently, in its final written observations, it indicated that the offer </w:t>
      </w:r>
      <w:r w:rsidR="00953111" w:rsidRPr="00610904">
        <w:rPr>
          <w:noProof w:val="0"/>
          <w:szCs w:val="20"/>
          <w:lang w:val="en-US"/>
        </w:rPr>
        <w:t>of</w:t>
      </w:r>
      <w:r w:rsidR="001B077C" w:rsidRPr="00610904">
        <w:rPr>
          <w:noProof w:val="0"/>
          <w:szCs w:val="20"/>
          <w:lang w:val="en-US"/>
        </w:rPr>
        <w:t xml:space="preserve"> the possible </w:t>
      </w:r>
      <w:r w:rsidR="001B077C" w:rsidRPr="00610904">
        <w:rPr>
          <w:noProof w:val="0"/>
          <w:spacing w:val="-2"/>
          <w:szCs w:val="20"/>
          <w:lang w:val="en-US"/>
        </w:rPr>
        <w:t>scholarship based on academic excellence</w:t>
      </w:r>
      <w:r w:rsidR="00953111" w:rsidRPr="00610904">
        <w:rPr>
          <w:noProof w:val="0"/>
          <w:spacing w:val="-2"/>
          <w:szCs w:val="20"/>
          <w:lang w:val="en-US"/>
        </w:rPr>
        <w:t xml:space="preserve"> did</w:t>
      </w:r>
      <w:r w:rsidR="00953111" w:rsidRPr="00610904">
        <w:rPr>
          <w:noProof w:val="0"/>
          <w:szCs w:val="20"/>
          <w:lang w:val="en-US"/>
        </w:rPr>
        <w:t xml:space="preserve"> “</w:t>
      </w:r>
      <w:r w:rsidR="001B077C" w:rsidRPr="00610904">
        <w:rPr>
          <w:noProof w:val="0"/>
          <w:szCs w:val="20"/>
          <w:lang w:val="en-US"/>
        </w:rPr>
        <w:t>not appear to be a benefit that the State will award [to Talía], but rather it would depend on her academic performance.”</w:t>
      </w:r>
    </w:p>
    <w:p w:rsidR="003040F7" w:rsidRPr="00610904" w:rsidRDefault="003040F7" w:rsidP="00610904">
      <w:pPr>
        <w:contextualSpacing/>
        <w:rPr>
          <w:noProof w:val="0"/>
          <w:spacing w:val="-2"/>
          <w:szCs w:val="20"/>
          <w:lang w:val="en-US"/>
        </w:rPr>
      </w:pPr>
    </w:p>
    <w:p w:rsidR="001B077C"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b/>
          <w:i/>
          <w:noProof w:val="0"/>
          <w:spacing w:val="-2"/>
          <w:szCs w:val="20"/>
          <w:lang w:val="en-US"/>
        </w:rPr>
        <w:t xml:space="preserve"> </w:t>
      </w:r>
      <w:r w:rsidR="001B077C" w:rsidRPr="00610904">
        <w:rPr>
          <w:noProof w:val="0"/>
          <w:spacing w:val="-2"/>
          <w:szCs w:val="20"/>
          <w:lang w:val="en-US"/>
        </w:rPr>
        <w:t>asked during</w:t>
      </w:r>
      <w:r w:rsidR="00A8072E" w:rsidRPr="00610904">
        <w:rPr>
          <w:noProof w:val="0"/>
          <w:spacing w:val="-2"/>
          <w:szCs w:val="20"/>
          <w:lang w:val="en-US"/>
        </w:rPr>
        <w:t xml:space="preserve"> the </w:t>
      </w:r>
      <w:r w:rsidR="00AD687D" w:rsidRPr="00610904">
        <w:rPr>
          <w:noProof w:val="0"/>
          <w:spacing w:val="-2"/>
          <w:szCs w:val="20"/>
          <w:lang w:val="en-US"/>
        </w:rPr>
        <w:t>public hearing</w:t>
      </w:r>
      <w:r w:rsidR="001B077C" w:rsidRPr="00610904">
        <w:rPr>
          <w:noProof w:val="0"/>
          <w:spacing w:val="-2"/>
          <w:szCs w:val="20"/>
          <w:lang w:val="en-US"/>
        </w:rPr>
        <w:t xml:space="preserve"> that “the scholarship based on academic excellence be considered </w:t>
      </w:r>
      <w:proofErr w:type="gramStart"/>
      <w:r w:rsidR="001B077C" w:rsidRPr="00610904">
        <w:rPr>
          <w:noProof w:val="0"/>
          <w:spacing w:val="-2"/>
          <w:szCs w:val="20"/>
          <w:lang w:val="en-US"/>
        </w:rPr>
        <w:t>a reparation</w:t>
      </w:r>
      <w:proofErr w:type="gramEnd"/>
      <w:r w:rsidR="001B077C" w:rsidRPr="00610904">
        <w:rPr>
          <w:noProof w:val="0"/>
          <w:spacing w:val="-2"/>
          <w:szCs w:val="20"/>
          <w:lang w:val="en-US"/>
        </w:rPr>
        <w:t xml:space="preserve"> </w:t>
      </w:r>
      <w:r w:rsidR="00953111" w:rsidRPr="00610904">
        <w:rPr>
          <w:noProof w:val="0"/>
          <w:spacing w:val="-2"/>
          <w:szCs w:val="20"/>
          <w:lang w:val="en-US"/>
        </w:rPr>
        <w:t>owing to the extraordinary effor</w:t>
      </w:r>
      <w:r w:rsidR="001B077C" w:rsidRPr="00610904">
        <w:rPr>
          <w:noProof w:val="0"/>
          <w:spacing w:val="-2"/>
          <w:szCs w:val="20"/>
          <w:lang w:val="en-US"/>
        </w:rPr>
        <w:t xml:space="preserve">ts that Talía has made under the </w:t>
      </w:r>
      <w:r w:rsidR="001A2523" w:rsidRPr="00610904">
        <w:rPr>
          <w:noProof w:val="0"/>
          <w:spacing w:val="-2"/>
          <w:szCs w:val="20"/>
          <w:lang w:val="en-US"/>
        </w:rPr>
        <w:t>education system</w:t>
      </w:r>
      <w:r w:rsidR="001B077C"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noProof w:val="0"/>
          <w:spacing w:val="-2"/>
          <w:szCs w:val="20"/>
          <w:lang w:val="en-US"/>
        </w:rPr>
        <w:t>This Court</w:t>
      </w:r>
      <w:r w:rsidR="003040F7" w:rsidRPr="00610904">
        <w:rPr>
          <w:noProof w:val="0"/>
          <w:spacing w:val="-2"/>
          <w:szCs w:val="20"/>
          <w:lang w:val="en-US"/>
        </w:rPr>
        <w:t xml:space="preserve"> </w:t>
      </w:r>
      <w:r w:rsidR="001B077C" w:rsidRPr="00610904">
        <w:rPr>
          <w:noProof w:val="0"/>
          <w:spacing w:val="-2"/>
          <w:szCs w:val="20"/>
          <w:lang w:val="en-US"/>
        </w:rPr>
        <w:t>notes that, in 2013,</w:t>
      </w:r>
      <w:r w:rsidR="003040F7" w:rsidRPr="00610904">
        <w:rPr>
          <w:noProof w:val="0"/>
          <w:spacing w:val="-2"/>
          <w:szCs w:val="20"/>
          <w:lang w:val="en-US"/>
        </w:rPr>
        <w:t xml:space="preserve"> </w:t>
      </w:r>
      <w:r w:rsidR="00CD3738" w:rsidRPr="00610904">
        <w:rPr>
          <w:noProof w:val="0"/>
          <w:spacing w:val="-2"/>
          <w:szCs w:val="20"/>
          <w:lang w:val="en-US"/>
        </w:rPr>
        <w:t>Talía</w:t>
      </w:r>
      <w:r w:rsidR="003040F7" w:rsidRPr="00610904">
        <w:rPr>
          <w:noProof w:val="0"/>
          <w:spacing w:val="-2"/>
          <w:szCs w:val="20"/>
          <w:lang w:val="en-US"/>
        </w:rPr>
        <w:t xml:space="preserve"> </w:t>
      </w:r>
      <w:r w:rsidR="001B077C" w:rsidRPr="00610904">
        <w:rPr>
          <w:noProof w:val="0"/>
          <w:spacing w:val="-2"/>
          <w:szCs w:val="20"/>
          <w:lang w:val="en-US"/>
        </w:rPr>
        <w:t xml:space="preserve">entered the </w:t>
      </w:r>
      <w:r w:rsidR="003040F7" w:rsidRPr="00610904">
        <w:rPr>
          <w:noProof w:val="0"/>
          <w:spacing w:val="-2"/>
          <w:szCs w:val="20"/>
          <w:lang w:val="en-US"/>
        </w:rPr>
        <w:t>Universidad Estatal</w:t>
      </w:r>
      <w:r w:rsidR="001B077C" w:rsidRPr="00610904">
        <w:rPr>
          <w:noProof w:val="0"/>
          <w:spacing w:val="-2"/>
          <w:szCs w:val="20"/>
          <w:lang w:val="en-US"/>
        </w:rPr>
        <w:t xml:space="preserve"> de</w:t>
      </w:r>
      <w:r w:rsidR="0088750E" w:rsidRPr="00610904">
        <w:rPr>
          <w:noProof w:val="0"/>
          <w:spacing w:val="-2"/>
          <w:szCs w:val="20"/>
          <w:lang w:val="en-US"/>
        </w:rPr>
        <w:t xml:space="preserve"> Cuenca</w:t>
      </w:r>
      <w:r w:rsidR="003040F7" w:rsidRPr="00610904">
        <w:rPr>
          <w:noProof w:val="0"/>
          <w:spacing w:val="-2"/>
          <w:szCs w:val="20"/>
          <w:lang w:val="en-US"/>
        </w:rPr>
        <w:t xml:space="preserve"> </w:t>
      </w:r>
      <w:r w:rsidR="001B077C" w:rsidRPr="00610904">
        <w:rPr>
          <w:noProof w:val="0"/>
          <w:spacing w:val="-2"/>
          <w:szCs w:val="20"/>
          <w:lang w:val="en-US"/>
        </w:rPr>
        <w:t>to study graphic design, but had to withdraw owing to health problems resulting from activities inherent in this field of study. Consequently, starting in 2015, Talía began to study social psychology at this university. Taking this into consideration, the Court appreciates the State</w:t>
      </w:r>
      <w:r w:rsidR="00953111" w:rsidRPr="00610904">
        <w:rPr>
          <w:noProof w:val="0"/>
          <w:spacing w:val="-2"/>
          <w:szCs w:val="20"/>
          <w:lang w:val="en-US"/>
        </w:rPr>
        <w:t xml:space="preserve">’s observation </w:t>
      </w:r>
      <w:r w:rsidR="001B077C" w:rsidRPr="00610904">
        <w:rPr>
          <w:noProof w:val="0"/>
          <w:spacing w:val="-2"/>
          <w:szCs w:val="20"/>
          <w:lang w:val="en-US"/>
        </w:rPr>
        <w:t>during the public hearing regarding the possibility of Talía being awarded a scholarship based on academic excellence. However, the Court observes that the scholarship that the State referred to corresponds to a general offer that the State makes to all Ecuadorian student</w:t>
      </w:r>
      <w:r w:rsidR="00953111" w:rsidRPr="00610904">
        <w:rPr>
          <w:noProof w:val="0"/>
          <w:spacing w:val="-2"/>
          <w:szCs w:val="20"/>
          <w:lang w:val="en-US"/>
        </w:rPr>
        <w:t>s who perform well academically; thus,</w:t>
      </w:r>
      <w:r w:rsidR="001B077C" w:rsidRPr="00610904">
        <w:rPr>
          <w:noProof w:val="0"/>
          <w:spacing w:val="-2"/>
          <w:szCs w:val="20"/>
          <w:lang w:val="en-US"/>
        </w:rPr>
        <w:t xml:space="preserve"> it does not respond specifically to </w:t>
      </w:r>
      <w:r w:rsidR="00953111" w:rsidRPr="00610904">
        <w:rPr>
          <w:noProof w:val="0"/>
          <w:spacing w:val="-2"/>
          <w:szCs w:val="20"/>
          <w:lang w:val="en-US"/>
        </w:rPr>
        <w:t xml:space="preserve">an </w:t>
      </w:r>
      <w:r w:rsidR="001B077C" w:rsidRPr="00610904">
        <w:rPr>
          <w:noProof w:val="0"/>
          <w:spacing w:val="-2"/>
          <w:szCs w:val="20"/>
          <w:lang w:val="en-US"/>
        </w:rPr>
        <w:t xml:space="preserve">acknowledgement of Talía’s situation as a victim. Therefore, the Court establishes that the State must grant </w:t>
      </w:r>
      <w:r w:rsidR="00CD3738" w:rsidRPr="00610904">
        <w:rPr>
          <w:noProof w:val="0"/>
          <w:spacing w:val="-2"/>
          <w:szCs w:val="20"/>
          <w:lang w:val="en-US"/>
        </w:rPr>
        <w:t>Talía</w:t>
      </w:r>
      <w:r w:rsidR="003040F7" w:rsidRPr="00610904">
        <w:rPr>
          <w:noProof w:val="0"/>
          <w:spacing w:val="-2"/>
          <w:szCs w:val="20"/>
          <w:lang w:val="en-US"/>
        </w:rPr>
        <w:t xml:space="preserve"> Gonzales Lluy </w:t>
      </w:r>
      <w:r w:rsidR="001B077C" w:rsidRPr="00610904">
        <w:rPr>
          <w:noProof w:val="0"/>
          <w:spacing w:val="-2"/>
          <w:szCs w:val="20"/>
          <w:lang w:val="en-US"/>
        </w:rPr>
        <w:t>a scholarship to continue her university st</w:t>
      </w:r>
      <w:r w:rsidR="00953111" w:rsidRPr="00610904">
        <w:rPr>
          <w:noProof w:val="0"/>
          <w:spacing w:val="-2"/>
          <w:szCs w:val="20"/>
          <w:lang w:val="en-US"/>
        </w:rPr>
        <w:t>udies that is not conditional on</w:t>
      </w:r>
      <w:r w:rsidR="001B077C" w:rsidRPr="00610904">
        <w:rPr>
          <w:noProof w:val="0"/>
          <w:spacing w:val="-2"/>
          <w:szCs w:val="20"/>
          <w:lang w:val="en-US"/>
        </w:rPr>
        <w:t xml:space="preserve"> obtaining the </w:t>
      </w:r>
      <w:r w:rsidR="0051335D" w:rsidRPr="00610904">
        <w:rPr>
          <w:noProof w:val="0"/>
          <w:spacing w:val="-2"/>
          <w:szCs w:val="20"/>
          <w:lang w:val="en-US"/>
        </w:rPr>
        <w:t>mark</w:t>
      </w:r>
      <w:r w:rsidR="001B077C" w:rsidRPr="00610904">
        <w:rPr>
          <w:noProof w:val="0"/>
          <w:spacing w:val="-2"/>
          <w:szCs w:val="20"/>
          <w:lang w:val="en-US"/>
        </w:rPr>
        <w:t>s that would earn her a scholarship based on academic excellence</w:t>
      </w:r>
      <w:r w:rsidR="003040F7" w:rsidRPr="00610904">
        <w:rPr>
          <w:noProof w:val="0"/>
          <w:spacing w:val="-2"/>
          <w:szCs w:val="20"/>
          <w:lang w:val="en-US"/>
        </w:rPr>
        <w:t xml:space="preserve">. </w:t>
      </w:r>
      <w:r w:rsidR="001B077C" w:rsidRPr="00610904">
        <w:rPr>
          <w:noProof w:val="0"/>
          <w:spacing w:val="-2"/>
          <w:szCs w:val="20"/>
          <w:lang w:val="en-US"/>
        </w:rPr>
        <w:t xml:space="preserve">The said scholarship must cover all the expenses until she concludes her studies, for both academic materials and living costs if necessary. The victim or her legal </w:t>
      </w:r>
      <w:r w:rsidR="00795F5F" w:rsidRPr="00610904">
        <w:rPr>
          <w:noProof w:val="0"/>
          <w:spacing w:val="-2"/>
          <w:szCs w:val="20"/>
          <w:lang w:val="en-US"/>
        </w:rPr>
        <w:t>representatives</w:t>
      </w:r>
      <w:r w:rsidR="003040F7" w:rsidRPr="00610904">
        <w:rPr>
          <w:noProof w:val="0"/>
          <w:spacing w:val="-2"/>
          <w:szCs w:val="20"/>
          <w:lang w:val="en-US"/>
        </w:rPr>
        <w:t xml:space="preserve"> </w:t>
      </w:r>
      <w:r w:rsidR="00953111" w:rsidRPr="00610904">
        <w:rPr>
          <w:noProof w:val="0"/>
          <w:spacing w:val="-2"/>
          <w:szCs w:val="20"/>
          <w:lang w:val="en-US"/>
        </w:rPr>
        <w:t>have six months from</w:t>
      </w:r>
      <w:r w:rsidR="004A6E8B" w:rsidRPr="00610904">
        <w:rPr>
          <w:noProof w:val="0"/>
          <w:spacing w:val="-2"/>
          <w:szCs w:val="20"/>
          <w:lang w:val="en-US"/>
        </w:rPr>
        <w:t xml:space="preserve"> notification of this Judgment</w:t>
      </w:r>
      <w:r w:rsidR="001B077C" w:rsidRPr="00610904">
        <w:rPr>
          <w:noProof w:val="0"/>
          <w:spacing w:val="-2"/>
          <w:szCs w:val="20"/>
          <w:lang w:val="en-US"/>
        </w:rPr>
        <w:t xml:space="preserve"> to inform the State of her intention to receive this scholarship.</w:t>
      </w:r>
    </w:p>
    <w:p w:rsidR="003040F7" w:rsidRPr="00610904" w:rsidRDefault="003040F7" w:rsidP="00610904">
      <w:pPr>
        <w:pStyle w:val="MediumGrid1-Accent21"/>
        <w:rPr>
          <w:noProof w:val="0"/>
          <w:spacing w:val="-2"/>
          <w:szCs w:val="20"/>
          <w:lang w:val="en-US"/>
        </w:rPr>
      </w:pPr>
    </w:p>
    <w:p w:rsidR="003040F7" w:rsidRPr="00610904" w:rsidRDefault="003040F7" w:rsidP="00610904">
      <w:pPr>
        <w:numPr>
          <w:ilvl w:val="0"/>
          <w:numId w:val="1"/>
        </w:numPr>
        <w:contextualSpacing/>
        <w:rPr>
          <w:noProof w:val="0"/>
          <w:spacing w:val="-2"/>
          <w:szCs w:val="20"/>
          <w:lang w:val="en-US"/>
        </w:rPr>
      </w:pPr>
      <w:r w:rsidRPr="00610904">
        <w:rPr>
          <w:noProof w:val="0"/>
          <w:spacing w:val="-2"/>
          <w:szCs w:val="20"/>
          <w:lang w:val="en-US"/>
        </w:rPr>
        <w:t xml:space="preserve"> </w:t>
      </w:r>
      <w:r w:rsidR="001B077C" w:rsidRPr="00610904">
        <w:rPr>
          <w:noProof w:val="0"/>
          <w:spacing w:val="-2"/>
          <w:szCs w:val="20"/>
          <w:lang w:val="en-US"/>
        </w:rPr>
        <w:t xml:space="preserve">In addition, the State must award </w:t>
      </w:r>
      <w:r w:rsidR="00CD3738" w:rsidRPr="00610904">
        <w:rPr>
          <w:noProof w:val="0"/>
          <w:spacing w:val="-2"/>
          <w:szCs w:val="20"/>
          <w:lang w:val="en-US"/>
        </w:rPr>
        <w:t>Talía</w:t>
      </w:r>
      <w:r w:rsidRPr="00610904">
        <w:rPr>
          <w:noProof w:val="0"/>
          <w:spacing w:val="-2"/>
          <w:szCs w:val="20"/>
          <w:lang w:val="en-US"/>
        </w:rPr>
        <w:t xml:space="preserve"> </w:t>
      </w:r>
      <w:r w:rsidR="001B077C" w:rsidRPr="00610904">
        <w:rPr>
          <w:noProof w:val="0"/>
          <w:spacing w:val="-2"/>
          <w:szCs w:val="20"/>
          <w:lang w:val="en-US"/>
        </w:rPr>
        <w:t>a scholarship to undertake postgraduate studies “in any university in the world in which she is accepted.” This scholarship must be awarded regardless of Talía’s academic performance during her undergraduate studies, and must be awarded based on her condition of victim of the violations declared in this Judgment. To this end, once she graduates, Talía must inform the State and this Court within 24 months of the postgraduate studies she has decided to pursue, and that she has been accepted. The State must cover academic and living costs in advance, in keeping with the cost of living in the country in which Talía will pursue her studies,</w:t>
      </w:r>
      <w:r w:rsidRPr="00610904">
        <w:rPr>
          <w:rFonts w:cs="Times New Roman"/>
          <w:noProof w:val="0"/>
          <w:spacing w:val="-2"/>
          <w:szCs w:val="20"/>
          <w:vertAlign w:val="superscript"/>
          <w:lang w:val="en-US"/>
        </w:rPr>
        <w:footnoteReference w:id="381"/>
      </w:r>
      <w:r w:rsidR="001B077C" w:rsidRPr="00610904">
        <w:rPr>
          <w:noProof w:val="0"/>
          <w:spacing w:val="-2"/>
          <w:szCs w:val="20"/>
          <w:lang w:val="en-US"/>
        </w:rPr>
        <w:t xml:space="preserve"> so that the victim does not have to disburse the amounts corresponding to these items and then be reimbursed.</w:t>
      </w:r>
    </w:p>
    <w:p w:rsidR="003040F7" w:rsidRPr="00610904" w:rsidRDefault="003040F7" w:rsidP="00610904">
      <w:pPr>
        <w:tabs>
          <w:tab w:val="left" w:pos="2542"/>
        </w:tabs>
        <w:contextualSpacing/>
        <w:rPr>
          <w:noProof w:val="0"/>
          <w:spacing w:val="-2"/>
          <w:szCs w:val="20"/>
          <w:lang w:val="en-US"/>
        </w:rPr>
      </w:pPr>
      <w:r w:rsidRPr="00610904">
        <w:rPr>
          <w:noProof w:val="0"/>
          <w:spacing w:val="-2"/>
          <w:szCs w:val="20"/>
          <w:lang w:val="en-US"/>
        </w:rPr>
        <w:tab/>
      </w:r>
    </w:p>
    <w:p w:rsidR="003040F7" w:rsidRPr="00610904" w:rsidRDefault="003040F7" w:rsidP="00610904">
      <w:pPr>
        <w:pStyle w:val="Heading4"/>
        <w:spacing w:before="0" w:after="0"/>
        <w:ind w:left="720"/>
        <w:rPr>
          <w:rFonts w:eastAsia="Batang"/>
          <w:noProof w:val="0"/>
          <w:lang w:val="en-US"/>
        </w:rPr>
      </w:pPr>
      <w:bookmarkStart w:id="175" w:name="_Toc443399128"/>
      <w:r w:rsidRPr="00610904">
        <w:rPr>
          <w:rFonts w:eastAsia="Batang"/>
          <w:noProof w:val="0"/>
          <w:lang w:val="en-US"/>
        </w:rPr>
        <w:t xml:space="preserve">C.3.4) </w:t>
      </w:r>
      <w:r w:rsidR="00B45E43" w:rsidRPr="00610904">
        <w:rPr>
          <w:rFonts w:eastAsia="Batang"/>
          <w:noProof w:val="0"/>
          <w:lang w:val="en-US"/>
        </w:rPr>
        <w:t>Provision of housing</w:t>
      </w:r>
      <w:bookmarkEnd w:id="175"/>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b/>
          <w:i/>
          <w:noProof w:val="0"/>
          <w:spacing w:val="-2"/>
          <w:szCs w:val="20"/>
          <w:lang w:val="en-US"/>
        </w:rPr>
        <w:t xml:space="preserve"> </w:t>
      </w:r>
      <w:r w:rsidR="001B077C" w:rsidRPr="00610904">
        <w:rPr>
          <w:noProof w:val="0"/>
          <w:spacing w:val="-2"/>
          <w:szCs w:val="20"/>
          <w:lang w:val="en-US"/>
        </w:rPr>
        <w:t>indicated</w:t>
      </w:r>
      <w:r w:rsidR="00830022" w:rsidRPr="00610904">
        <w:rPr>
          <w:noProof w:val="0"/>
          <w:spacing w:val="-2"/>
          <w:szCs w:val="20"/>
          <w:lang w:val="en-US"/>
        </w:rPr>
        <w:t xml:space="preserve"> during </w:t>
      </w:r>
      <w:r w:rsidR="00AD687D" w:rsidRPr="00610904">
        <w:rPr>
          <w:noProof w:val="0"/>
          <w:spacing w:val="-2"/>
          <w:szCs w:val="20"/>
          <w:lang w:val="en-US"/>
        </w:rPr>
        <w:t>the public hearing</w:t>
      </w:r>
      <w:r w:rsidR="001B077C" w:rsidRPr="00610904">
        <w:rPr>
          <w:noProof w:val="0"/>
          <w:spacing w:val="-2"/>
          <w:szCs w:val="20"/>
          <w:lang w:val="en-US"/>
        </w:rPr>
        <w:t xml:space="preserve"> that it would</w:t>
      </w:r>
      <w:r w:rsidR="003040F7" w:rsidRPr="00610904">
        <w:rPr>
          <w:noProof w:val="0"/>
          <w:spacing w:val="-2"/>
          <w:szCs w:val="20"/>
          <w:lang w:val="en-US"/>
        </w:rPr>
        <w:t xml:space="preserve"> “</w:t>
      </w:r>
      <w:r w:rsidR="001B077C" w:rsidRPr="00610904">
        <w:rPr>
          <w:noProof w:val="0"/>
          <w:spacing w:val="-2"/>
          <w:szCs w:val="20"/>
          <w:lang w:val="en-US"/>
        </w:rPr>
        <w:t xml:space="preserve">make the official arrangements to provide decent </w:t>
      </w:r>
      <w:r w:rsidR="00B45E43" w:rsidRPr="00610904">
        <w:rPr>
          <w:noProof w:val="0"/>
          <w:spacing w:val="-2"/>
          <w:szCs w:val="20"/>
          <w:lang w:val="en-US"/>
        </w:rPr>
        <w:t>housing</w:t>
      </w:r>
      <w:r w:rsidR="003040F7" w:rsidRPr="00610904">
        <w:rPr>
          <w:noProof w:val="0"/>
          <w:spacing w:val="-2"/>
          <w:szCs w:val="20"/>
          <w:lang w:val="en-US"/>
        </w:rPr>
        <w:t xml:space="preserve"> </w:t>
      </w:r>
      <w:r w:rsidR="001B077C" w:rsidRPr="00610904">
        <w:rPr>
          <w:noProof w:val="0"/>
          <w:spacing w:val="-2"/>
          <w:szCs w:val="20"/>
          <w:lang w:val="en-US"/>
        </w:rPr>
        <w:t>in the province of</w:t>
      </w:r>
      <w:r w:rsidR="003040F7" w:rsidRPr="00610904">
        <w:rPr>
          <w:noProof w:val="0"/>
          <w:spacing w:val="-2"/>
          <w:szCs w:val="20"/>
          <w:lang w:val="en-US"/>
        </w:rPr>
        <w:t xml:space="preserve"> Azuay </w:t>
      </w:r>
      <w:r w:rsidR="001B077C" w:rsidRPr="00610904">
        <w:rPr>
          <w:noProof w:val="0"/>
          <w:spacing w:val="-2"/>
          <w:szCs w:val="20"/>
          <w:lang w:val="en-US"/>
        </w:rPr>
        <w:t>to ensure Talía’s</w:t>
      </w:r>
      <w:r w:rsidR="00215C41" w:rsidRPr="00610904">
        <w:rPr>
          <w:noProof w:val="0"/>
          <w:spacing w:val="-2"/>
          <w:szCs w:val="20"/>
          <w:lang w:val="en-US"/>
        </w:rPr>
        <w:t xml:space="preserve"> right to life</w:t>
      </w:r>
      <w:r w:rsidR="001B077C" w:rsidRPr="00610904">
        <w:rPr>
          <w:noProof w:val="0"/>
          <w:spacing w:val="-2"/>
          <w:szCs w:val="20"/>
          <w:lang w:val="en-US"/>
        </w:rPr>
        <w:t>.”</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2F5BBA" w:rsidP="00610904">
      <w:pPr>
        <w:numPr>
          <w:ilvl w:val="0"/>
          <w:numId w:val="1"/>
        </w:numPr>
        <w:contextualSpacing/>
        <w:rPr>
          <w:noProof w:val="0"/>
          <w:spacing w:val="-2"/>
          <w:szCs w:val="20"/>
          <w:lang w:val="en-US"/>
        </w:rPr>
      </w:pPr>
      <w:r w:rsidRPr="00610904">
        <w:rPr>
          <w:noProof w:val="0"/>
          <w:szCs w:val="20"/>
          <w:lang w:val="en-US"/>
        </w:rPr>
        <w:lastRenderedPageBreak/>
        <w:t>The Commission</w:t>
      </w:r>
      <w:r w:rsidR="003040F7" w:rsidRPr="00610904">
        <w:rPr>
          <w:b/>
          <w:i/>
          <w:noProof w:val="0"/>
          <w:szCs w:val="20"/>
          <w:lang w:val="en-US"/>
        </w:rPr>
        <w:t xml:space="preserve"> </w:t>
      </w:r>
      <w:r w:rsidR="001B077C" w:rsidRPr="00610904">
        <w:rPr>
          <w:noProof w:val="0"/>
          <w:szCs w:val="20"/>
          <w:lang w:val="en-US"/>
        </w:rPr>
        <w:t>assessed</w:t>
      </w:r>
      <w:r w:rsidR="003040F7" w:rsidRPr="00610904">
        <w:rPr>
          <w:noProof w:val="0"/>
          <w:szCs w:val="20"/>
          <w:lang w:val="en-US"/>
        </w:rPr>
        <w:t xml:space="preserve"> positiv</w:t>
      </w:r>
      <w:r w:rsidR="001B077C" w:rsidRPr="00610904">
        <w:rPr>
          <w:noProof w:val="0"/>
          <w:szCs w:val="20"/>
          <w:lang w:val="en-US"/>
        </w:rPr>
        <w:t>ely the State’s offer of housing</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noProof w:val="0"/>
          <w:spacing w:val="-2"/>
          <w:szCs w:val="20"/>
          <w:lang w:val="en-US"/>
        </w:rPr>
        <w:t xml:space="preserve"> </w:t>
      </w:r>
      <w:r w:rsidR="001B077C" w:rsidRPr="00610904">
        <w:rPr>
          <w:noProof w:val="0"/>
          <w:spacing w:val="-2"/>
          <w:szCs w:val="20"/>
          <w:lang w:val="en-US"/>
        </w:rPr>
        <w:t>asked</w:t>
      </w:r>
      <w:r w:rsidR="00830022" w:rsidRPr="00610904">
        <w:rPr>
          <w:noProof w:val="0"/>
          <w:spacing w:val="-2"/>
          <w:szCs w:val="20"/>
          <w:lang w:val="en-US"/>
        </w:rPr>
        <w:t xml:space="preserve"> during </w:t>
      </w:r>
      <w:r w:rsidR="00AD687D" w:rsidRPr="00610904">
        <w:rPr>
          <w:noProof w:val="0"/>
          <w:spacing w:val="-2"/>
          <w:szCs w:val="20"/>
          <w:lang w:val="en-US"/>
        </w:rPr>
        <w:t>the public hearing</w:t>
      </w:r>
      <w:r w:rsidR="003040F7" w:rsidRPr="00610904">
        <w:rPr>
          <w:noProof w:val="0"/>
          <w:spacing w:val="-2"/>
          <w:szCs w:val="20"/>
          <w:lang w:val="en-US"/>
        </w:rPr>
        <w:t xml:space="preserve"> </w:t>
      </w:r>
      <w:r w:rsidR="001B077C" w:rsidRPr="00610904">
        <w:rPr>
          <w:noProof w:val="0"/>
          <w:spacing w:val="-2"/>
          <w:szCs w:val="20"/>
          <w:lang w:val="en-US"/>
        </w:rPr>
        <w:t xml:space="preserve">that </w:t>
      </w:r>
      <w:r w:rsidR="00CD3738" w:rsidRPr="00610904">
        <w:rPr>
          <w:noProof w:val="0"/>
          <w:spacing w:val="-2"/>
          <w:szCs w:val="20"/>
          <w:lang w:val="en-US"/>
        </w:rPr>
        <w:t>Talía</w:t>
      </w:r>
      <w:r w:rsidR="003040F7" w:rsidRPr="00610904">
        <w:rPr>
          <w:noProof w:val="0"/>
          <w:spacing w:val="-2"/>
          <w:szCs w:val="20"/>
          <w:lang w:val="en-US"/>
        </w:rPr>
        <w:t xml:space="preserve"> </w:t>
      </w:r>
      <w:r w:rsidR="001B077C" w:rsidRPr="00610904">
        <w:rPr>
          <w:noProof w:val="0"/>
          <w:spacing w:val="-2"/>
          <w:szCs w:val="20"/>
          <w:lang w:val="en-US"/>
        </w:rPr>
        <w:t xml:space="preserve">be awarded decent housing under the program suggested by </w:t>
      </w:r>
      <w:r w:rsidRPr="00610904">
        <w:rPr>
          <w:noProof w:val="0"/>
          <w:spacing w:val="-2"/>
          <w:szCs w:val="20"/>
          <w:lang w:val="en-US"/>
        </w:rPr>
        <w:t>the State</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noProof w:val="0"/>
          <w:spacing w:val="-2"/>
          <w:szCs w:val="20"/>
          <w:lang w:val="en-US"/>
        </w:rPr>
        <w:t>This Court</w:t>
      </w:r>
      <w:r w:rsidR="003040F7" w:rsidRPr="00610904">
        <w:rPr>
          <w:noProof w:val="0"/>
          <w:spacing w:val="-2"/>
          <w:szCs w:val="20"/>
          <w:lang w:val="en-US"/>
        </w:rPr>
        <w:t xml:space="preserve"> t</w:t>
      </w:r>
      <w:r w:rsidR="001B077C" w:rsidRPr="00610904">
        <w:rPr>
          <w:noProof w:val="0"/>
          <w:spacing w:val="-2"/>
          <w:szCs w:val="20"/>
          <w:lang w:val="en-US"/>
        </w:rPr>
        <w:t>akes note of the State’s offer, made</w:t>
      </w:r>
      <w:r w:rsidR="00830022" w:rsidRPr="00610904">
        <w:rPr>
          <w:noProof w:val="0"/>
          <w:spacing w:val="-2"/>
          <w:szCs w:val="20"/>
          <w:lang w:val="en-US"/>
        </w:rPr>
        <w:t xml:space="preserve"> during </w:t>
      </w:r>
      <w:r w:rsidR="00AD687D" w:rsidRPr="00610904">
        <w:rPr>
          <w:noProof w:val="0"/>
          <w:spacing w:val="-2"/>
          <w:szCs w:val="20"/>
          <w:lang w:val="en-US"/>
        </w:rPr>
        <w:t>the public hearing</w:t>
      </w:r>
      <w:r w:rsidR="002C43B0" w:rsidRPr="00610904">
        <w:rPr>
          <w:noProof w:val="0"/>
          <w:spacing w:val="-2"/>
          <w:szCs w:val="20"/>
          <w:lang w:val="en-US"/>
        </w:rPr>
        <w:t>,</w:t>
      </w:r>
      <w:r w:rsidR="003040F7" w:rsidRPr="00610904">
        <w:rPr>
          <w:noProof w:val="0"/>
          <w:spacing w:val="-2"/>
          <w:szCs w:val="20"/>
          <w:lang w:val="en-US"/>
        </w:rPr>
        <w:t xml:space="preserve"> </w:t>
      </w:r>
      <w:r w:rsidR="001B077C" w:rsidRPr="00610904">
        <w:rPr>
          <w:noProof w:val="0"/>
          <w:spacing w:val="-2"/>
          <w:szCs w:val="20"/>
          <w:lang w:val="en-US"/>
        </w:rPr>
        <w:t xml:space="preserve">to award decent housing to </w:t>
      </w:r>
      <w:r w:rsidR="00CD3738" w:rsidRPr="00610904">
        <w:rPr>
          <w:noProof w:val="0"/>
          <w:spacing w:val="-2"/>
          <w:szCs w:val="20"/>
          <w:lang w:val="en-US"/>
        </w:rPr>
        <w:t>Talía</w:t>
      </w:r>
      <w:r w:rsidR="003040F7" w:rsidRPr="00610904">
        <w:rPr>
          <w:noProof w:val="0"/>
          <w:spacing w:val="-2"/>
          <w:szCs w:val="20"/>
          <w:lang w:val="en-US"/>
        </w:rPr>
        <w:t xml:space="preserve"> </w:t>
      </w:r>
      <w:r w:rsidR="001B077C" w:rsidRPr="00610904">
        <w:rPr>
          <w:noProof w:val="0"/>
          <w:spacing w:val="-2"/>
          <w:szCs w:val="20"/>
          <w:lang w:val="en-US"/>
        </w:rPr>
        <w:t>in the province of</w:t>
      </w:r>
      <w:r w:rsidR="003040F7" w:rsidRPr="00610904">
        <w:rPr>
          <w:noProof w:val="0"/>
          <w:spacing w:val="-2"/>
          <w:szCs w:val="20"/>
          <w:lang w:val="en-US"/>
        </w:rPr>
        <w:t xml:space="preserve"> Azuay </w:t>
      </w:r>
      <w:r w:rsidR="001B077C" w:rsidRPr="00610904">
        <w:rPr>
          <w:noProof w:val="0"/>
          <w:spacing w:val="-2"/>
          <w:szCs w:val="20"/>
          <w:lang w:val="en-US"/>
        </w:rPr>
        <w:t xml:space="preserve">in order to ensure her right to life. The Court assesses positively the willingness shown by the State, and considers that it constitutes an important step towards providing redress </w:t>
      </w:r>
      <w:r w:rsidR="00391F07" w:rsidRPr="00610904">
        <w:rPr>
          <w:noProof w:val="0"/>
          <w:spacing w:val="-2"/>
          <w:szCs w:val="20"/>
          <w:lang w:val="en-US"/>
        </w:rPr>
        <w:t>in this case.</w:t>
      </w:r>
      <w:r w:rsidR="003040F7" w:rsidRPr="00610904">
        <w:rPr>
          <w:rFonts w:cs="Times New Roman"/>
          <w:noProof w:val="0"/>
          <w:spacing w:val="-2"/>
          <w:szCs w:val="20"/>
          <w:vertAlign w:val="superscript"/>
          <w:lang w:val="en-US"/>
        </w:rPr>
        <w:footnoteReference w:id="382"/>
      </w:r>
      <w:r w:rsidR="001B077C" w:rsidRPr="00610904">
        <w:rPr>
          <w:noProof w:val="0"/>
          <w:spacing w:val="-2"/>
          <w:szCs w:val="20"/>
          <w:lang w:val="en-US"/>
        </w:rPr>
        <w:t xml:space="preserve"> Consequently, it orders that the State </w:t>
      </w:r>
      <w:r w:rsidR="00953111" w:rsidRPr="00610904">
        <w:rPr>
          <w:noProof w:val="0"/>
          <w:spacing w:val="-2"/>
          <w:szCs w:val="20"/>
          <w:lang w:val="en-US"/>
        </w:rPr>
        <w:t>provide</w:t>
      </w:r>
      <w:r w:rsidR="001B077C" w:rsidRPr="00610904">
        <w:rPr>
          <w:noProof w:val="0"/>
          <w:spacing w:val="-2"/>
          <w:szCs w:val="20"/>
          <w:lang w:val="en-US"/>
        </w:rPr>
        <w:t xml:space="preserve"> </w:t>
      </w:r>
      <w:r w:rsidR="00CD3738" w:rsidRPr="00610904">
        <w:rPr>
          <w:noProof w:val="0"/>
          <w:spacing w:val="-2"/>
          <w:szCs w:val="20"/>
          <w:lang w:val="en-US"/>
        </w:rPr>
        <w:t>Talía</w:t>
      </w:r>
      <w:r w:rsidR="003040F7" w:rsidRPr="00610904">
        <w:rPr>
          <w:noProof w:val="0"/>
          <w:spacing w:val="-2"/>
          <w:szCs w:val="20"/>
          <w:lang w:val="en-US"/>
        </w:rPr>
        <w:t xml:space="preserve"> Gonzales Lluy </w:t>
      </w:r>
      <w:r w:rsidR="00953111" w:rsidRPr="00610904">
        <w:rPr>
          <w:noProof w:val="0"/>
          <w:spacing w:val="-2"/>
          <w:szCs w:val="20"/>
          <w:lang w:val="en-US"/>
        </w:rPr>
        <w:t xml:space="preserve">with </w:t>
      </w:r>
      <w:r w:rsidR="001B077C" w:rsidRPr="00610904">
        <w:rPr>
          <w:noProof w:val="0"/>
          <w:spacing w:val="-2"/>
          <w:szCs w:val="20"/>
          <w:lang w:val="en-US"/>
        </w:rPr>
        <w:t xml:space="preserve">decent housing </w:t>
      </w:r>
      <w:r w:rsidR="004A6E8B" w:rsidRPr="00610904">
        <w:rPr>
          <w:noProof w:val="0"/>
          <w:spacing w:val="-2"/>
          <w:szCs w:val="20"/>
          <w:lang w:val="en-US"/>
        </w:rPr>
        <w:t>within one year</w:t>
      </w:r>
      <w:r w:rsidR="001B077C" w:rsidRPr="00610904">
        <w:rPr>
          <w:noProof w:val="0"/>
          <w:spacing w:val="-2"/>
          <w:szCs w:val="20"/>
          <w:lang w:val="en-US"/>
        </w:rPr>
        <w:t xml:space="preserve"> of the delivery </w:t>
      </w:r>
      <w:r w:rsidR="004A6E8B" w:rsidRPr="00610904">
        <w:rPr>
          <w:noProof w:val="0"/>
          <w:spacing w:val="-2"/>
          <w:szCs w:val="20"/>
          <w:lang w:val="en-US"/>
        </w:rPr>
        <w:t>of this Judgment</w:t>
      </w:r>
      <w:r w:rsidR="003040F7" w:rsidRPr="00610904">
        <w:rPr>
          <w:noProof w:val="0"/>
          <w:spacing w:val="-2"/>
          <w:szCs w:val="20"/>
          <w:lang w:val="en-US"/>
        </w:rPr>
        <w:t xml:space="preserve">. </w:t>
      </w:r>
      <w:r w:rsidR="001B077C" w:rsidRPr="00610904">
        <w:rPr>
          <w:noProof w:val="0"/>
          <w:spacing w:val="-2"/>
          <w:szCs w:val="20"/>
          <w:lang w:val="en-US"/>
        </w:rPr>
        <w:t>The housing must be free of charge, “so that the victims will not have to pay any taxes, compensation or contribution.</w:t>
      </w:r>
      <w:r w:rsidR="003040F7" w:rsidRPr="00610904">
        <w:rPr>
          <w:noProof w:val="0"/>
          <w:szCs w:val="20"/>
          <w:lang w:val="en-US"/>
        </w:rPr>
        <w:t>”</w:t>
      </w:r>
      <w:r w:rsidR="003040F7" w:rsidRPr="00610904">
        <w:rPr>
          <w:rFonts w:cs="Times New Roman"/>
          <w:noProof w:val="0"/>
          <w:spacing w:val="-2"/>
          <w:szCs w:val="20"/>
          <w:vertAlign w:val="superscript"/>
          <w:lang w:val="en-US"/>
        </w:rPr>
        <w:footnoteReference w:id="383"/>
      </w:r>
    </w:p>
    <w:p w:rsidR="003040F7" w:rsidRPr="00610904" w:rsidRDefault="003040F7" w:rsidP="00610904">
      <w:pPr>
        <w:contextualSpacing/>
        <w:rPr>
          <w:noProof w:val="0"/>
          <w:spacing w:val="-2"/>
          <w:szCs w:val="20"/>
          <w:lang w:val="en-US"/>
        </w:rPr>
      </w:pPr>
    </w:p>
    <w:p w:rsidR="003040F7" w:rsidRPr="00610904" w:rsidRDefault="003040F7" w:rsidP="00610904">
      <w:pPr>
        <w:ind w:left="709" w:firstLine="708"/>
        <w:outlineLvl w:val="2"/>
        <w:rPr>
          <w:i/>
          <w:noProof w:val="0"/>
          <w:spacing w:val="-2"/>
          <w:lang w:val="en-US"/>
        </w:rPr>
      </w:pPr>
      <w:bookmarkStart w:id="176" w:name="_Toc426108485"/>
      <w:bookmarkStart w:id="177" w:name="_Toc443399129"/>
      <w:r w:rsidRPr="00610904">
        <w:rPr>
          <w:i/>
          <w:noProof w:val="0"/>
          <w:spacing w:val="-2"/>
          <w:lang w:val="en-US"/>
        </w:rPr>
        <w:t>C.4)</w:t>
      </w:r>
      <w:r w:rsidRPr="00610904">
        <w:rPr>
          <w:i/>
          <w:noProof w:val="0"/>
          <w:spacing w:val="-2"/>
          <w:lang w:val="en-US"/>
        </w:rPr>
        <w:tab/>
      </w:r>
      <w:r w:rsidR="00B45E43" w:rsidRPr="00610904">
        <w:rPr>
          <w:i/>
          <w:noProof w:val="0"/>
          <w:spacing w:val="-2"/>
          <w:lang w:val="en-US"/>
        </w:rPr>
        <w:t>Guarantees of non-repetition</w:t>
      </w:r>
      <w:bookmarkEnd w:id="176"/>
      <w:bookmarkEnd w:id="177"/>
    </w:p>
    <w:p w:rsidR="003040F7" w:rsidRPr="00610904" w:rsidRDefault="003040F7" w:rsidP="00610904">
      <w:pPr>
        <w:contextualSpacing/>
        <w:rPr>
          <w:noProof w:val="0"/>
          <w:spacing w:val="-2"/>
          <w:szCs w:val="20"/>
          <w:lang w:val="en-US"/>
        </w:rPr>
      </w:pPr>
    </w:p>
    <w:p w:rsidR="003040F7" w:rsidRPr="00610904" w:rsidRDefault="003040F7" w:rsidP="00610904">
      <w:pPr>
        <w:pStyle w:val="Heading4"/>
        <w:spacing w:before="0" w:after="0"/>
        <w:ind w:left="720"/>
        <w:rPr>
          <w:rFonts w:eastAsia="Batang"/>
          <w:noProof w:val="0"/>
          <w:lang w:val="en-US"/>
        </w:rPr>
      </w:pPr>
      <w:bookmarkStart w:id="178" w:name="_Toc443399130"/>
      <w:r w:rsidRPr="00610904">
        <w:rPr>
          <w:rFonts w:eastAsia="Batang"/>
          <w:noProof w:val="0"/>
          <w:lang w:val="en-US"/>
        </w:rPr>
        <w:t xml:space="preserve">C.4.1) </w:t>
      </w:r>
      <w:r w:rsidR="00B45E43" w:rsidRPr="00610904">
        <w:rPr>
          <w:rFonts w:eastAsia="Batang"/>
          <w:noProof w:val="0"/>
          <w:lang w:val="en-US"/>
        </w:rPr>
        <w:t>Guarantees of non-repetition</w:t>
      </w:r>
      <w:r w:rsidRPr="00610904">
        <w:rPr>
          <w:rFonts w:eastAsia="Batang"/>
          <w:noProof w:val="0"/>
          <w:lang w:val="en-US"/>
        </w:rPr>
        <w:t xml:space="preserve"> </w:t>
      </w:r>
      <w:r w:rsidR="00B45E43" w:rsidRPr="00610904">
        <w:rPr>
          <w:rFonts w:eastAsia="Batang"/>
          <w:noProof w:val="0"/>
          <w:lang w:val="en-US"/>
        </w:rPr>
        <w:t>in the area of health</w:t>
      </w:r>
      <w:bookmarkEnd w:id="178"/>
    </w:p>
    <w:p w:rsidR="003040F7" w:rsidRPr="00610904" w:rsidRDefault="003040F7" w:rsidP="00610904">
      <w:pPr>
        <w:ind w:left="720"/>
        <w:contextualSpacing/>
        <w:rPr>
          <w:i/>
          <w:noProof w:val="0"/>
          <w:lang w:val="en-US"/>
        </w:rPr>
      </w:pPr>
      <w:r w:rsidRPr="00610904">
        <w:rPr>
          <w:i/>
          <w:noProof w:val="0"/>
          <w:lang w:val="en-US"/>
        </w:rPr>
        <w:tab/>
      </w:r>
    </w:p>
    <w:p w:rsidR="003040F7" w:rsidRPr="00610904" w:rsidRDefault="00223622" w:rsidP="00610904">
      <w:pPr>
        <w:ind w:left="720"/>
        <w:contextualSpacing/>
        <w:rPr>
          <w:i/>
          <w:noProof w:val="0"/>
          <w:lang w:val="en-US"/>
        </w:rPr>
      </w:pPr>
      <w:r w:rsidRPr="00610904">
        <w:rPr>
          <w:i/>
          <w:noProof w:val="0"/>
          <w:lang w:val="en-US"/>
        </w:rPr>
        <w:t>Arguments</w:t>
      </w:r>
      <w:r w:rsidR="003040F7" w:rsidRPr="00610904">
        <w:rPr>
          <w:i/>
          <w:noProof w:val="0"/>
          <w:lang w:val="en-US"/>
        </w:rPr>
        <w:t xml:space="preserve"> </w:t>
      </w:r>
      <w:r w:rsidR="00B45E43" w:rsidRPr="00610904">
        <w:rPr>
          <w:i/>
          <w:noProof w:val="0"/>
          <w:lang w:val="en-US"/>
        </w:rPr>
        <w:t>of the parties</w:t>
      </w:r>
      <w:r w:rsidR="009F3D78" w:rsidRPr="00610904">
        <w:rPr>
          <w:i/>
          <w:noProof w:val="0"/>
          <w:lang w:val="en-US"/>
        </w:rPr>
        <w:t xml:space="preserve"> and</w:t>
      </w:r>
      <w:r w:rsidR="003309BE" w:rsidRPr="00610904">
        <w:rPr>
          <w:i/>
          <w:noProof w:val="0"/>
          <w:lang w:val="en-US"/>
        </w:rPr>
        <w:t xml:space="preserve"> of the </w:t>
      </w:r>
      <w:r w:rsidR="002F5BBA" w:rsidRPr="00610904">
        <w:rPr>
          <w:i/>
          <w:noProof w:val="0"/>
          <w:lang w:val="en-US"/>
        </w:rPr>
        <w:t>Commission</w:t>
      </w:r>
    </w:p>
    <w:p w:rsidR="003040F7" w:rsidRPr="00610904" w:rsidRDefault="003040F7" w:rsidP="00610904">
      <w:pPr>
        <w:contextualSpacing/>
        <w:rPr>
          <w:noProof w:val="0"/>
          <w:spacing w:val="-2"/>
          <w:szCs w:val="20"/>
          <w:lang w:val="en-US"/>
        </w:rPr>
      </w:pPr>
    </w:p>
    <w:p w:rsidR="00342B91" w:rsidRPr="00610904" w:rsidRDefault="002F5BBA" w:rsidP="00610904">
      <w:pPr>
        <w:numPr>
          <w:ilvl w:val="0"/>
          <w:numId w:val="1"/>
        </w:numPr>
        <w:contextualSpacing/>
        <w:rPr>
          <w:noProof w:val="0"/>
          <w:spacing w:val="-2"/>
          <w:szCs w:val="20"/>
          <w:lang w:val="en-US"/>
        </w:rPr>
      </w:pPr>
      <w:r w:rsidRPr="00610904">
        <w:rPr>
          <w:noProof w:val="0"/>
          <w:szCs w:val="20"/>
          <w:lang w:val="en-US"/>
        </w:rPr>
        <w:t>The Commission</w:t>
      </w:r>
      <w:r w:rsidR="003040F7" w:rsidRPr="00610904">
        <w:rPr>
          <w:b/>
          <w:i/>
          <w:noProof w:val="0"/>
          <w:szCs w:val="20"/>
          <w:lang w:val="en-US"/>
        </w:rPr>
        <w:t xml:space="preserve"> </w:t>
      </w:r>
      <w:r w:rsidR="00342B91" w:rsidRPr="00610904">
        <w:rPr>
          <w:noProof w:val="0"/>
          <w:szCs w:val="20"/>
          <w:lang w:val="en-US"/>
        </w:rPr>
        <w:t>asked</w:t>
      </w:r>
      <w:r w:rsidR="003040F7" w:rsidRPr="00610904">
        <w:rPr>
          <w:noProof w:val="0"/>
          <w:szCs w:val="20"/>
          <w:lang w:val="en-US"/>
        </w:rPr>
        <w:t xml:space="preserve"> </w:t>
      </w:r>
      <w:r w:rsidR="009F3D78" w:rsidRPr="00610904">
        <w:rPr>
          <w:noProof w:val="0"/>
          <w:szCs w:val="20"/>
          <w:lang w:val="en-US"/>
        </w:rPr>
        <w:t>the Court</w:t>
      </w:r>
      <w:r w:rsidR="003040F7" w:rsidRPr="00610904">
        <w:rPr>
          <w:noProof w:val="0"/>
          <w:szCs w:val="20"/>
          <w:lang w:val="en-US"/>
        </w:rPr>
        <w:t xml:space="preserve"> </w:t>
      </w:r>
      <w:r w:rsidR="00342B91" w:rsidRPr="00610904">
        <w:rPr>
          <w:noProof w:val="0"/>
          <w:szCs w:val="20"/>
          <w:lang w:val="en-US"/>
        </w:rPr>
        <w:t>to establish mechani</w:t>
      </w:r>
      <w:r w:rsidR="00953111" w:rsidRPr="00610904">
        <w:rPr>
          <w:noProof w:val="0"/>
          <w:szCs w:val="20"/>
          <w:lang w:val="en-US"/>
        </w:rPr>
        <w:t>s</w:t>
      </w:r>
      <w:r w:rsidR="00342B91" w:rsidRPr="00610904">
        <w:rPr>
          <w:noProof w:val="0"/>
          <w:szCs w:val="20"/>
          <w:lang w:val="en-US"/>
        </w:rPr>
        <w:t>ms of non-</w:t>
      </w:r>
      <w:r w:rsidR="003040F7" w:rsidRPr="00610904">
        <w:rPr>
          <w:noProof w:val="0"/>
          <w:szCs w:val="20"/>
          <w:lang w:val="en-US"/>
        </w:rPr>
        <w:t>re</w:t>
      </w:r>
      <w:r w:rsidR="006E502B" w:rsidRPr="00610904">
        <w:rPr>
          <w:noProof w:val="0"/>
          <w:szCs w:val="20"/>
          <w:lang w:val="en-US"/>
        </w:rPr>
        <w:t>petition</w:t>
      </w:r>
      <w:r w:rsidR="00953111" w:rsidRPr="00610904">
        <w:rPr>
          <w:noProof w:val="0"/>
          <w:szCs w:val="20"/>
          <w:lang w:val="en-US"/>
        </w:rPr>
        <w:t xml:space="preserve"> including</w:t>
      </w:r>
      <w:r w:rsidR="00342B91" w:rsidRPr="00610904">
        <w:rPr>
          <w:noProof w:val="0"/>
          <w:szCs w:val="20"/>
          <w:lang w:val="en-US"/>
        </w:rPr>
        <w:t>: (i) implementation of serious and effecti</w:t>
      </w:r>
      <w:r w:rsidR="00953111" w:rsidRPr="00610904">
        <w:rPr>
          <w:noProof w:val="0"/>
          <w:szCs w:val="20"/>
          <w:lang w:val="en-US"/>
        </w:rPr>
        <w:t>ve mechanisms for the periodic</w:t>
      </w:r>
      <w:r w:rsidR="00342B91" w:rsidRPr="00610904">
        <w:rPr>
          <w:noProof w:val="0"/>
          <w:szCs w:val="20"/>
          <w:lang w:val="en-US"/>
        </w:rPr>
        <w:t xml:space="preserve"> supervision and monitoring of the functioning and record systems </w:t>
      </w:r>
      <w:r w:rsidR="00A8072E" w:rsidRPr="00610904">
        <w:rPr>
          <w:noProof w:val="0"/>
          <w:szCs w:val="20"/>
          <w:lang w:val="en-US"/>
        </w:rPr>
        <w:t xml:space="preserve">of </w:t>
      </w:r>
      <w:r w:rsidR="00342B91" w:rsidRPr="00610904">
        <w:rPr>
          <w:noProof w:val="0"/>
          <w:szCs w:val="20"/>
          <w:lang w:val="en-US"/>
        </w:rPr>
        <w:t xml:space="preserve">both </w:t>
      </w:r>
      <w:r w:rsidR="00A8072E" w:rsidRPr="00610904">
        <w:rPr>
          <w:noProof w:val="0"/>
          <w:szCs w:val="20"/>
          <w:lang w:val="en-US"/>
        </w:rPr>
        <w:t>the</w:t>
      </w:r>
      <w:r w:rsidR="00342B91" w:rsidRPr="00610904">
        <w:rPr>
          <w:noProof w:val="0"/>
          <w:szCs w:val="20"/>
          <w:lang w:val="en-US"/>
        </w:rPr>
        <w:t xml:space="preserve"> public and the private</w:t>
      </w:r>
      <w:r w:rsidR="00A8072E" w:rsidRPr="00610904">
        <w:rPr>
          <w:noProof w:val="0"/>
          <w:szCs w:val="20"/>
          <w:lang w:val="en-US"/>
        </w:rPr>
        <w:t xml:space="preserve"> blood banks</w:t>
      </w:r>
      <w:r w:rsidR="003040F7" w:rsidRPr="00610904">
        <w:rPr>
          <w:noProof w:val="0"/>
          <w:szCs w:val="20"/>
          <w:lang w:val="en-US"/>
        </w:rPr>
        <w:t xml:space="preserve"> </w:t>
      </w:r>
      <w:r w:rsidR="00342B91" w:rsidRPr="00610904">
        <w:rPr>
          <w:noProof w:val="0"/>
          <w:szCs w:val="20"/>
          <w:lang w:val="en-US"/>
        </w:rPr>
        <w:t>that operate in</w:t>
      </w:r>
      <w:r w:rsidR="00B45E43" w:rsidRPr="00610904">
        <w:rPr>
          <w:noProof w:val="0"/>
          <w:szCs w:val="20"/>
          <w:lang w:val="en-US"/>
        </w:rPr>
        <w:t xml:space="preserve"> Ecuador</w:t>
      </w:r>
      <w:r w:rsidR="003040F7" w:rsidRPr="00610904">
        <w:rPr>
          <w:noProof w:val="0"/>
          <w:szCs w:val="20"/>
          <w:lang w:val="en-US"/>
        </w:rPr>
        <w:t xml:space="preserve">; </w:t>
      </w:r>
      <w:r w:rsidR="00342B91" w:rsidRPr="00610904">
        <w:rPr>
          <w:noProof w:val="0"/>
          <w:szCs w:val="20"/>
          <w:lang w:val="en-US"/>
        </w:rPr>
        <w:t>(</w:t>
      </w:r>
      <w:r w:rsidR="003040F7" w:rsidRPr="00610904">
        <w:rPr>
          <w:noProof w:val="0"/>
          <w:szCs w:val="20"/>
          <w:lang w:val="en-US"/>
        </w:rPr>
        <w:t xml:space="preserve">ii) </w:t>
      </w:r>
      <w:r w:rsidR="00342B91" w:rsidRPr="00610904">
        <w:rPr>
          <w:noProof w:val="0"/>
          <w:szCs w:val="20"/>
          <w:lang w:val="en-US"/>
        </w:rPr>
        <w:t>implementation of serious and effecti</w:t>
      </w:r>
      <w:r w:rsidR="00953111" w:rsidRPr="00610904">
        <w:rPr>
          <w:noProof w:val="0"/>
          <w:szCs w:val="20"/>
          <w:lang w:val="en-US"/>
        </w:rPr>
        <w:t>ve mechanisms for the periodic supervision and monitoring</w:t>
      </w:r>
      <w:r w:rsidR="00342B91" w:rsidRPr="00610904">
        <w:rPr>
          <w:noProof w:val="0"/>
          <w:szCs w:val="20"/>
          <w:lang w:val="en-US"/>
        </w:rPr>
        <w:t xml:space="preserve"> of public and private hospitals to ensure that, in their operation, they have the necessary safeguards to verify the safety of the blood products used for transfusions; (iii) implementation of training programs for the personnel </w:t>
      </w:r>
      <w:r w:rsidR="00A8072E" w:rsidRPr="00610904">
        <w:rPr>
          <w:noProof w:val="0"/>
          <w:szCs w:val="20"/>
          <w:lang w:val="en-US"/>
        </w:rPr>
        <w:t>of the blood banks</w:t>
      </w:r>
      <w:r w:rsidR="003040F7" w:rsidRPr="00610904">
        <w:rPr>
          <w:noProof w:val="0"/>
          <w:szCs w:val="20"/>
          <w:lang w:val="en-US"/>
        </w:rPr>
        <w:t xml:space="preserve"> </w:t>
      </w:r>
      <w:r w:rsidR="00342B91" w:rsidRPr="00610904">
        <w:rPr>
          <w:noProof w:val="0"/>
          <w:szCs w:val="20"/>
          <w:lang w:val="en-US"/>
        </w:rPr>
        <w:t xml:space="preserve">that operate </w:t>
      </w:r>
      <w:r w:rsidR="00B45E43" w:rsidRPr="00610904">
        <w:rPr>
          <w:noProof w:val="0"/>
          <w:szCs w:val="20"/>
          <w:lang w:val="en-US"/>
        </w:rPr>
        <w:t>in Ecuador</w:t>
      </w:r>
      <w:r w:rsidR="003040F7" w:rsidRPr="00610904">
        <w:rPr>
          <w:noProof w:val="0"/>
          <w:szCs w:val="20"/>
          <w:lang w:val="en-US"/>
        </w:rPr>
        <w:t xml:space="preserve">, </w:t>
      </w:r>
      <w:r w:rsidR="00342B91" w:rsidRPr="00610904">
        <w:rPr>
          <w:noProof w:val="0"/>
          <w:szCs w:val="20"/>
          <w:lang w:val="en-US"/>
        </w:rPr>
        <w:t>in order to ensure that they perform their tasks in a way that is compatible with the basic technical safety standards recognized internationally,</w:t>
      </w:r>
      <w:r w:rsidR="00953111" w:rsidRPr="00610904">
        <w:rPr>
          <w:noProof w:val="0"/>
          <w:szCs w:val="20"/>
          <w:lang w:val="en-US"/>
        </w:rPr>
        <w:t xml:space="preserve"> </w:t>
      </w:r>
      <w:r w:rsidR="00342B91" w:rsidRPr="00610904">
        <w:rPr>
          <w:noProof w:val="0"/>
          <w:szCs w:val="20"/>
          <w:lang w:val="en-US"/>
        </w:rPr>
        <w:t xml:space="preserve">and (iv) </w:t>
      </w:r>
      <w:r w:rsidR="00953111" w:rsidRPr="00610904">
        <w:rPr>
          <w:noProof w:val="0"/>
          <w:szCs w:val="20"/>
          <w:lang w:val="en-US"/>
        </w:rPr>
        <w:t>provision</w:t>
      </w:r>
      <w:r w:rsidR="00342B91" w:rsidRPr="00610904">
        <w:rPr>
          <w:noProof w:val="0"/>
          <w:szCs w:val="20"/>
          <w:lang w:val="en-US"/>
        </w:rPr>
        <w:t xml:space="preserve"> of free treatment and health care to children with HIV who do not have the required resources. In addition, in its final written observations, the Commission emphasized the importance of determining “whether, at the present time, there is sufficient and specific regulation for this type</w:t>
      </w:r>
      <w:r w:rsidR="00953111" w:rsidRPr="00610904">
        <w:rPr>
          <w:noProof w:val="0"/>
          <w:szCs w:val="20"/>
          <w:lang w:val="en-US"/>
        </w:rPr>
        <w:t xml:space="preserve"> of health service in accordance with</w:t>
      </w:r>
      <w:r w:rsidR="00342B91" w:rsidRPr="00610904">
        <w:rPr>
          <w:noProof w:val="0"/>
          <w:szCs w:val="20"/>
          <w:lang w:val="en-US"/>
        </w:rPr>
        <w:t xml:space="preserve"> the international standards, and […] existence and implementation of specific supervision and monitoring mechanisms.”</w:t>
      </w:r>
    </w:p>
    <w:p w:rsidR="003040F7" w:rsidRPr="00610904" w:rsidRDefault="003040F7" w:rsidP="00610904">
      <w:pPr>
        <w:contextualSpacing/>
        <w:rPr>
          <w:noProof w:val="0"/>
          <w:spacing w:val="-2"/>
          <w:szCs w:val="20"/>
          <w:lang w:val="en-US"/>
        </w:rPr>
      </w:pPr>
    </w:p>
    <w:p w:rsidR="00342B91"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noProof w:val="0"/>
          <w:spacing w:val="-2"/>
          <w:szCs w:val="20"/>
          <w:lang w:val="en-US"/>
        </w:rPr>
        <w:t xml:space="preserve"> </w:t>
      </w:r>
      <w:r w:rsidR="00342B91" w:rsidRPr="00610904">
        <w:rPr>
          <w:noProof w:val="0"/>
          <w:spacing w:val="-2"/>
          <w:szCs w:val="20"/>
          <w:lang w:val="en-US"/>
        </w:rPr>
        <w:t xml:space="preserve">stated that, “despite the significant progress made by the [Ecuadorian] Government in the area of health, Talía’s case reveals that public policies on HIV/AIDS continue to be deficient in relation to international standards.” They therefore indicated </w:t>
      </w:r>
      <w:r w:rsidR="00953111" w:rsidRPr="00610904">
        <w:rPr>
          <w:noProof w:val="0"/>
          <w:spacing w:val="-2"/>
          <w:szCs w:val="20"/>
          <w:lang w:val="en-US"/>
        </w:rPr>
        <w:t xml:space="preserve">that </w:t>
      </w:r>
      <w:r w:rsidR="00342B91" w:rsidRPr="00610904">
        <w:rPr>
          <w:noProof w:val="0"/>
          <w:spacing w:val="-2"/>
          <w:szCs w:val="20"/>
          <w:lang w:val="en-US"/>
        </w:rPr>
        <w:t>a measure of non-repeti</w:t>
      </w:r>
      <w:r w:rsidR="00856968" w:rsidRPr="00610904">
        <w:rPr>
          <w:noProof w:val="0"/>
          <w:spacing w:val="-2"/>
          <w:szCs w:val="20"/>
          <w:lang w:val="en-US"/>
        </w:rPr>
        <w:t>ti</w:t>
      </w:r>
      <w:r w:rsidR="00342B91" w:rsidRPr="00610904">
        <w:rPr>
          <w:noProof w:val="0"/>
          <w:spacing w:val="-2"/>
          <w:szCs w:val="20"/>
          <w:lang w:val="en-US"/>
        </w:rPr>
        <w:t>on would be the issue of norms and policies to ensure that the rights of persons with HIV are respecte</w:t>
      </w:r>
      <w:r w:rsidR="00953111" w:rsidRPr="00610904">
        <w:rPr>
          <w:noProof w:val="0"/>
          <w:spacing w:val="-2"/>
          <w:szCs w:val="20"/>
          <w:lang w:val="en-US"/>
        </w:rPr>
        <w:t>d, so that all public and priva</w:t>
      </w:r>
      <w:r w:rsidR="00342B91" w:rsidRPr="00610904">
        <w:rPr>
          <w:noProof w:val="0"/>
          <w:spacing w:val="-2"/>
          <w:szCs w:val="20"/>
          <w:lang w:val="en-US"/>
        </w:rPr>
        <w:t xml:space="preserve">te health care institutions are </w:t>
      </w:r>
      <w:r w:rsidR="00953111" w:rsidRPr="00610904">
        <w:rPr>
          <w:noProof w:val="0"/>
          <w:spacing w:val="-2"/>
          <w:szCs w:val="20"/>
          <w:lang w:val="en-US"/>
        </w:rPr>
        <w:t>monitored</w:t>
      </w:r>
      <w:r w:rsidR="00342B91" w:rsidRPr="00610904">
        <w:rPr>
          <w:noProof w:val="0"/>
          <w:spacing w:val="-2"/>
          <w:szCs w:val="20"/>
          <w:lang w:val="en-US"/>
        </w:rPr>
        <w:t xml:space="preserve"> on a monthly, quarterly and annual basis, clearly establishing sanctions and immediate compensation in those cases in which “a situation similar to that of Talía occurs.” They also </w:t>
      </w:r>
      <w:r w:rsidR="00953111" w:rsidRPr="00610904">
        <w:rPr>
          <w:noProof w:val="0"/>
          <w:spacing w:val="-2"/>
          <w:szCs w:val="20"/>
          <w:lang w:val="en-US"/>
        </w:rPr>
        <w:t>asked that the State support “monitoring</w:t>
      </w:r>
      <w:r w:rsidR="00342B91" w:rsidRPr="00610904">
        <w:rPr>
          <w:noProof w:val="0"/>
          <w:spacing w:val="-2"/>
          <w:szCs w:val="20"/>
          <w:lang w:val="en-US"/>
        </w:rPr>
        <w:t xml:space="preserve"> the </w:t>
      </w:r>
      <w:r w:rsidR="00953111" w:rsidRPr="00610904">
        <w:rPr>
          <w:noProof w:val="0"/>
          <w:spacing w:val="-2"/>
          <w:szCs w:val="20"/>
          <w:lang w:val="en-US"/>
        </w:rPr>
        <w:t>impact</w:t>
      </w:r>
      <w:r w:rsidR="00342B91" w:rsidRPr="00610904">
        <w:rPr>
          <w:noProof w:val="0"/>
          <w:spacing w:val="-2"/>
          <w:szCs w:val="20"/>
          <w:lang w:val="en-US"/>
        </w:rPr>
        <w:t xml:space="preserve"> of the legal environment</w:t>
      </w:r>
      <w:r w:rsidR="00953111" w:rsidRPr="00610904">
        <w:rPr>
          <w:noProof w:val="0"/>
          <w:spacing w:val="-2"/>
          <w:szCs w:val="20"/>
          <w:lang w:val="en-US"/>
        </w:rPr>
        <w:t xml:space="preserve"> o</w:t>
      </w:r>
      <w:r w:rsidR="00342B91" w:rsidRPr="00610904">
        <w:rPr>
          <w:noProof w:val="0"/>
          <w:spacing w:val="-2"/>
          <w:szCs w:val="20"/>
          <w:lang w:val="en-US"/>
        </w:rPr>
        <w:t xml:space="preserve">n </w:t>
      </w:r>
      <w:r w:rsidR="00953111" w:rsidRPr="00610904">
        <w:rPr>
          <w:noProof w:val="0"/>
          <w:spacing w:val="-2"/>
          <w:szCs w:val="20"/>
          <w:lang w:val="en-US"/>
        </w:rPr>
        <w:t xml:space="preserve">the </w:t>
      </w:r>
      <w:r w:rsidR="00342B91" w:rsidRPr="00610904">
        <w:rPr>
          <w:noProof w:val="0"/>
          <w:spacing w:val="-2"/>
          <w:szCs w:val="20"/>
          <w:lang w:val="en-US"/>
        </w:rPr>
        <w:t>support, prevention, treatment, and care of HIV.” In addition</w:t>
      </w:r>
      <w:r w:rsidR="00953111" w:rsidRPr="00610904">
        <w:rPr>
          <w:noProof w:val="0"/>
          <w:spacing w:val="-2"/>
          <w:szCs w:val="20"/>
          <w:lang w:val="en-US"/>
        </w:rPr>
        <w:t>,</w:t>
      </w:r>
      <w:r w:rsidR="00342B91" w:rsidRPr="00610904">
        <w:rPr>
          <w:noProof w:val="0"/>
          <w:spacing w:val="-2"/>
          <w:szCs w:val="20"/>
          <w:lang w:val="en-US"/>
        </w:rPr>
        <w:t xml:space="preserve"> they </w:t>
      </w:r>
      <w:r w:rsidR="00953111" w:rsidRPr="00610904">
        <w:rPr>
          <w:noProof w:val="0"/>
          <w:spacing w:val="-2"/>
          <w:szCs w:val="20"/>
          <w:lang w:val="en-US"/>
        </w:rPr>
        <w:t xml:space="preserve">asked </w:t>
      </w:r>
      <w:r w:rsidR="00342B91" w:rsidRPr="00610904">
        <w:rPr>
          <w:noProof w:val="0"/>
          <w:spacing w:val="-2"/>
          <w:szCs w:val="20"/>
          <w:lang w:val="en-US"/>
        </w:rPr>
        <w:t xml:space="preserve">the Court </w:t>
      </w:r>
      <w:r w:rsidR="00953111" w:rsidRPr="00610904">
        <w:rPr>
          <w:noProof w:val="0"/>
          <w:spacing w:val="-2"/>
          <w:szCs w:val="20"/>
          <w:lang w:val="en-US"/>
        </w:rPr>
        <w:t xml:space="preserve">to </w:t>
      </w:r>
      <w:r w:rsidR="00342B91" w:rsidRPr="00610904">
        <w:rPr>
          <w:noProof w:val="0"/>
          <w:spacing w:val="-2"/>
          <w:szCs w:val="20"/>
          <w:lang w:val="en-US"/>
        </w:rPr>
        <w:t xml:space="preserve">take into account the information provided by </w:t>
      </w:r>
      <w:r w:rsidR="00B45E43" w:rsidRPr="00610904">
        <w:rPr>
          <w:noProof w:val="0"/>
          <w:spacing w:val="-2"/>
          <w:szCs w:val="20"/>
          <w:lang w:val="en-US"/>
        </w:rPr>
        <w:t>the Ombudsman</w:t>
      </w:r>
      <w:r w:rsidR="00342B91" w:rsidRPr="00610904">
        <w:rPr>
          <w:noProof w:val="0"/>
          <w:spacing w:val="-2"/>
          <w:szCs w:val="20"/>
          <w:lang w:val="en-US"/>
        </w:rPr>
        <w:t>,</w:t>
      </w:r>
      <w:r w:rsidR="00F76FE1" w:rsidRPr="00610904">
        <w:rPr>
          <w:rStyle w:val="FootnoteReference"/>
          <w:noProof w:val="0"/>
          <w:spacing w:val="-2"/>
          <w:lang w:val="en-US"/>
        </w:rPr>
        <w:footnoteReference w:id="384"/>
      </w:r>
      <w:r w:rsidR="00342B91" w:rsidRPr="00610904">
        <w:rPr>
          <w:noProof w:val="0"/>
          <w:spacing w:val="-2"/>
          <w:szCs w:val="20"/>
          <w:lang w:val="en-US"/>
        </w:rPr>
        <w:t xml:space="preserve"> as well as the </w:t>
      </w:r>
      <w:r w:rsidR="00342B91" w:rsidRPr="00610904">
        <w:rPr>
          <w:noProof w:val="0"/>
          <w:spacing w:val="-2"/>
          <w:szCs w:val="20"/>
          <w:lang w:val="en-US"/>
        </w:rPr>
        <w:lastRenderedPageBreak/>
        <w:t xml:space="preserve">report of expert witness </w:t>
      </w:r>
      <w:r w:rsidR="008E687B" w:rsidRPr="00610904">
        <w:rPr>
          <w:noProof w:val="0"/>
          <w:spacing w:val="-2"/>
          <w:szCs w:val="20"/>
          <w:lang w:val="en-US"/>
        </w:rPr>
        <w:t>Solis</w:t>
      </w:r>
      <w:r w:rsidR="00953111" w:rsidRPr="00610904">
        <w:rPr>
          <w:noProof w:val="0"/>
          <w:spacing w:val="-2"/>
          <w:szCs w:val="20"/>
          <w:lang w:val="en-US"/>
        </w:rPr>
        <w:t xml:space="preserve"> Torres</w:t>
      </w:r>
      <w:r w:rsidR="003040F7" w:rsidRPr="00610904">
        <w:rPr>
          <w:noProof w:val="0"/>
          <w:spacing w:val="-2"/>
          <w:szCs w:val="20"/>
          <w:lang w:val="en-US"/>
        </w:rPr>
        <w:t xml:space="preserve"> </w:t>
      </w:r>
      <w:r w:rsidR="00953111" w:rsidRPr="00610904">
        <w:rPr>
          <w:noProof w:val="0"/>
          <w:spacing w:val="-2"/>
          <w:szCs w:val="20"/>
          <w:lang w:val="en-US"/>
        </w:rPr>
        <w:t xml:space="preserve">which pointed out that, </w:t>
      </w:r>
      <w:r w:rsidR="00342B91" w:rsidRPr="00610904">
        <w:rPr>
          <w:noProof w:val="0"/>
          <w:spacing w:val="-2"/>
          <w:szCs w:val="20"/>
          <w:lang w:val="en-US"/>
        </w:rPr>
        <w:t>in Ecuador</w:t>
      </w:r>
      <w:r w:rsidR="00953111" w:rsidRPr="00610904">
        <w:rPr>
          <w:noProof w:val="0"/>
          <w:spacing w:val="-2"/>
          <w:szCs w:val="20"/>
          <w:lang w:val="en-US"/>
        </w:rPr>
        <w:t>, national efforts</w:t>
      </w:r>
      <w:r w:rsidR="00342B91" w:rsidRPr="00610904">
        <w:rPr>
          <w:noProof w:val="0"/>
          <w:spacing w:val="-2"/>
          <w:szCs w:val="20"/>
          <w:lang w:val="en-US"/>
        </w:rPr>
        <w:t xml:space="preserve"> to apply programs for treatment, care and support have stalled, as well as efforts to meet the HIV-related needs of orphans and other vulnerable children. Consequently, they affirmed that “the State should avoid the privatization and ‘commercialization of blood.’” </w:t>
      </w:r>
    </w:p>
    <w:p w:rsidR="003040F7" w:rsidRPr="00610904" w:rsidRDefault="003040F7" w:rsidP="00610904">
      <w:pPr>
        <w:contextualSpacing/>
        <w:rPr>
          <w:noProof w:val="0"/>
          <w:spacing w:val="-2"/>
          <w:szCs w:val="20"/>
          <w:lang w:val="en-US"/>
        </w:rPr>
      </w:pPr>
    </w:p>
    <w:p w:rsidR="00342B91" w:rsidRPr="00610904" w:rsidRDefault="00342B91" w:rsidP="00610904">
      <w:pPr>
        <w:numPr>
          <w:ilvl w:val="0"/>
          <w:numId w:val="1"/>
        </w:numPr>
        <w:contextualSpacing/>
        <w:rPr>
          <w:noProof w:val="0"/>
          <w:spacing w:val="-2"/>
          <w:szCs w:val="20"/>
          <w:lang w:val="en-US"/>
        </w:rPr>
      </w:pPr>
      <w:r w:rsidRPr="00610904">
        <w:rPr>
          <w:noProof w:val="0"/>
          <w:spacing w:val="-2"/>
          <w:szCs w:val="20"/>
          <w:lang w:val="en-US"/>
        </w:rPr>
        <w:t>The</w:t>
      </w:r>
      <w:r w:rsidR="009F3D78" w:rsidRPr="00610904">
        <w:rPr>
          <w:noProof w:val="0"/>
          <w:spacing w:val="-2"/>
          <w:szCs w:val="20"/>
          <w:lang w:val="en-US"/>
        </w:rPr>
        <w:t xml:space="preserve"> representatives</w:t>
      </w:r>
      <w:r w:rsidRPr="00610904">
        <w:rPr>
          <w:noProof w:val="0"/>
          <w:spacing w:val="-2"/>
          <w:szCs w:val="20"/>
          <w:lang w:val="en-US"/>
        </w:rPr>
        <w:t xml:space="preserve"> also indicated in their</w:t>
      </w:r>
      <w:r w:rsidR="003040F7" w:rsidRPr="00610904">
        <w:rPr>
          <w:noProof w:val="0"/>
          <w:spacing w:val="-2"/>
          <w:szCs w:val="20"/>
          <w:lang w:val="en-US"/>
        </w:rPr>
        <w:t xml:space="preserve"> </w:t>
      </w:r>
      <w:r w:rsidR="00A8072E" w:rsidRPr="00610904">
        <w:rPr>
          <w:noProof w:val="0"/>
          <w:spacing w:val="-2"/>
          <w:szCs w:val="20"/>
          <w:lang w:val="en-US"/>
        </w:rPr>
        <w:t>final written arguments</w:t>
      </w:r>
      <w:r w:rsidRPr="00610904">
        <w:rPr>
          <w:noProof w:val="0"/>
          <w:spacing w:val="-2"/>
          <w:szCs w:val="20"/>
          <w:lang w:val="en-US"/>
        </w:rPr>
        <w:t xml:space="preserve"> that “[t</w:t>
      </w:r>
      <w:r w:rsidR="003040F7" w:rsidRPr="00610904">
        <w:rPr>
          <w:noProof w:val="0"/>
          <w:spacing w:val="-2"/>
          <w:szCs w:val="20"/>
          <w:lang w:val="en-US"/>
        </w:rPr>
        <w:t>]</w:t>
      </w:r>
      <w:r w:rsidRPr="00610904">
        <w:rPr>
          <w:noProof w:val="0"/>
          <w:spacing w:val="-2"/>
          <w:szCs w:val="20"/>
          <w:lang w:val="en-US"/>
        </w:rPr>
        <w:t>he best way to guarantee and measure compliance with a judgment is by the system of human rights indicators,” and alleged that, in this case, it would be desirable to consider the financial context and budgetary commitments, the State’s capa</w:t>
      </w:r>
      <w:r w:rsidR="00953111" w:rsidRPr="00610904">
        <w:rPr>
          <w:noProof w:val="0"/>
          <w:spacing w:val="-2"/>
          <w:szCs w:val="20"/>
          <w:lang w:val="en-US"/>
        </w:rPr>
        <w:t>bilit</w:t>
      </w:r>
      <w:r w:rsidRPr="00610904">
        <w:rPr>
          <w:noProof w:val="0"/>
          <w:spacing w:val="-2"/>
          <w:szCs w:val="20"/>
          <w:lang w:val="en-US"/>
        </w:rPr>
        <w:t>ies</w:t>
      </w:r>
      <w:r w:rsidR="00953111" w:rsidRPr="00610904">
        <w:rPr>
          <w:noProof w:val="0"/>
          <w:spacing w:val="-2"/>
          <w:szCs w:val="20"/>
          <w:lang w:val="en-US"/>
        </w:rPr>
        <w:t>,</w:t>
      </w:r>
      <w:r w:rsidRPr="00610904">
        <w:rPr>
          <w:noProof w:val="0"/>
          <w:spacing w:val="-2"/>
          <w:szCs w:val="20"/>
          <w:lang w:val="en-US"/>
        </w:rPr>
        <w:t xml:space="preserve"> and the “three cross-cutting themes: equality and non-discrimination, access to justice, and access to information and participation.” Lastly, they specifically asked that the State: (i) update the information on persons living with HIV, services, </w:t>
      </w:r>
      <w:r w:rsidR="00953111" w:rsidRPr="00610904">
        <w:rPr>
          <w:noProof w:val="0"/>
          <w:spacing w:val="-2"/>
          <w:szCs w:val="20"/>
          <w:lang w:val="en-US"/>
        </w:rPr>
        <w:t xml:space="preserve">and </w:t>
      </w:r>
      <w:r w:rsidRPr="00610904">
        <w:rPr>
          <w:noProof w:val="0"/>
          <w:spacing w:val="-2"/>
          <w:szCs w:val="20"/>
          <w:lang w:val="en-US"/>
        </w:rPr>
        <w:t xml:space="preserve">availability of medical specialists, medicines and budgets; (ii) prepare </w:t>
      </w:r>
      <w:r w:rsidR="00953111" w:rsidRPr="00610904">
        <w:rPr>
          <w:noProof w:val="0"/>
          <w:spacing w:val="-2"/>
          <w:szCs w:val="20"/>
          <w:lang w:val="en-US"/>
        </w:rPr>
        <w:t xml:space="preserve">case </w:t>
      </w:r>
      <w:r w:rsidRPr="00610904">
        <w:rPr>
          <w:noProof w:val="0"/>
          <w:spacing w:val="-2"/>
          <w:szCs w:val="20"/>
          <w:lang w:val="en-US"/>
        </w:rPr>
        <w:t xml:space="preserve">reports and follow up on them; (iii) evaluate the quality and </w:t>
      </w:r>
      <w:r w:rsidR="00953111" w:rsidRPr="00610904">
        <w:rPr>
          <w:noProof w:val="0"/>
          <w:spacing w:val="-2"/>
          <w:szCs w:val="20"/>
          <w:lang w:val="en-US"/>
        </w:rPr>
        <w:t>user-friendliness</w:t>
      </w:r>
      <w:r w:rsidRPr="00610904">
        <w:rPr>
          <w:noProof w:val="0"/>
          <w:spacing w:val="-2"/>
          <w:szCs w:val="20"/>
          <w:lang w:val="en-US"/>
        </w:rPr>
        <w:t xml:space="preserve"> of the service periodically, with the active p</w:t>
      </w:r>
      <w:r w:rsidR="00953111" w:rsidRPr="00610904">
        <w:rPr>
          <w:noProof w:val="0"/>
          <w:spacing w:val="-2"/>
          <w:szCs w:val="20"/>
          <w:lang w:val="en-US"/>
        </w:rPr>
        <w:t>articipation of persons with HIV</w:t>
      </w:r>
      <w:r w:rsidRPr="00610904">
        <w:rPr>
          <w:noProof w:val="0"/>
          <w:spacing w:val="-2"/>
          <w:szCs w:val="20"/>
          <w:lang w:val="en-US"/>
        </w:rPr>
        <w:t xml:space="preserve">; (iv) plan, </w:t>
      </w:r>
      <w:r w:rsidR="00953111" w:rsidRPr="00610904">
        <w:rPr>
          <w:noProof w:val="0"/>
          <w:spacing w:val="-2"/>
          <w:szCs w:val="20"/>
          <w:lang w:val="en-US"/>
        </w:rPr>
        <w:t>promptly</w:t>
      </w:r>
      <w:r w:rsidRPr="00610904">
        <w:rPr>
          <w:noProof w:val="0"/>
          <w:spacing w:val="-2"/>
          <w:szCs w:val="20"/>
          <w:lang w:val="en-US"/>
        </w:rPr>
        <w:t xml:space="preserve"> and adequately, public acquisitions of the </w:t>
      </w:r>
      <w:r w:rsidR="00953111" w:rsidRPr="00610904">
        <w:rPr>
          <w:noProof w:val="0"/>
          <w:spacing w:val="-2"/>
          <w:szCs w:val="20"/>
          <w:lang w:val="en-US"/>
        </w:rPr>
        <w:t>required</w:t>
      </w:r>
      <w:r w:rsidRPr="00610904">
        <w:rPr>
          <w:noProof w:val="0"/>
          <w:spacing w:val="-2"/>
          <w:szCs w:val="20"/>
          <w:lang w:val="en-US"/>
        </w:rPr>
        <w:t xml:space="preserve"> medicines and inputs; (v) evaluate the impact of </w:t>
      </w:r>
      <w:r w:rsidR="00953111" w:rsidRPr="00610904">
        <w:rPr>
          <w:noProof w:val="0"/>
          <w:spacing w:val="-2"/>
          <w:szCs w:val="20"/>
          <w:lang w:val="en-US"/>
        </w:rPr>
        <w:t xml:space="preserve">this </w:t>
      </w:r>
      <w:r w:rsidRPr="00610904">
        <w:rPr>
          <w:noProof w:val="0"/>
          <w:spacing w:val="-2"/>
          <w:szCs w:val="20"/>
          <w:lang w:val="en-US"/>
        </w:rPr>
        <w:t xml:space="preserve">planning; (vi) guarantee access to medical care and health services that ensure comprehensive care; (vii) provide ongoing training for medical specialists on the rights </w:t>
      </w:r>
      <w:r w:rsidR="00953111" w:rsidRPr="00610904">
        <w:rPr>
          <w:noProof w:val="0"/>
          <w:spacing w:val="-2"/>
          <w:szCs w:val="20"/>
          <w:lang w:val="en-US"/>
        </w:rPr>
        <w:t>of persons with HIV, as well as for</w:t>
      </w:r>
      <w:r w:rsidRPr="00610904">
        <w:rPr>
          <w:noProof w:val="0"/>
          <w:spacing w:val="-2"/>
          <w:szCs w:val="20"/>
          <w:lang w:val="en-US"/>
        </w:rPr>
        <w:t xml:space="preserve"> pub</w:t>
      </w:r>
      <w:r w:rsidR="00953111" w:rsidRPr="00610904">
        <w:rPr>
          <w:noProof w:val="0"/>
          <w:spacing w:val="-2"/>
          <w:szCs w:val="20"/>
          <w:lang w:val="en-US"/>
        </w:rPr>
        <w:t>lic servants whose tasks relate</w:t>
      </w:r>
      <w:r w:rsidRPr="00610904">
        <w:rPr>
          <w:noProof w:val="0"/>
          <w:spacing w:val="-2"/>
          <w:szCs w:val="20"/>
          <w:lang w:val="en-US"/>
        </w:rPr>
        <w:t xml:space="preserve"> to HIV; (viii) disseminate and apply the procedures established in the </w:t>
      </w:r>
      <w:r w:rsidRPr="00610904">
        <w:rPr>
          <w:noProof w:val="0"/>
          <w:lang w:val="en-US"/>
        </w:rPr>
        <w:t>Manual for the Prevention and Control of Mother to Child Transmission of HIV</w:t>
      </w:r>
      <w:r w:rsidRPr="00610904">
        <w:rPr>
          <w:noProof w:val="0"/>
          <w:spacing w:val="-2"/>
          <w:szCs w:val="20"/>
          <w:lang w:val="en-US"/>
        </w:rPr>
        <w:t>, and (ix) follow up on the public and private units responsible for offering services to persons with HIV.</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noProof w:val="0"/>
          <w:spacing w:val="-2"/>
          <w:szCs w:val="20"/>
          <w:lang w:val="en-US"/>
        </w:rPr>
        <w:t xml:space="preserve"> </w:t>
      </w:r>
      <w:r w:rsidR="00342B91" w:rsidRPr="00610904">
        <w:rPr>
          <w:noProof w:val="0"/>
          <w:spacing w:val="-2"/>
          <w:szCs w:val="20"/>
          <w:lang w:val="en-US"/>
        </w:rPr>
        <w:t>indicated that the right to health is included in several provisions of its Constitution as the basis for other rights that support well-being, and “is guaranteed by economic, social, cultural, educational and environmental programs,” as well as</w:t>
      </w:r>
      <w:r w:rsidR="00953111" w:rsidRPr="00610904">
        <w:rPr>
          <w:noProof w:val="0"/>
          <w:spacing w:val="-2"/>
          <w:szCs w:val="20"/>
          <w:lang w:val="en-US"/>
        </w:rPr>
        <w:t xml:space="preserve"> by </w:t>
      </w:r>
      <w:r w:rsidR="00342B91" w:rsidRPr="00610904">
        <w:rPr>
          <w:noProof w:val="0"/>
          <w:spacing w:val="-2"/>
          <w:szCs w:val="20"/>
          <w:lang w:val="en-US"/>
        </w:rPr>
        <w:t xml:space="preserve">access to “programs, actions and services for the promotion and comprehensive </w:t>
      </w:r>
      <w:r w:rsidR="00953111" w:rsidRPr="00610904">
        <w:rPr>
          <w:noProof w:val="0"/>
          <w:spacing w:val="-2"/>
          <w:szCs w:val="20"/>
          <w:lang w:val="en-US"/>
        </w:rPr>
        <w:t>care</w:t>
      </w:r>
      <w:r w:rsidR="00342B91" w:rsidRPr="00610904">
        <w:rPr>
          <w:noProof w:val="0"/>
          <w:spacing w:val="-2"/>
          <w:szCs w:val="20"/>
          <w:lang w:val="en-US"/>
        </w:rPr>
        <w:t xml:space="preserve"> of health, sexual health and reproductive health.” It also alleged that the provision of health </w:t>
      </w:r>
      <w:r w:rsidR="00953111" w:rsidRPr="00610904">
        <w:rPr>
          <w:noProof w:val="0"/>
          <w:spacing w:val="-2"/>
          <w:szCs w:val="20"/>
          <w:lang w:val="en-US"/>
        </w:rPr>
        <w:t xml:space="preserve">care </w:t>
      </w:r>
      <w:r w:rsidR="00342B91" w:rsidRPr="00610904">
        <w:rPr>
          <w:noProof w:val="0"/>
          <w:spacing w:val="-2"/>
          <w:szCs w:val="20"/>
          <w:lang w:val="en-US"/>
        </w:rPr>
        <w:t xml:space="preserve">services “is governed by the principles of equity, </w:t>
      </w:r>
      <w:r w:rsidR="00342B91" w:rsidRPr="00610904">
        <w:rPr>
          <w:noProof w:val="0"/>
          <w:szCs w:val="20"/>
          <w:lang w:val="en-US"/>
        </w:rPr>
        <w:t>universality, solidarity, interculturality</w:t>
      </w:r>
      <w:r w:rsidR="003040F7" w:rsidRPr="00610904">
        <w:rPr>
          <w:noProof w:val="0"/>
          <w:szCs w:val="20"/>
          <w:lang w:val="en-US"/>
        </w:rPr>
        <w:t xml:space="preserve">, </w:t>
      </w:r>
      <w:r w:rsidR="00342B91" w:rsidRPr="00610904">
        <w:rPr>
          <w:noProof w:val="0"/>
          <w:szCs w:val="20"/>
          <w:lang w:val="en-US"/>
        </w:rPr>
        <w:t xml:space="preserve">quality, efficiency, efficacy, safeguards and bioethics, with a generational and gender-based approach.” The State indicated that it has a </w:t>
      </w:r>
      <w:r w:rsidR="00953111" w:rsidRPr="00610904">
        <w:rPr>
          <w:noProof w:val="0"/>
          <w:szCs w:val="20"/>
          <w:lang w:val="en-US"/>
        </w:rPr>
        <w:t xml:space="preserve">free </w:t>
      </w:r>
      <w:r w:rsidR="00342B91" w:rsidRPr="00610904">
        <w:rPr>
          <w:noProof w:val="0"/>
          <w:szCs w:val="20"/>
          <w:lang w:val="en-US"/>
        </w:rPr>
        <w:t xml:space="preserve">universal national health system that ensures promotion, prevention, recovery, and rehabilitation at all levels, “and encourages public participation and social control.” </w:t>
      </w:r>
      <w:r w:rsidR="007916C1" w:rsidRPr="00610904">
        <w:rPr>
          <w:noProof w:val="0"/>
          <w:szCs w:val="20"/>
          <w:lang w:val="en-US"/>
        </w:rPr>
        <w:t>According to the</w:t>
      </w:r>
      <w:r w:rsidRPr="00610904">
        <w:rPr>
          <w:noProof w:val="0"/>
          <w:szCs w:val="20"/>
          <w:lang w:val="en-US"/>
        </w:rPr>
        <w:t xml:space="preserve"> State</w:t>
      </w:r>
      <w:r w:rsidR="00953111" w:rsidRPr="00610904">
        <w:rPr>
          <w:noProof w:val="0"/>
          <w:szCs w:val="20"/>
          <w:lang w:val="en-US"/>
        </w:rPr>
        <w:t>,</w:t>
      </w:r>
      <w:r w:rsidR="00342B91" w:rsidRPr="00610904">
        <w:rPr>
          <w:noProof w:val="0"/>
          <w:szCs w:val="20"/>
          <w:lang w:val="en-US"/>
        </w:rPr>
        <w:t xml:space="preserve"> health services are “safe, good quality and user-friendly, and guarantee informed consent, access to information, and the confidentiality of patient information.” In addition, they include all levels of care, as well as the procedures of diagnosis, treatment, medication and rehabilitation. It also underscored that it has accredited six of its public hospitals through an international organization. </w:t>
      </w:r>
    </w:p>
    <w:p w:rsidR="003040F7" w:rsidRPr="00610904" w:rsidRDefault="003040F7" w:rsidP="00610904">
      <w:pPr>
        <w:contextualSpacing/>
        <w:rPr>
          <w:noProof w:val="0"/>
          <w:spacing w:val="-2"/>
          <w:szCs w:val="20"/>
          <w:lang w:val="en-US"/>
        </w:rPr>
      </w:pPr>
    </w:p>
    <w:p w:rsidR="003040F7" w:rsidRPr="00610904" w:rsidRDefault="00304E70" w:rsidP="00610904">
      <w:pPr>
        <w:numPr>
          <w:ilvl w:val="0"/>
          <w:numId w:val="1"/>
        </w:numPr>
        <w:contextualSpacing/>
        <w:rPr>
          <w:noProof w:val="0"/>
          <w:spacing w:val="-2"/>
          <w:szCs w:val="20"/>
          <w:lang w:val="en-US"/>
        </w:rPr>
      </w:pPr>
      <w:r w:rsidRPr="00610904">
        <w:rPr>
          <w:noProof w:val="0"/>
          <w:szCs w:val="20"/>
          <w:lang w:val="en-US"/>
        </w:rPr>
        <w:t>Furthermore</w:t>
      </w:r>
      <w:r w:rsidR="00417383" w:rsidRPr="00610904">
        <w:rPr>
          <w:noProof w:val="0"/>
          <w:szCs w:val="20"/>
          <w:lang w:val="en-US"/>
        </w:rPr>
        <w:t>, the State advised that the Law for Prevention of, and Comprehensive Assistance for,</w:t>
      </w:r>
      <w:r w:rsidR="003040F7" w:rsidRPr="00610904">
        <w:rPr>
          <w:noProof w:val="0"/>
          <w:szCs w:val="20"/>
          <w:lang w:val="en-US"/>
        </w:rPr>
        <w:t xml:space="preserve"> </w:t>
      </w:r>
      <w:r w:rsidR="00A8072E" w:rsidRPr="00610904">
        <w:rPr>
          <w:noProof w:val="0"/>
          <w:szCs w:val="20"/>
          <w:lang w:val="en-US"/>
        </w:rPr>
        <w:t>HIVAIDS</w:t>
      </w:r>
      <w:r w:rsidR="003040F7" w:rsidRPr="00610904">
        <w:rPr>
          <w:noProof w:val="0"/>
          <w:szCs w:val="20"/>
          <w:lang w:val="en-US"/>
        </w:rPr>
        <w:t xml:space="preserve"> </w:t>
      </w:r>
      <w:r w:rsidR="00417383" w:rsidRPr="00610904">
        <w:rPr>
          <w:noProof w:val="0"/>
          <w:szCs w:val="20"/>
          <w:lang w:val="en-US"/>
        </w:rPr>
        <w:t>had “declared the fight against […] AIDS to be of national interest, establishe[d] mechanisms of prevention, guarantee[d] adequate epidemiological monitoring, and facilitate[d] the treatment of those affected.” In addition, the Ministry of Public Health had a protocol for the treatment of</w:t>
      </w:r>
      <w:r w:rsidRPr="00610904">
        <w:rPr>
          <w:noProof w:val="0"/>
          <w:szCs w:val="20"/>
          <w:lang w:val="en-US"/>
        </w:rPr>
        <w:t xml:space="preserve"> persons with AIDS that promoted</w:t>
      </w:r>
      <w:r w:rsidR="00417383" w:rsidRPr="00610904">
        <w:rPr>
          <w:noProof w:val="0"/>
          <w:szCs w:val="20"/>
          <w:lang w:val="en-US"/>
        </w:rPr>
        <w:t xml:space="preserve"> specialized care a</w:t>
      </w:r>
      <w:r w:rsidRPr="00610904">
        <w:rPr>
          <w:noProof w:val="0"/>
          <w:szCs w:val="20"/>
          <w:lang w:val="en-US"/>
        </w:rPr>
        <w:t>nd protected the right of persons with HIV</w:t>
      </w:r>
      <w:r w:rsidR="00417383" w:rsidRPr="00610904">
        <w:rPr>
          <w:noProof w:val="0"/>
          <w:szCs w:val="20"/>
          <w:lang w:val="en-US"/>
        </w:rPr>
        <w:t xml:space="preserve"> to have access to health care services. In addition, in 2012, an HIV/AIDS Multi-sectoral Committee was established with the main task of “defining the strategic lines […] for pu</w:t>
      </w:r>
      <w:r w:rsidRPr="00610904">
        <w:rPr>
          <w:noProof w:val="0"/>
          <w:szCs w:val="20"/>
          <w:lang w:val="en-US"/>
        </w:rPr>
        <w:t>b</w:t>
      </w:r>
      <w:r w:rsidR="00417383" w:rsidRPr="00610904">
        <w:rPr>
          <w:noProof w:val="0"/>
          <w:szCs w:val="20"/>
          <w:lang w:val="en-US"/>
        </w:rPr>
        <w:t xml:space="preserve">lic policies to design, implement, evaluate and finance the national response to HIV.” This committee drew up a National Public Health </w:t>
      </w:r>
      <w:r w:rsidR="00856968" w:rsidRPr="00610904">
        <w:rPr>
          <w:noProof w:val="0"/>
          <w:szCs w:val="20"/>
          <w:lang w:val="en-US"/>
        </w:rPr>
        <w:t>Strategy</w:t>
      </w:r>
      <w:r w:rsidR="00417383" w:rsidRPr="00610904">
        <w:rPr>
          <w:noProof w:val="0"/>
          <w:szCs w:val="20"/>
          <w:lang w:val="en-US"/>
        </w:rPr>
        <w:t xml:space="preserve"> for HIV/AIDS-STD, which sought to expand the coverage and quality of the care under the health services, and also of timely diagnosis, comprehensive treatment, rehabilitation or </w:t>
      </w:r>
      <w:r w:rsidR="00417383" w:rsidRPr="00610904">
        <w:rPr>
          <w:noProof w:val="0"/>
          <w:szCs w:val="20"/>
          <w:lang w:val="en-US"/>
        </w:rPr>
        <w:lastRenderedPageBreak/>
        <w:t xml:space="preserve">palliative care, and the participation of the general public in the systems for social control and protection in relation to </w:t>
      </w:r>
      <w:r w:rsidR="00A8072E" w:rsidRPr="00610904">
        <w:rPr>
          <w:noProof w:val="0"/>
          <w:szCs w:val="20"/>
          <w:lang w:val="en-US"/>
        </w:rPr>
        <w:t>HIV</w:t>
      </w:r>
      <w:r w:rsidR="003040F7" w:rsidRPr="00610904">
        <w:rPr>
          <w:noProof w:val="0"/>
          <w:szCs w:val="20"/>
          <w:lang w:val="en-US"/>
        </w:rPr>
        <w:t>/</w:t>
      </w:r>
      <w:r w:rsidR="00A8072E" w:rsidRPr="00610904">
        <w:rPr>
          <w:noProof w:val="0"/>
          <w:szCs w:val="20"/>
          <w:lang w:val="en-US"/>
        </w:rPr>
        <w:t>AIDS</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304E70" w:rsidP="00610904">
      <w:pPr>
        <w:numPr>
          <w:ilvl w:val="0"/>
          <w:numId w:val="1"/>
        </w:numPr>
        <w:contextualSpacing/>
        <w:rPr>
          <w:noProof w:val="0"/>
          <w:spacing w:val="-2"/>
          <w:szCs w:val="20"/>
          <w:lang w:val="en-US"/>
        </w:rPr>
      </w:pPr>
      <w:r w:rsidRPr="00610904">
        <w:rPr>
          <w:noProof w:val="0"/>
          <w:szCs w:val="20"/>
          <w:lang w:val="en-US"/>
        </w:rPr>
        <w:t xml:space="preserve">In addition, </w:t>
      </w:r>
      <w:r w:rsidR="00417383" w:rsidRPr="00610904">
        <w:rPr>
          <w:noProof w:val="0"/>
          <w:szCs w:val="20"/>
          <w:lang w:val="en-US"/>
        </w:rPr>
        <w:t xml:space="preserve">the State asked the Court to assess the measures it had taken to comply with the judgment delivered in the case of </w:t>
      </w:r>
      <w:r w:rsidR="003040F7" w:rsidRPr="00610904">
        <w:rPr>
          <w:i/>
          <w:noProof w:val="0"/>
          <w:szCs w:val="20"/>
          <w:lang w:val="en-US"/>
        </w:rPr>
        <w:t>Albán Cornejo</w:t>
      </w:r>
      <w:r w:rsidR="009F3D78" w:rsidRPr="00610904">
        <w:rPr>
          <w:i/>
          <w:noProof w:val="0"/>
          <w:szCs w:val="20"/>
          <w:lang w:val="en-US"/>
        </w:rPr>
        <w:t xml:space="preserve"> </w:t>
      </w:r>
      <w:r w:rsidR="00417383" w:rsidRPr="00610904">
        <w:rPr>
          <w:i/>
          <w:noProof w:val="0"/>
          <w:szCs w:val="20"/>
          <w:lang w:val="en-US"/>
        </w:rPr>
        <w:t>et al. v</w:t>
      </w:r>
      <w:r w:rsidRPr="00610904">
        <w:rPr>
          <w:i/>
          <w:noProof w:val="0"/>
          <w:szCs w:val="20"/>
          <w:lang w:val="en-US"/>
        </w:rPr>
        <w:t>. Ecuador;</w:t>
      </w:r>
      <w:r w:rsidR="003040F7" w:rsidRPr="00610904">
        <w:rPr>
          <w:i/>
          <w:noProof w:val="0"/>
          <w:szCs w:val="20"/>
          <w:lang w:val="en-US"/>
        </w:rPr>
        <w:t xml:space="preserve"> </w:t>
      </w:r>
      <w:r w:rsidR="00417383" w:rsidRPr="00610904">
        <w:rPr>
          <w:noProof w:val="0"/>
          <w:szCs w:val="20"/>
          <w:lang w:val="en-US"/>
        </w:rPr>
        <w:t>i</w:t>
      </w:r>
      <w:r w:rsidR="003040F7" w:rsidRPr="00610904">
        <w:rPr>
          <w:noProof w:val="0"/>
          <w:szCs w:val="20"/>
          <w:lang w:val="en-US"/>
        </w:rPr>
        <w:t xml:space="preserve">n particular </w:t>
      </w:r>
      <w:r w:rsidR="00417383" w:rsidRPr="00610904">
        <w:rPr>
          <w:noProof w:val="0"/>
          <w:szCs w:val="20"/>
          <w:lang w:val="en-US"/>
        </w:rPr>
        <w:t xml:space="preserve">the </w:t>
      </w:r>
      <w:r w:rsidR="00856968" w:rsidRPr="00610904">
        <w:rPr>
          <w:noProof w:val="0"/>
          <w:szCs w:val="20"/>
          <w:lang w:val="en-US"/>
        </w:rPr>
        <w:t>incorporation</w:t>
      </w:r>
      <w:r w:rsidR="00417383" w:rsidRPr="00610904">
        <w:rPr>
          <w:noProof w:val="0"/>
          <w:szCs w:val="20"/>
          <w:lang w:val="en-US"/>
        </w:rPr>
        <w:t xml:space="preserve"> of virtual human rights training for health care professionals within the National Health System</w:t>
      </w:r>
      <w:r w:rsidR="003040F7" w:rsidRPr="00610904">
        <w:rPr>
          <w:noProof w:val="0"/>
          <w:szCs w:val="20"/>
          <w:lang w:val="en-US"/>
        </w:rPr>
        <w:t xml:space="preserve">; </w:t>
      </w:r>
      <w:r w:rsidR="00417383" w:rsidRPr="00610904">
        <w:rPr>
          <w:noProof w:val="0"/>
          <w:szCs w:val="20"/>
          <w:lang w:val="en-US"/>
        </w:rPr>
        <w:t xml:space="preserve">a large-scale reprint </w:t>
      </w:r>
      <w:r w:rsidR="00744CA7" w:rsidRPr="00610904">
        <w:rPr>
          <w:noProof w:val="0"/>
          <w:szCs w:val="20"/>
          <w:lang w:val="en-US"/>
        </w:rPr>
        <w:t>of the Law on</w:t>
      </w:r>
      <w:r w:rsidRPr="00610904">
        <w:rPr>
          <w:noProof w:val="0"/>
          <w:szCs w:val="20"/>
          <w:lang w:val="en-US"/>
        </w:rPr>
        <w:t xml:space="preserve"> Patients’</w:t>
      </w:r>
      <w:r w:rsidR="00417383" w:rsidRPr="00610904">
        <w:rPr>
          <w:noProof w:val="0"/>
          <w:szCs w:val="20"/>
          <w:lang w:val="en-US"/>
        </w:rPr>
        <w:t xml:space="preserve"> Rights and Protection; the module on professional malpractice included in the continuing training cours</w:t>
      </w:r>
      <w:r w:rsidRPr="00610904">
        <w:rPr>
          <w:noProof w:val="0"/>
          <w:szCs w:val="20"/>
          <w:lang w:val="en-US"/>
        </w:rPr>
        <w:t>e</w:t>
      </w:r>
      <w:r w:rsidR="00417383" w:rsidRPr="00610904">
        <w:rPr>
          <w:noProof w:val="0"/>
          <w:szCs w:val="20"/>
          <w:lang w:val="en-US"/>
        </w:rPr>
        <w:t xml:space="preserve"> on the Organic Comprehensive Criminal Code for administrators of justice and public defenders, and the professional malpractice course for agents of justice.</w:t>
      </w:r>
    </w:p>
    <w:p w:rsidR="003040F7" w:rsidRPr="00610904" w:rsidRDefault="003040F7" w:rsidP="00610904">
      <w:pPr>
        <w:ind w:left="720" w:firstLine="696"/>
        <w:contextualSpacing/>
        <w:rPr>
          <w:i/>
          <w:noProof w:val="0"/>
          <w:lang w:val="en-US"/>
        </w:rPr>
      </w:pPr>
    </w:p>
    <w:p w:rsidR="003040F7" w:rsidRPr="00610904" w:rsidRDefault="00A8072E" w:rsidP="00610904">
      <w:pPr>
        <w:ind w:left="450"/>
        <w:contextualSpacing/>
        <w:rPr>
          <w:i/>
          <w:noProof w:val="0"/>
          <w:lang w:val="en-US"/>
        </w:rPr>
      </w:pPr>
      <w:r w:rsidRPr="00610904">
        <w:rPr>
          <w:i/>
          <w:noProof w:val="0"/>
          <w:lang w:val="en-US"/>
        </w:rPr>
        <w:t>Considerations</w:t>
      </w:r>
      <w:r w:rsidR="009F3D78" w:rsidRPr="00610904">
        <w:rPr>
          <w:i/>
          <w:noProof w:val="0"/>
          <w:lang w:val="en-US"/>
        </w:rPr>
        <w:t xml:space="preserve"> of the Court</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not</w:t>
      </w:r>
      <w:r w:rsidR="00417383" w:rsidRPr="00610904">
        <w:rPr>
          <w:noProof w:val="0"/>
          <w:spacing w:val="-2"/>
          <w:szCs w:val="20"/>
          <w:lang w:val="en-US"/>
        </w:rPr>
        <w:t>es that the ri</w:t>
      </w:r>
      <w:r w:rsidR="00304E70" w:rsidRPr="00610904">
        <w:rPr>
          <w:noProof w:val="0"/>
          <w:spacing w:val="-2"/>
          <w:szCs w:val="20"/>
          <w:lang w:val="en-US"/>
        </w:rPr>
        <w:t>ght to health is currently regu</w:t>
      </w:r>
      <w:r w:rsidR="00417383" w:rsidRPr="00610904">
        <w:rPr>
          <w:noProof w:val="0"/>
          <w:spacing w:val="-2"/>
          <w:szCs w:val="20"/>
          <w:lang w:val="en-US"/>
        </w:rPr>
        <w:t>l</w:t>
      </w:r>
      <w:r w:rsidR="00304E70" w:rsidRPr="00610904">
        <w:rPr>
          <w:noProof w:val="0"/>
          <w:spacing w:val="-2"/>
          <w:szCs w:val="20"/>
          <w:lang w:val="en-US"/>
        </w:rPr>
        <w:t>a</w:t>
      </w:r>
      <w:r w:rsidR="00417383" w:rsidRPr="00610904">
        <w:rPr>
          <w:noProof w:val="0"/>
          <w:spacing w:val="-2"/>
          <w:szCs w:val="20"/>
          <w:lang w:val="en-US"/>
        </w:rPr>
        <w:t xml:space="preserve">ted by several laws in Ecuador. In this regard, the Court notes that the Constitution </w:t>
      </w:r>
      <w:r w:rsidR="00A8072E" w:rsidRPr="00610904">
        <w:rPr>
          <w:noProof w:val="0"/>
          <w:spacing w:val="-2"/>
          <w:szCs w:val="20"/>
          <w:lang w:val="en-US"/>
        </w:rPr>
        <w:t>of Ecuador</w:t>
      </w:r>
      <w:r w:rsidR="00417383" w:rsidRPr="00610904">
        <w:rPr>
          <w:noProof w:val="0"/>
          <w:spacing w:val="-2"/>
          <w:szCs w:val="20"/>
          <w:lang w:val="en-US"/>
        </w:rPr>
        <w:t>,</w:t>
      </w:r>
      <w:r w:rsidR="003040F7" w:rsidRPr="00610904">
        <w:rPr>
          <w:rFonts w:cs="Times New Roman"/>
          <w:noProof w:val="0"/>
          <w:spacing w:val="-2"/>
          <w:szCs w:val="20"/>
          <w:vertAlign w:val="superscript"/>
          <w:lang w:val="en-US"/>
        </w:rPr>
        <w:footnoteReference w:id="385"/>
      </w:r>
      <w:r w:rsidR="00417383" w:rsidRPr="00610904">
        <w:rPr>
          <w:noProof w:val="0"/>
          <w:spacing w:val="-2"/>
          <w:szCs w:val="20"/>
          <w:lang w:val="en-US"/>
        </w:rPr>
        <w:t xml:space="preserve"> the 2006 Organic Health Law,</w:t>
      </w:r>
      <w:r w:rsidR="003040F7" w:rsidRPr="00610904">
        <w:rPr>
          <w:rFonts w:cs="Times New Roman"/>
          <w:noProof w:val="0"/>
          <w:spacing w:val="-2"/>
          <w:szCs w:val="20"/>
          <w:vertAlign w:val="superscript"/>
          <w:lang w:val="en-US"/>
        </w:rPr>
        <w:footnoteReference w:id="386"/>
      </w:r>
      <w:r w:rsidR="00417383" w:rsidRPr="00610904">
        <w:rPr>
          <w:noProof w:val="0"/>
          <w:spacing w:val="-2"/>
          <w:szCs w:val="20"/>
          <w:lang w:val="en-US"/>
        </w:rPr>
        <w:t xml:space="preserve"> the 2012 Organic Law on Disabilities,</w:t>
      </w:r>
      <w:r w:rsidR="003040F7" w:rsidRPr="00610904">
        <w:rPr>
          <w:rFonts w:cs="Times New Roman"/>
          <w:noProof w:val="0"/>
          <w:spacing w:val="-2"/>
          <w:szCs w:val="20"/>
          <w:vertAlign w:val="superscript"/>
          <w:lang w:val="en-US"/>
        </w:rPr>
        <w:footnoteReference w:id="387"/>
      </w:r>
      <w:r w:rsidRPr="00610904">
        <w:rPr>
          <w:noProof w:val="0"/>
          <w:spacing w:val="-2"/>
          <w:szCs w:val="20"/>
          <w:lang w:val="en-US"/>
        </w:rPr>
        <w:t xml:space="preserve"> and </w:t>
      </w:r>
      <w:r w:rsidR="00EF508D" w:rsidRPr="00610904">
        <w:rPr>
          <w:noProof w:val="0"/>
          <w:spacing w:val="-2"/>
          <w:szCs w:val="20"/>
          <w:lang w:val="en-US"/>
        </w:rPr>
        <w:t xml:space="preserve">the </w:t>
      </w:r>
      <w:r w:rsidR="00417383" w:rsidRPr="00610904">
        <w:rPr>
          <w:noProof w:val="0"/>
          <w:spacing w:val="-2"/>
          <w:szCs w:val="20"/>
          <w:lang w:val="en-US"/>
        </w:rPr>
        <w:t xml:space="preserve">2003 </w:t>
      </w:r>
      <w:r w:rsidR="00EF508D" w:rsidRPr="00610904">
        <w:rPr>
          <w:noProof w:val="0"/>
          <w:spacing w:val="-2"/>
          <w:szCs w:val="20"/>
          <w:lang w:val="en-US"/>
        </w:rPr>
        <w:t>Children’s and Adolescents’ Code</w:t>
      </w:r>
      <w:r w:rsidR="003040F7" w:rsidRPr="00610904">
        <w:rPr>
          <w:rFonts w:cs="Times New Roman"/>
          <w:noProof w:val="0"/>
          <w:spacing w:val="-2"/>
          <w:szCs w:val="20"/>
          <w:vertAlign w:val="superscript"/>
          <w:lang w:val="en-US"/>
        </w:rPr>
        <w:footnoteReference w:id="388"/>
      </w:r>
      <w:r w:rsidR="003040F7" w:rsidRPr="00610904">
        <w:rPr>
          <w:noProof w:val="0"/>
          <w:spacing w:val="-2"/>
          <w:szCs w:val="20"/>
          <w:lang w:val="en-US"/>
        </w:rPr>
        <w:t xml:space="preserve"> </w:t>
      </w:r>
      <w:r w:rsidR="00417383" w:rsidRPr="00610904">
        <w:rPr>
          <w:noProof w:val="0"/>
          <w:spacing w:val="-2"/>
          <w:szCs w:val="20"/>
          <w:lang w:val="en-US"/>
        </w:rPr>
        <w:t>all include general provisions on the protection of the right to health.</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417383" w:rsidP="00610904">
      <w:pPr>
        <w:numPr>
          <w:ilvl w:val="0"/>
          <w:numId w:val="1"/>
        </w:numPr>
        <w:contextualSpacing/>
        <w:rPr>
          <w:noProof w:val="0"/>
          <w:spacing w:val="-2"/>
          <w:szCs w:val="20"/>
          <w:lang w:val="en-US"/>
        </w:rPr>
      </w:pPr>
      <w:r w:rsidRPr="00610904">
        <w:rPr>
          <w:noProof w:val="0"/>
          <w:lang w:val="en-US"/>
        </w:rPr>
        <w:t>According to</w:t>
      </w:r>
      <w:r w:rsidR="00F30B54" w:rsidRPr="00610904">
        <w:rPr>
          <w:noProof w:val="0"/>
          <w:lang w:val="en-US"/>
        </w:rPr>
        <w:t xml:space="preserve"> </w:t>
      </w:r>
      <w:r w:rsidR="008357AC" w:rsidRPr="00610904">
        <w:rPr>
          <w:noProof w:val="0"/>
          <w:lang w:val="en-US"/>
        </w:rPr>
        <w:t>UNAIDS</w:t>
      </w:r>
      <w:r w:rsidR="00F30B54" w:rsidRPr="00610904">
        <w:rPr>
          <w:noProof w:val="0"/>
          <w:lang w:val="en-US"/>
        </w:rPr>
        <w:t xml:space="preserve">, </w:t>
      </w:r>
      <w:r w:rsidRPr="00610904">
        <w:rPr>
          <w:noProof w:val="0"/>
          <w:lang w:val="en-US"/>
        </w:rPr>
        <w:t>in</w:t>
      </w:r>
      <w:r w:rsidR="00F30B54" w:rsidRPr="00610904">
        <w:rPr>
          <w:noProof w:val="0"/>
          <w:lang w:val="en-US"/>
        </w:rPr>
        <w:t xml:space="preserve"> 2014</w:t>
      </w:r>
      <w:r w:rsidRPr="00610904">
        <w:rPr>
          <w:noProof w:val="0"/>
          <w:lang w:val="en-US"/>
        </w:rPr>
        <w:t>, approximately 7,600 women of 15 years o</w:t>
      </w:r>
      <w:r w:rsidR="00304E70" w:rsidRPr="00610904">
        <w:rPr>
          <w:noProof w:val="0"/>
          <w:lang w:val="en-US"/>
        </w:rPr>
        <w:t>f age or older were living with</w:t>
      </w:r>
      <w:r w:rsidRPr="00610904">
        <w:rPr>
          <w:noProof w:val="0"/>
          <w:lang w:val="en-US"/>
        </w:rPr>
        <w:t xml:space="preserve"> </w:t>
      </w:r>
      <w:r w:rsidR="00A8072E" w:rsidRPr="00610904">
        <w:rPr>
          <w:noProof w:val="0"/>
          <w:lang w:val="en-US"/>
        </w:rPr>
        <w:t>HIV</w:t>
      </w:r>
      <w:r w:rsidR="00304E70" w:rsidRPr="00610904">
        <w:rPr>
          <w:noProof w:val="0"/>
          <w:lang w:val="en-US"/>
        </w:rPr>
        <w:t xml:space="preserve"> in Ecuador</w:t>
      </w:r>
      <w:r w:rsidRPr="00610904">
        <w:rPr>
          <w:noProof w:val="0"/>
          <w:lang w:val="en-US"/>
        </w:rPr>
        <w:t>.</w:t>
      </w:r>
      <w:r w:rsidR="005353C8" w:rsidRPr="00610904">
        <w:rPr>
          <w:rStyle w:val="FootnoteReference"/>
          <w:noProof w:val="0"/>
          <w:spacing w:val="-2"/>
          <w:lang w:val="en-US"/>
        </w:rPr>
        <w:footnoteReference w:id="389"/>
      </w:r>
      <w:r w:rsidRPr="00610904">
        <w:rPr>
          <w:noProof w:val="0"/>
          <w:spacing w:val="-2"/>
          <w:szCs w:val="20"/>
          <w:lang w:val="en-US"/>
        </w:rPr>
        <w:t xml:space="preserve"> Regarding the instruments adopted to ensure care for persons with </w:t>
      </w:r>
      <w:r w:rsidR="00A8072E" w:rsidRPr="00610904">
        <w:rPr>
          <w:noProof w:val="0"/>
          <w:spacing w:val="-2"/>
          <w:szCs w:val="20"/>
          <w:lang w:val="en-US"/>
        </w:rPr>
        <w:t>HIV</w:t>
      </w:r>
      <w:r w:rsidR="003040F7" w:rsidRPr="00610904">
        <w:rPr>
          <w:noProof w:val="0"/>
          <w:spacing w:val="-2"/>
          <w:szCs w:val="20"/>
          <w:lang w:val="en-US"/>
        </w:rPr>
        <w:t xml:space="preserve">, </w:t>
      </w:r>
      <w:r w:rsidRPr="00610904">
        <w:rPr>
          <w:noProof w:val="0"/>
          <w:spacing w:val="-2"/>
          <w:szCs w:val="20"/>
          <w:lang w:val="en-US"/>
        </w:rPr>
        <w:t>the</w:t>
      </w:r>
      <w:r w:rsidR="00A8072E" w:rsidRPr="00610904">
        <w:rPr>
          <w:noProof w:val="0"/>
          <w:spacing w:val="-2"/>
          <w:szCs w:val="20"/>
          <w:lang w:val="en-US"/>
        </w:rPr>
        <w:t xml:space="preserve"> Court</w:t>
      </w:r>
      <w:r w:rsidRPr="00610904">
        <w:rPr>
          <w:noProof w:val="0"/>
          <w:spacing w:val="-2"/>
          <w:szCs w:val="20"/>
          <w:lang w:val="en-US"/>
        </w:rPr>
        <w:t xml:space="preserve"> observes that the Organic Health Law</w:t>
      </w:r>
      <w:r w:rsidR="00DB25BC" w:rsidRPr="00610904">
        <w:rPr>
          <w:noProof w:val="0"/>
          <w:spacing w:val="-2"/>
          <w:szCs w:val="20"/>
          <w:lang w:val="en-US"/>
        </w:rPr>
        <w:t xml:space="preserve"> and the 2000 Law for Prevention </w:t>
      </w:r>
      <w:proofErr w:type="gramStart"/>
      <w:r w:rsidR="00DB25BC" w:rsidRPr="00610904">
        <w:rPr>
          <w:noProof w:val="0"/>
          <w:spacing w:val="-2"/>
          <w:szCs w:val="20"/>
          <w:lang w:val="en-US"/>
        </w:rPr>
        <w:t>of,</w:t>
      </w:r>
      <w:proofErr w:type="gramEnd"/>
      <w:r w:rsidR="00DB25BC" w:rsidRPr="00610904">
        <w:rPr>
          <w:noProof w:val="0"/>
          <w:spacing w:val="-2"/>
          <w:szCs w:val="20"/>
          <w:lang w:val="en-US"/>
        </w:rPr>
        <w:t xml:space="preserve"> and Comprehensive Assistance for,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3040F7" w:rsidRPr="00610904">
        <w:rPr>
          <w:rFonts w:cs="Times New Roman"/>
          <w:noProof w:val="0"/>
          <w:spacing w:val="-2"/>
          <w:szCs w:val="20"/>
          <w:vertAlign w:val="superscript"/>
          <w:lang w:val="en-US"/>
        </w:rPr>
        <w:footnoteReference w:id="390"/>
      </w:r>
      <w:r w:rsidR="003040F7" w:rsidRPr="00610904">
        <w:rPr>
          <w:noProof w:val="0"/>
          <w:spacing w:val="-2"/>
          <w:szCs w:val="20"/>
          <w:lang w:val="en-US"/>
        </w:rPr>
        <w:t xml:space="preserve"> cont</w:t>
      </w:r>
      <w:r w:rsidR="00DB25BC" w:rsidRPr="00610904">
        <w:rPr>
          <w:noProof w:val="0"/>
          <w:spacing w:val="-2"/>
          <w:szCs w:val="20"/>
          <w:lang w:val="en-US"/>
        </w:rPr>
        <w:t>ain specific provisions regarding care for persons with</w:t>
      </w:r>
      <w:r w:rsidR="003040F7" w:rsidRPr="00610904">
        <w:rPr>
          <w:noProof w:val="0"/>
          <w:spacing w:val="-2"/>
          <w:szCs w:val="20"/>
          <w:lang w:val="en-US"/>
        </w:rPr>
        <w:t xml:space="preserve">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9F3D78" w:rsidRPr="00610904">
        <w:rPr>
          <w:noProof w:val="0"/>
          <w:spacing w:val="-2"/>
          <w:szCs w:val="20"/>
          <w:lang w:val="en-US"/>
        </w:rPr>
        <w:t xml:space="preserve"> and </w:t>
      </w:r>
      <w:r w:rsidR="00304E70" w:rsidRPr="00610904">
        <w:rPr>
          <w:noProof w:val="0"/>
          <w:spacing w:val="-2"/>
          <w:szCs w:val="20"/>
          <w:lang w:val="en-US"/>
        </w:rPr>
        <w:t>the adoption of preventive</w:t>
      </w:r>
      <w:r w:rsidR="00DB25BC" w:rsidRPr="00610904">
        <w:rPr>
          <w:noProof w:val="0"/>
          <w:spacing w:val="-2"/>
          <w:szCs w:val="20"/>
          <w:lang w:val="en-US"/>
        </w:rPr>
        <w:t xml:space="preserve"> policies and programs. It a</w:t>
      </w:r>
      <w:r w:rsidR="00304E70" w:rsidRPr="00610904">
        <w:rPr>
          <w:noProof w:val="0"/>
          <w:spacing w:val="-2"/>
          <w:szCs w:val="20"/>
          <w:lang w:val="en-US"/>
        </w:rPr>
        <w:t>lso notes that the State has a M</w:t>
      </w:r>
      <w:r w:rsidR="00DB25BC" w:rsidRPr="00610904">
        <w:rPr>
          <w:noProof w:val="0"/>
          <w:spacing w:val="-2"/>
          <w:szCs w:val="20"/>
          <w:lang w:val="en-US"/>
        </w:rPr>
        <w:t>anual for the Comprehensive Health Care Model adopted in 2013 that establishes services for HIV/AIDS prevention, detection and counseling for all children, adolescents and adults</w:t>
      </w:r>
      <w:r w:rsidR="00304E70" w:rsidRPr="00610904">
        <w:rPr>
          <w:noProof w:val="0"/>
          <w:spacing w:val="-2"/>
          <w:szCs w:val="20"/>
          <w:lang w:val="en-US"/>
        </w:rPr>
        <w:t>,</w:t>
      </w:r>
      <w:r w:rsidR="003040F7" w:rsidRPr="00610904">
        <w:rPr>
          <w:rFonts w:cs="Times New Roman"/>
          <w:noProof w:val="0"/>
          <w:spacing w:val="-2"/>
          <w:szCs w:val="20"/>
          <w:vertAlign w:val="superscript"/>
          <w:lang w:val="en-US"/>
        </w:rPr>
        <w:footnoteReference w:id="391"/>
      </w:r>
      <w:r w:rsidR="00DB25BC" w:rsidRPr="00610904">
        <w:rPr>
          <w:noProof w:val="0"/>
          <w:spacing w:val="-2"/>
          <w:szCs w:val="20"/>
          <w:lang w:val="en-US"/>
        </w:rPr>
        <w:t xml:space="preserve"> and has adopted the </w:t>
      </w:r>
      <w:r w:rsidR="007916C1" w:rsidRPr="00610904">
        <w:rPr>
          <w:noProof w:val="0"/>
          <w:spacing w:val="-2"/>
          <w:szCs w:val="20"/>
          <w:lang w:val="en-US"/>
        </w:rPr>
        <w:t>Millennium Development Goals</w:t>
      </w:r>
      <w:r w:rsidR="00304E70" w:rsidRPr="00610904">
        <w:rPr>
          <w:noProof w:val="0"/>
          <w:spacing w:val="-2"/>
          <w:szCs w:val="20"/>
          <w:lang w:val="en-US"/>
        </w:rPr>
        <w:t>, one of the targets of which is</w:t>
      </w:r>
      <w:r w:rsidR="00DB25BC" w:rsidRPr="00610904">
        <w:rPr>
          <w:noProof w:val="0"/>
          <w:spacing w:val="-2"/>
          <w:szCs w:val="20"/>
          <w:lang w:val="en-US"/>
        </w:rPr>
        <w:t xml:space="preserve"> to reduce the spread of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9F3D78" w:rsidRPr="00610904">
        <w:rPr>
          <w:noProof w:val="0"/>
          <w:spacing w:val="-2"/>
          <w:szCs w:val="20"/>
          <w:lang w:val="en-US"/>
        </w:rPr>
        <w:t xml:space="preserve"> and </w:t>
      </w:r>
      <w:r w:rsidR="00DB25BC" w:rsidRPr="00610904">
        <w:rPr>
          <w:noProof w:val="0"/>
          <w:spacing w:val="-2"/>
          <w:szCs w:val="20"/>
          <w:lang w:val="en-US"/>
        </w:rPr>
        <w:t>achieve universal access to treatment.</w:t>
      </w:r>
      <w:r w:rsidR="003040F7" w:rsidRPr="00610904">
        <w:rPr>
          <w:rFonts w:cs="Times New Roman"/>
          <w:noProof w:val="0"/>
          <w:spacing w:val="-2"/>
          <w:szCs w:val="20"/>
          <w:vertAlign w:val="superscript"/>
          <w:lang w:val="en-US"/>
        </w:rPr>
        <w:footnoteReference w:id="392"/>
      </w:r>
      <w:r w:rsidR="00D40C62" w:rsidRPr="00610904">
        <w:rPr>
          <w:noProof w:val="0"/>
          <w:spacing w:val="-2"/>
          <w:szCs w:val="20"/>
          <w:lang w:val="en-US"/>
        </w:rPr>
        <w:t xml:space="preserve"> </w:t>
      </w:r>
      <w:r w:rsidR="00DB25BC" w:rsidRPr="00610904">
        <w:rPr>
          <w:noProof w:val="0"/>
          <w:spacing w:val="-2"/>
          <w:szCs w:val="20"/>
          <w:lang w:val="en-US"/>
        </w:rPr>
        <w:t xml:space="preserve">In addition, the Court notes the incorporation of different lines of research on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3040F7" w:rsidRPr="00610904">
        <w:rPr>
          <w:noProof w:val="0"/>
          <w:spacing w:val="-2"/>
          <w:szCs w:val="20"/>
          <w:lang w:val="en-US"/>
        </w:rPr>
        <w:t xml:space="preserve"> </w:t>
      </w:r>
      <w:r w:rsidR="00DB25BC" w:rsidRPr="00610904">
        <w:rPr>
          <w:noProof w:val="0"/>
          <w:spacing w:val="-2"/>
          <w:szCs w:val="20"/>
          <w:lang w:val="en-US"/>
        </w:rPr>
        <w:t xml:space="preserve">into the </w:t>
      </w:r>
      <w:r w:rsidR="003040F7" w:rsidRPr="00610904">
        <w:rPr>
          <w:noProof w:val="0"/>
          <w:spacing w:val="-2"/>
          <w:szCs w:val="20"/>
          <w:lang w:val="en-US"/>
        </w:rPr>
        <w:t>2013-2017</w:t>
      </w:r>
      <w:r w:rsidR="00DB25BC" w:rsidRPr="00610904">
        <w:rPr>
          <w:noProof w:val="0"/>
          <w:spacing w:val="-2"/>
          <w:szCs w:val="20"/>
          <w:lang w:val="en-US"/>
        </w:rPr>
        <w:t xml:space="preserve"> Health Researc</w:t>
      </w:r>
      <w:r w:rsidR="003C5B8B" w:rsidRPr="00610904">
        <w:rPr>
          <w:noProof w:val="0"/>
          <w:spacing w:val="-2"/>
          <w:szCs w:val="20"/>
          <w:lang w:val="en-US"/>
        </w:rPr>
        <w:t>h</w:t>
      </w:r>
      <w:r w:rsidR="00DB25BC" w:rsidRPr="00610904">
        <w:rPr>
          <w:noProof w:val="0"/>
          <w:spacing w:val="-2"/>
          <w:szCs w:val="20"/>
          <w:lang w:val="en-US"/>
        </w:rPr>
        <w:t xml:space="preserve"> Priorities,</w:t>
      </w:r>
      <w:r w:rsidR="003040F7" w:rsidRPr="00610904">
        <w:rPr>
          <w:rFonts w:cs="Times New Roman"/>
          <w:noProof w:val="0"/>
          <w:spacing w:val="-2"/>
          <w:szCs w:val="20"/>
          <w:vertAlign w:val="superscript"/>
          <w:lang w:val="en-US"/>
        </w:rPr>
        <w:footnoteReference w:id="393"/>
      </w:r>
      <w:r w:rsidR="009F3D78" w:rsidRPr="00610904">
        <w:rPr>
          <w:noProof w:val="0"/>
          <w:spacing w:val="-2"/>
          <w:szCs w:val="20"/>
          <w:lang w:val="en-US"/>
        </w:rPr>
        <w:t xml:space="preserve"> and </w:t>
      </w:r>
      <w:r w:rsidR="00DB25BC" w:rsidRPr="00610904">
        <w:rPr>
          <w:noProof w:val="0"/>
          <w:spacing w:val="-2"/>
          <w:szCs w:val="20"/>
          <w:lang w:val="en-US"/>
        </w:rPr>
        <w:t xml:space="preserve">the strategy of free and comprehensive care and medicines for children with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3040F7" w:rsidRPr="00610904">
        <w:rPr>
          <w:noProof w:val="0"/>
          <w:spacing w:val="-2"/>
          <w:szCs w:val="20"/>
          <w:lang w:val="en-US"/>
        </w:rPr>
        <w:t xml:space="preserve">, </w:t>
      </w:r>
      <w:r w:rsidR="00DB25BC" w:rsidRPr="00610904">
        <w:rPr>
          <w:noProof w:val="0"/>
          <w:spacing w:val="-2"/>
          <w:szCs w:val="20"/>
          <w:lang w:val="en-US"/>
        </w:rPr>
        <w:t>established in the 2004 National Ten-year Plan for Comprehensive Protection of Children and Adolescents.</w:t>
      </w:r>
      <w:r w:rsidR="003040F7" w:rsidRPr="00610904">
        <w:rPr>
          <w:rFonts w:cs="Times New Roman"/>
          <w:noProof w:val="0"/>
          <w:spacing w:val="-2"/>
          <w:szCs w:val="20"/>
          <w:vertAlign w:val="superscript"/>
          <w:lang w:val="en-US"/>
        </w:rPr>
        <w:footnoteReference w:id="394"/>
      </w:r>
      <w:r w:rsidR="00DB25BC" w:rsidRPr="00610904">
        <w:rPr>
          <w:noProof w:val="0"/>
          <w:spacing w:val="-2"/>
          <w:szCs w:val="20"/>
          <w:lang w:val="en-US"/>
        </w:rPr>
        <w:t xml:space="preserve"> The Court also takes note of the creation of the </w:t>
      </w:r>
      <w:r w:rsidR="003040F7" w:rsidRPr="00610904">
        <w:rPr>
          <w:noProof w:val="0"/>
          <w:spacing w:val="-2"/>
          <w:szCs w:val="20"/>
          <w:lang w:val="en-US"/>
        </w:rPr>
        <w:t>“Joaquín Gallegos Lara”</w:t>
      </w:r>
      <w:r w:rsidR="00DB25BC" w:rsidRPr="00610904">
        <w:rPr>
          <w:noProof w:val="0"/>
          <w:spacing w:val="-2"/>
          <w:szCs w:val="20"/>
          <w:lang w:val="en-US"/>
        </w:rPr>
        <w:t xml:space="preserve"> </w:t>
      </w:r>
      <w:r w:rsidR="00304E70" w:rsidRPr="00610904">
        <w:rPr>
          <w:noProof w:val="0"/>
          <w:spacing w:val="-2"/>
          <w:szCs w:val="20"/>
          <w:lang w:val="en-US"/>
        </w:rPr>
        <w:t>subsidy</w:t>
      </w:r>
      <w:r w:rsidR="00DB25BC" w:rsidRPr="00610904">
        <w:rPr>
          <w:noProof w:val="0"/>
          <w:spacing w:val="-2"/>
          <w:szCs w:val="20"/>
          <w:lang w:val="en-US"/>
        </w:rPr>
        <w:t xml:space="preserve"> in </w:t>
      </w:r>
      <w:r w:rsidR="003040F7" w:rsidRPr="00610904">
        <w:rPr>
          <w:noProof w:val="0"/>
          <w:spacing w:val="-2"/>
          <w:szCs w:val="20"/>
          <w:lang w:val="en-US"/>
        </w:rPr>
        <w:t>2010</w:t>
      </w:r>
      <w:r w:rsidR="00DB25BC" w:rsidRPr="00610904">
        <w:rPr>
          <w:noProof w:val="0"/>
          <w:spacing w:val="-2"/>
          <w:szCs w:val="20"/>
          <w:lang w:val="en-US"/>
        </w:rPr>
        <w:t>,</w:t>
      </w:r>
      <w:r w:rsidR="003040F7" w:rsidRPr="00610904">
        <w:rPr>
          <w:rFonts w:cs="Times New Roman"/>
          <w:noProof w:val="0"/>
          <w:spacing w:val="-2"/>
          <w:szCs w:val="20"/>
          <w:vertAlign w:val="superscript"/>
          <w:lang w:val="en-US"/>
        </w:rPr>
        <w:footnoteReference w:id="395"/>
      </w:r>
      <w:r w:rsidR="009F3D78" w:rsidRPr="00610904">
        <w:rPr>
          <w:noProof w:val="0"/>
          <w:spacing w:val="-2"/>
          <w:szCs w:val="20"/>
          <w:lang w:val="en-US"/>
        </w:rPr>
        <w:t xml:space="preserve"> and the</w:t>
      </w:r>
      <w:r w:rsidR="00DB25BC" w:rsidRPr="00610904">
        <w:rPr>
          <w:noProof w:val="0"/>
          <w:spacing w:val="-2"/>
          <w:szCs w:val="20"/>
          <w:lang w:val="en-US"/>
        </w:rPr>
        <w:t xml:space="preserve"> </w:t>
      </w:r>
      <w:r w:rsidR="00DB25BC" w:rsidRPr="00610904">
        <w:rPr>
          <w:noProof w:val="0"/>
          <w:spacing w:val="-2"/>
          <w:szCs w:val="20"/>
          <w:lang w:val="en-US"/>
        </w:rPr>
        <w:lastRenderedPageBreak/>
        <w:t xml:space="preserve">Ministry of Public Health’s 2002 protocol for treating persons with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DB25BC" w:rsidRPr="00610904">
        <w:rPr>
          <w:noProof w:val="0"/>
          <w:spacing w:val="-2"/>
          <w:szCs w:val="20"/>
          <w:lang w:val="en-US"/>
        </w:rPr>
        <w:t>.</w:t>
      </w:r>
      <w:r w:rsidR="003040F7" w:rsidRPr="00610904">
        <w:rPr>
          <w:rFonts w:cs="Times New Roman"/>
          <w:noProof w:val="0"/>
          <w:spacing w:val="-2"/>
          <w:szCs w:val="20"/>
          <w:vertAlign w:val="superscript"/>
          <w:lang w:val="en-US"/>
        </w:rPr>
        <w:footnoteReference w:id="396"/>
      </w:r>
      <w:r w:rsidR="00DB25BC" w:rsidRPr="00610904">
        <w:rPr>
          <w:noProof w:val="0"/>
          <w:spacing w:val="-2"/>
          <w:szCs w:val="20"/>
          <w:lang w:val="en-US"/>
        </w:rPr>
        <w:t xml:space="preserve"> Lastly, the Court notes the establishment of the Ecuadorian Multisectoral Committee on HIV/AIDS in </w:t>
      </w:r>
      <w:r w:rsidR="003040F7" w:rsidRPr="00610904">
        <w:rPr>
          <w:noProof w:val="0"/>
          <w:spacing w:val="-2"/>
          <w:szCs w:val="20"/>
          <w:lang w:val="en-US"/>
        </w:rPr>
        <w:t>2011</w:t>
      </w:r>
      <w:r w:rsidR="00DB25BC" w:rsidRPr="00610904">
        <w:rPr>
          <w:noProof w:val="0"/>
          <w:spacing w:val="-2"/>
          <w:szCs w:val="20"/>
          <w:lang w:val="en-US"/>
        </w:rPr>
        <w:t>,</w:t>
      </w:r>
      <w:r w:rsidR="003040F7" w:rsidRPr="00610904">
        <w:rPr>
          <w:rFonts w:cs="Times New Roman"/>
          <w:noProof w:val="0"/>
          <w:spacing w:val="-2"/>
          <w:szCs w:val="20"/>
          <w:vertAlign w:val="superscript"/>
          <w:lang w:val="en-US"/>
        </w:rPr>
        <w:footnoteReference w:id="397"/>
      </w:r>
      <w:r w:rsidR="00304E70" w:rsidRPr="00610904">
        <w:rPr>
          <w:noProof w:val="0"/>
          <w:spacing w:val="-2"/>
          <w:szCs w:val="20"/>
          <w:lang w:val="en-US"/>
        </w:rPr>
        <w:t xml:space="preserve"> and</w:t>
      </w:r>
      <w:r w:rsidR="00DB25BC" w:rsidRPr="00610904">
        <w:rPr>
          <w:noProof w:val="0"/>
          <w:spacing w:val="-2"/>
          <w:szCs w:val="20"/>
          <w:lang w:val="en-US"/>
        </w:rPr>
        <w:t xml:space="preserve"> the </w:t>
      </w:r>
      <w:r w:rsidR="00304E70" w:rsidRPr="00610904">
        <w:rPr>
          <w:noProof w:val="0"/>
          <w:szCs w:val="20"/>
          <w:lang w:val="en-US"/>
        </w:rPr>
        <w:t>National Public Health Strat</w:t>
      </w:r>
      <w:r w:rsidR="00DB25BC" w:rsidRPr="00610904">
        <w:rPr>
          <w:noProof w:val="0"/>
          <w:szCs w:val="20"/>
          <w:lang w:val="en-US"/>
        </w:rPr>
        <w:t>egy for HIV/AIDS-STD in</w:t>
      </w:r>
      <w:r w:rsidR="003040F7" w:rsidRPr="00610904">
        <w:rPr>
          <w:noProof w:val="0"/>
          <w:spacing w:val="-2"/>
          <w:szCs w:val="20"/>
          <w:lang w:val="en-US"/>
        </w:rPr>
        <w:t xml:space="preserve"> 2012</w:t>
      </w:r>
      <w:r w:rsidR="00DB25BC" w:rsidRPr="00610904">
        <w:rPr>
          <w:noProof w:val="0"/>
          <w:spacing w:val="-2"/>
          <w:szCs w:val="20"/>
          <w:lang w:val="en-US"/>
        </w:rPr>
        <w:t>.</w:t>
      </w:r>
      <w:r w:rsidR="003040F7" w:rsidRPr="00610904">
        <w:rPr>
          <w:rFonts w:cs="Times New Roman"/>
          <w:noProof w:val="0"/>
          <w:spacing w:val="-2"/>
          <w:szCs w:val="20"/>
          <w:vertAlign w:val="superscript"/>
          <w:lang w:val="en-US"/>
        </w:rPr>
        <w:footnoteReference w:id="398"/>
      </w:r>
      <w:r w:rsidR="00DB25BC" w:rsidRPr="00610904">
        <w:rPr>
          <w:noProof w:val="0"/>
          <w:spacing w:val="-2"/>
          <w:szCs w:val="20"/>
          <w:lang w:val="en-US"/>
        </w:rPr>
        <w:t xml:space="preserve"> On this basis, and in view of the lack of sufficient specific and concrete </w:t>
      </w:r>
      <w:r w:rsidR="00304E70" w:rsidRPr="00610904">
        <w:rPr>
          <w:noProof w:val="0"/>
          <w:spacing w:val="-2"/>
          <w:szCs w:val="20"/>
          <w:lang w:val="en-US"/>
        </w:rPr>
        <w:t>information and arguments on any</w:t>
      </w:r>
      <w:r w:rsidR="00DB25BC" w:rsidRPr="00610904">
        <w:rPr>
          <w:noProof w:val="0"/>
          <w:spacing w:val="-2"/>
          <w:szCs w:val="20"/>
          <w:lang w:val="en-US"/>
        </w:rPr>
        <w:t xml:space="preserve"> problems </w:t>
      </w:r>
      <w:r w:rsidR="00304E70" w:rsidRPr="00610904">
        <w:rPr>
          <w:noProof w:val="0"/>
          <w:spacing w:val="-2"/>
          <w:szCs w:val="20"/>
          <w:lang w:val="en-US"/>
        </w:rPr>
        <w:t>in relation to</w:t>
      </w:r>
      <w:r w:rsidR="00DB25BC" w:rsidRPr="00610904">
        <w:rPr>
          <w:noProof w:val="0"/>
          <w:spacing w:val="-2"/>
          <w:szCs w:val="20"/>
          <w:lang w:val="en-US"/>
        </w:rPr>
        <w:t xml:space="preserve"> these policies, the Court considers that, in the circumstances of this case, </w:t>
      </w:r>
      <w:r w:rsidR="00304E70" w:rsidRPr="00610904">
        <w:rPr>
          <w:noProof w:val="0"/>
          <w:spacing w:val="-2"/>
          <w:szCs w:val="20"/>
          <w:lang w:val="en-US"/>
        </w:rPr>
        <w:t xml:space="preserve">it is not pertinent </w:t>
      </w:r>
      <w:r w:rsidR="00DB25BC" w:rsidRPr="00610904">
        <w:rPr>
          <w:noProof w:val="0"/>
          <w:spacing w:val="-2"/>
          <w:szCs w:val="20"/>
          <w:lang w:val="en-US"/>
        </w:rPr>
        <w:t xml:space="preserve">to order the adoption, amendment or adaptation of specific norms of domestic law </w:t>
      </w:r>
      <w:r w:rsidR="00304E70" w:rsidRPr="00610904">
        <w:rPr>
          <w:noProof w:val="0"/>
          <w:spacing w:val="-2"/>
          <w:szCs w:val="20"/>
          <w:lang w:val="en-US"/>
        </w:rPr>
        <w:t>concerning</w:t>
      </w:r>
      <w:r w:rsidR="00DB25BC" w:rsidRPr="00610904">
        <w:rPr>
          <w:noProof w:val="0"/>
          <w:spacing w:val="-2"/>
          <w:szCs w:val="20"/>
          <w:lang w:val="en-US"/>
        </w:rPr>
        <w:t xml:space="preserve"> the treatment of persons with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744CA7" w:rsidP="00610904">
      <w:pPr>
        <w:numPr>
          <w:ilvl w:val="0"/>
          <w:numId w:val="1"/>
        </w:numPr>
        <w:contextualSpacing/>
        <w:rPr>
          <w:noProof w:val="0"/>
          <w:spacing w:val="-2"/>
          <w:szCs w:val="20"/>
          <w:lang w:val="en-US"/>
        </w:rPr>
      </w:pPr>
      <w:r w:rsidRPr="00610904">
        <w:rPr>
          <w:noProof w:val="0"/>
          <w:spacing w:val="-2"/>
          <w:szCs w:val="20"/>
          <w:lang w:val="en-US"/>
        </w:rPr>
        <w:t>Regarding Ecuador’s request th</w:t>
      </w:r>
      <w:r w:rsidR="00304E70" w:rsidRPr="00610904">
        <w:rPr>
          <w:noProof w:val="0"/>
          <w:spacing w:val="-2"/>
          <w:szCs w:val="20"/>
          <w:lang w:val="en-US"/>
        </w:rPr>
        <w:t>a</w:t>
      </w:r>
      <w:r w:rsidRPr="00610904">
        <w:rPr>
          <w:noProof w:val="0"/>
          <w:spacing w:val="-2"/>
          <w:szCs w:val="20"/>
          <w:lang w:val="en-US"/>
        </w:rPr>
        <w:t xml:space="preserve">t the Court consider the measures taken in the context of complying with the judgment delivered in the </w:t>
      </w:r>
      <w:r w:rsidRPr="00610904">
        <w:rPr>
          <w:i/>
          <w:noProof w:val="0"/>
          <w:spacing w:val="-2"/>
          <w:szCs w:val="20"/>
          <w:lang w:val="en-US"/>
        </w:rPr>
        <w:t>Case of Albán Cornejo v</w:t>
      </w:r>
      <w:r w:rsidR="003040F7" w:rsidRPr="00610904">
        <w:rPr>
          <w:i/>
          <w:noProof w:val="0"/>
          <w:spacing w:val="-2"/>
          <w:szCs w:val="20"/>
          <w:lang w:val="en-US"/>
        </w:rPr>
        <w:t>. Ecuador</w:t>
      </w:r>
      <w:r w:rsidR="003040F7" w:rsidRPr="00610904">
        <w:rPr>
          <w:noProof w:val="0"/>
          <w:spacing w:val="-2"/>
          <w:szCs w:val="20"/>
          <w:lang w:val="en-US"/>
        </w:rPr>
        <w:t xml:space="preserve">, </w:t>
      </w:r>
      <w:r w:rsidR="009F3D78" w:rsidRPr="00610904">
        <w:rPr>
          <w:noProof w:val="0"/>
          <w:spacing w:val="-2"/>
          <w:szCs w:val="20"/>
          <w:lang w:val="en-US"/>
        </w:rPr>
        <w:t>the Court</w:t>
      </w:r>
      <w:r w:rsidRPr="00610904">
        <w:rPr>
          <w:noProof w:val="0"/>
          <w:spacing w:val="-2"/>
          <w:szCs w:val="20"/>
          <w:lang w:val="en-US"/>
        </w:rPr>
        <w:t xml:space="preserve"> finds that it is </w:t>
      </w:r>
      <w:r w:rsidR="00304E70" w:rsidRPr="00610904">
        <w:rPr>
          <w:noProof w:val="0"/>
          <w:spacing w:val="-2"/>
          <w:szCs w:val="20"/>
          <w:lang w:val="en-US"/>
        </w:rPr>
        <w:t>un</w:t>
      </w:r>
      <w:r w:rsidRPr="00610904">
        <w:rPr>
          <w:noProof w:val="0"/>
          <w:spacing w:val="-2"/>
          <w:szCs w:val="20"/>
          <w:lang w:val="en-US"/>
        </w:rPr>
        <w:t xml:space="preserve">necessary to order another measure addressed at the dissemination of the </w:t>
      </w:r>
      <w:r w:rsidR="00304E70" w:rsidRPr="00610904">
        <w:rPr>
          <w:noProof w:val="0"/>
          <w:szCs w:val="20"/>
          <w:lang w:val="en-US"/>
        </w:rPr>
        <w:t>Law on Patients’</w:t>
      </w:r>
      <w:r w:rsidRPr="00610904">
        <w:rPr>
          <w:noProof w:val="0"/>
          <w:szCs w:val="20"/>
          <w:lang w:val="en-US"/>
        </w:rPr>
        <w:t xml:space="preserve"> Rights and Protection</w:t>
      </w:r>
      <w:r w:rsidRPr="00610904">
        <w:rPr>
          <w:noProof w:val="0"/>
          <w:spacing w:val="-2"/>
          <w:szCs w:val="20"/>
          <w:lang w:val="en-US"/>
        </w:rPr>
        <w:t>.</w:t>
      </w:r>
      <w:r w:rsidR="003040F7" w:rsidRPr="00610904">
        <w:rPr>
          <w:rFonts w:cs="Times New Roman"/>
          <w:noProof w:val="0"/>
          <w:spacing w:val="-2"/>
          <w:szCs w:val="20"/>
          <w:vertAlign w:val="superscript"/>
          <w:lang w:val="en-US"/>
        </w:rPr>
        <w:footnoteReference w:id="399"/>
      </w:r>
      <w:r w:rsidRPr="00610904">
        <w:rPr>
          <w:noProof w:val="0"/>
          <w:spacing w:val="-2"/>
          <w:szCs w:val="20"/>
          <w:lang w:val="en-US"/>
        </w:rPr>
        <w:t xml:space="preserve"> Nevertheless, the Court </w:t>
      </w:r>
      <w:r w:rsidR="00856968" w:rsidRPr="00610904">
        <w:rPr>
          <w:noProof w:val="0"/>
          <w:spacing w:val="-2"/>
          <w:szCs w:val="20"/>
          <w:lang w:val="en-US"/>
        </w:rPr>
        <w:t>establishes</w:t>
      </w:r>
      <w:r w:rsidRPr="00610904">
        <w:rPr>
          <w:noProof w:val="0"/>
          <w:spacing w:val="-2"/>
          <w:szCs w:val="20"/>
          <w:lang w:val="en-US"/>
        </w:rPr>
        <w:t xml:space="preserve"> that the St</w:t>
      </w:r>
      <w:r w:rsidR="00304E70" w:rsidRPr="00610904">
        <w:rPr>
          <w:noProof w:val="0"/>
          <w:spacing w:val="-2"/>
          <w:szCs w:val="20"/>
          <w:lang w:val="en-US"/>
        </w:rPr>
        <w:t>a</w:t>
      </w:r>
      <w:r w:rsidRPr="00610904">
        <w:rPr>
          <w:noProof w:val="0"/>
          <w:spacing w:val="-2"/>
          <w:szCs w:val="20"/>
          <w:lang w:val="en-US"/>
        </w:rPr>
        <w:t>te must implement a training program for health care officials on best practices and rights of patients with HIV, as well as on the application of the procedures established in the Manual for the Comprehensive Care of Adults and Adolescents infected with</w:t>
      </w:r>
      <w:r w:rsidR="00FA16B8" w:rsidRPr="00610904">
        <w:rPr>
          <w:noProof w:val="0"/>
          <w:spacing w:val="-2"/>
          <w:szCs w:val="20"/>
          <w:lang w:val="en-US"/>
        </w:rPr>
        <w:t xml:space="preserve"> </w:t>
      </w:r>
      <w:r w:rsidR="00A8072E" w:rsidRPr="00610904">
        <w:rPr>
          <w:noProof w:val="0"/>
          <w:spacing w:val="-2"/>
          <w:szCs w:val="20"/>
          <w:lang w:val="en-US"/>
        </w:rPr>
        <w:t>HIV</w:t>
      </w:r>
      <w:r w:rsidR="00FA16B8" w:rsidRPr="00610904">
        <w:rPr>
          <w:noProof w:val="0"/>
          <w:spacing w:val="-2"/>
          <w:szCs w:val="20"/>
          <w:lang w:val="en-US"/>
        </w:rPr>
        <w:t>/</w:t>
      </w:r>
      <w:r w:rsidR="00A8072E" w:rsidRPr="00610904">
        <w:rPr>
          <w:noProof w:val="0"/>
          <w:spacing w:val="-2"/>
          <w:szCs w:val="20"/>
          <w:lang w:val="en-US"/>
        </w:rPr>
        <w:t>AIDS</w:t>
      </w:r>
      <w:r w:rsidR="009F3D78" w:rsidRPr="00610904">
        <w:rPr>
          <w:noProof w:val="0"/>
          <w:spacing w:val="-2"/>
          <w:szCs w:val="20"/>
          <w:lang w:val="en-US"/>
        </w:rPr>
        <w:t xml:space="preserve"> and</w:t>
      </w:r>
      <w:r w:rsidRPr="00610904">
        <w:rPr>
          <w:noProof w:val="0"/>
          <w:spacing w:val="-2"/>
          <w:szCs w:val="20"/>
          <w:lang w:val="en-US"/>
        </w:rPr>
        <w:t xml:space="preserve"> the adoption of positive measures to prevent or reverse situations of discrimination suffered by persons living with HIV, and especially children with HIV, which </w:t>
      </w:r>
      <w:r w:rsidR="00304E70" w:rsidRPr="00610904">
        <w:rPr>
          <w:noProof w:val="0"/>
          <w:spacing w:val="-2"/>
          <w:szCs w:val="20"/>
          <w:lang w:val="en-US"/>
        </w:rPr>
        <w:t>mention</w:t>
      </w:r>
      <w:r w:rsidRPr="00610904">
        <w:rPr>
          <w:noProof w:val="0"/>
          <w:spacing w:val="-2"/>
          <w:szCs w:val="20"/>
          <w:lang w:val="en-US"/>
        </w:rPr>
        <w:t xml:space="preserve"> the standards established in this Judgment. The State must </w:t>
      </w:r>
      <w:r w:rsidR="00304E70" w:rsidRPr="00610904">
        <w:rPr>
          <w:noProof w:val="0"/>
          <w:spacing w:val="-2"/>
          <w:szCs w:val="20"/>
          <w:lang w:val="en-US"/>
        </w:rPr>
        <w:t>prove</w:t>
      </w:r>
      <w:r w:rsidRPr="00610904">
        <w:rPr>
          <w:noProof w:val="0"/>
          <w:spacing w:val="-2"/>
          <w:szCs w:val="20"/>
          <w:lang w:val="en-US"/>
        </w:rPr>
        <w:t xml:space="preserve"> to the Court that this </w:t>
      </w:r>
      <w:proofErr w:type="gramStart"/>
      <w:r w:rsidRPr="00610904">
        <w:rPr>
          <w:noProof w:val="0"/>
          <w:spacing w:val="-2"/>
          <w:szCs w:val="20"/>
          <w:lang w:val="en-US"/>
        </w:rPr>
        <w:t>measures</w:t>
      </w:r>
      <w:proofErr w:type="gramEnd"/>
      <w:r w:rsidRPr="00610904">
        <w:rPr>
          <w:noProof w:val="0"/>
          <w:spacing w:val="-2"/>
          <w:szCs w:val="20"/>
          <w:lang w:val="en-US"/>
        </w:rPr>
        <w:t xml:space="preserve"> is permanent</w:t>
      </w:r>
      <w:r w:rsidR="003040F7" w:rsidRPr="00610904">
        <w:rPr>
          <w:noProof w:val="0"/>
          <w:szCs w:val="20"/>
          <w:lang w:val="en-US"/>
        </w:rPr>
        <w:t>.</w:t>
      </w:r>
    </w:p>
    <w:p w:rsidR="003040F7" w:rsidRPr="00610904" w:rsidRDefault="003040F7" w:rsidP="00610904">
      <w:pPr>
        <w:contextualSpacing/>
        <w:rPr>
          <w:noProof w:val="0"/>
          <w:spacing w:val="-2"/>
          <w:szCs w:val="20"/>
          <w:lang w:val="en-US"/>
        </w:rPr>
      </w:pPr>
    </w:p>
    <w:p w:rsidR="003040F7" w:rsidRPr="00610904" w:rsidRDefault="008D43D9" w:rsidP="00610904">
      <w:pPr>
        <w:numPr>
          <w:ilvl w:val="0"/>
          <w:numId w:val="1"/>
        </w:numPr>
        <w:contextualSpacing/>
        <w:rPr>
          <w:noProof w:val="0"/>
          <w:spacing w:val="-2"/>
          <w:szCs w:val="20"/>
          <w:lang w:val="en-US"/>
        </w:rPr>
      </w:pPr>
      <w:r w:rsidRPr="00610904">
        <w:rPr>
          <w:noProof w:val="0"/>
          <w:spacing w:val="-2"/>
          <w:szCs w:val="20"/>
          <w:lang w:val="en-US"/>
        </w:rPr>
        <w:t xml:space="preserve">Furthermore, with regard to the mechanisms for supervising and monitoring </w:t>
      </w:r>
      <w:r w:rsidR="00A8072E" w:rsidRPr="00610904">
        <w:rPr>
          <w:noProof w:val="0"/>
          <w:spacing w:val="-2"/>
          <w:szCs w:val="20"/>
          <w:lang w:val="en-US"/>
        </w:rPr>
        <w:t>the blood banks</w:t>
      </w:r>
      <w:r w:rsidR="009F3D78" w:rsidRPr="00610904">
        <w:rPr>
          <w:noProof w:val="0"/>
          <w:spacing w:val="-2"/>
          <w:szCs w:val="20"/>
          <w:lang w:val="en-US"/>
        </w:rPr>
        <w:t xml:space="preserve"> and</w:t>
      </w:r>
      <w:r w:rsidRPr="00610904">
        <w:rPr>
          <w:noProof w:val="0"/>
          <w:spacing w:val="-2"/>
          <w:szCs w:val="20"/>
          <w:lang w:val="en-US"/>
        </w:rPr>
        <w:t xml:space="preserve"> verifying the safety of the blood products used</w:t>
      </w:r>
      <w:r w:rsidR="009F3D78" w:rsidRPr="00610904">
        <w:rPr>
          <w:noProof w:val="0"/>
          <w:spacing w:val="-2"/>
          <w:szCs w:val="20"/>
          <w:lang w:val="en-US"/>
        </w:rPr>
        <w:t xml:space="preserve"> </w:t>
      </w:r>
      <w:r w:rsidRPr="00610904">
        <w:rPr>
          <w:noProof w:val="0"/>
          <w:spacing w:val="-2"/>
          <w:szCs w:val="20"/>
          <w:lang w:val="en-US"/>
        </w:rPr>
        <w:t xml:space="preserve">for transfusions, the Court notes that </w:t>
      </w:r>
      <w:r w:rsidR="00A8072E" w:rsidRPr="00610904">
        <w:rPr>
          <w:noProof w:val="0"/>
          <w:spacing w:val="-2"/>
          <w:szCs w:val="20"/>
          <w:lang w:val="en-US"/>
        </w:rPr>
        <w:t>Ecuador</w:t>
      </w:r>
      <w:r w:rsidR="003040F7" w:rsidRPr="00610904">
        <w:rPr>
          <w:noProof w:val="0"/>
          <w:spacing w:val="-2"/>
          <w:szCs w:val="20"/>
          <w:lang w:val="en-US"/>
        </w:rPr>
        <w:t xml:space="preserve"> </w:t>
      </w:r>
      <w:r w:rsidRPr="00610904">
        <w:rPr>
          <w:noProof w:val="0"/>
          <w:spacing w:val="-2"/>
          <w:szCs w:val="20"/>
          <w:lang w:val="en-US"/>
        </w:rPr>
        <w:t xml:space="preserve">now has external programs to evaluate the performance </w:t>
      </w:r>
      <w:r w:rsidR="00A8072E" w:rsidRPr="00610904">
        <w:rPr>
          <w:noProof w:val="0"/>
          <w:spacing w:val="-2"/>
          <w:szCs w:val="20"/>
          <w:lang w:val="en-US"/>
        </w:rPr>
        <w:t>of the blood banks</w:t>
      </w:r>
      <w:r w:rsidR="009F3D78" w:rsidRPr="00610904">
        <w:rPr>
          <w:noProof w:val="0"/>
          <w:spacing w:val="-2"/>
          <w:szCs w:val="20"/>
          <w:lang w:val="en-US"/>
        </w:rPr>
        <w:t xml:space="preserve"> and </w:t>
      </w:r>
      <w:r w:rsidRPr="00610904">
        <w:rPr>
          <w:noProof w:val="0"/>
          <w:spacing w:val="-2"/>
          <w:szCs w:val="20"/>
          <w:lang w:val="en-US"/>
        </w:rPr>
        <w:t>internal control programs with regard to serology, which are monitored by the</w:t>
      </w:r>
      <w:r w:rsidR="003040F7" w:rsidRPr="00610904">
        <w:rPr>
          <w:noProof w:val="0"/>
          <w:spacing w:val="-2"/>
          <w:szCs w:val="20"/>
          <w:lang w:val="en-US"/>
        </w:rPr>
        <w:t xml:space="preserve"> </w:t>
      </w:r>
      <w:r w:rsidR="00830022" w:rsidRPr="00610904">
        <w:rPr>
          <w:noProof w:val="0"/>
          <w:spacing w:val="-2"/>
          <w:szCs w:val="20"/>
          <w:lang w:val="en-US"/>
        </w:rPr>
        <w:t>Ministry of Public Health</w:t>
      </w:r>
      <w:r w:rsidR="003040F7" w:rsidRPr="00610904">
        <w:rPr>
          <w:noProof w:val="0"/>
          <w:spacing w:val="-2"/>
          <w:szCs w:val="20"/>
          <w:lang w:val="en-US"/>
        </w:rPr>
        <w:t xml:space="preserve"> </w:t>
      </w:r>
      <w:r w:rsidRPr="00610904">
        <w:rPr>
          <w:noProof w:val="0"/>
          <w:spacing w:val="-2"/>
          <w:szCs w:val="20"/>
          <w:lang w:val="en-US"/>
        </w:rPr>
        <w:t xml:space="preserve">under the National Blood Program, </w:t>
      </w:r>
      <w:r w:rsidR="00304E70" w:rsidRPr="00610904">
        <w:rPr>
          <w:noProof w:val="0"/>
          <w:spacing w:val="-2"/>
          <w:szCs w:val="20"/>
          <w:lang w:val="en-US"/>
        </w:rPr>
        <w:t xml:space="preserve">pursuant to </w:t>
      </w:r>
      <w:r w:rsidRPr="00610904">
        <w:rPr>
          <w:noProof w:val="0"/>
          <w:spacing w:val="-2"/>
          <w:szCs w:val="20"/>
          <w:lang w:val="en-US"/>
        </w:rPr>
        <w:t>the provisions of the 2006 Organic Health Law.</w:t>
      </w:r>
      <w:r w:rsidR="003040F7" w:rsidRPr="00610904">
        <w:rPr>
          <w:rStyle w:val="FootnoteReference"/>
          <w:noProof w:val="0"/>
          <w:spacing w:val="-2"/>
          <w:lang w:val="en-US"/>
        </w:rPr>
        <w:footnoteReference w:id="400"/>
      </w:r>
      <w:r w:rsidRPr="00610904">
        <w:rPr>
          <w:noProof w:val="0"/>
          <w:spacing w:val="-2"/>
          <w:szCs w:val="20"/>
          <w:lang w:val="en-US"/>
        </w:rPr>
        <w:t xml:space="preserve"> Also, according to the Ministry, it has been established that before blood products for transfusion are distributed, a nucleic acid amplification test must be performed in order to reduce the possibility of infected donations. The Stat</w:t>
      </w:r>
      <w:r w:rsidR="00E54F55" w:rsidRPr="00610904">
        <w:rPr>
          <w:noProof w:val="0"/>
          <w:spacing w:val="-2"/>
          <w:szCs w:val="20"/>
          <w:lang w:val="en-US"/>
        </w:rPr>
        <w:t>e has also adopted a Manual on Technical C</w:t>
      </w:r>
      <w:r w:rsidRPr="00610904">
        <w:rPr>
          <w:noProof w:val="0"/>
          <w:spacing w:val="-2"/>
          <w:szCs w:val="20"/>
          <w:lang w:val="en-US"/>
        </w:rPr>
        <w:t>riteria for the clinical use of blood a</w:t>
      </w:r>
      <w:r w:rsidR="00E54F55" w:rsidRPr="00610904">
        <w:rPr>
          <w:noProof w:val="0"/>
          <w:spacing w:val="-2"/>
          <w:szCs w:val="20"/>
          <w:lang w:val="en-US"/>
        </w:rPr>
        <w:t>nd blood products, a Technical M</w:t>
      </w:r>
      <w:r w:rsidRPr="00610904">
        <w:rPr>
          <w:noProof w:val="0"/>
          <w:spacing w:val="-2"/>
          <w:szCs w:val="20"/>
          <w:lang w:val="en-US"/>
        </w:rPr>
        <w:t xml:space="preserve">anual on hemovigilance in </w:t>
      </w:r>
      <w:r w:rsidR="00E54F55" w:rsidRPr="00610904">
        <w:rPr>
          <w:noProof w:val="0"/>
          <w:spacing w:val="-2"/>
          <w:szCs w:val="20"/>
          <w:lang w:val="en-US"/>
        </w:rPr>
        <w:t>blood banks, and Technical and Administrative C</w:t>
      </w:r>
      <w:r w:rsidRPr="00610904">
        <w:rPr>
          <w:noProof w:val="0"/>
          <w:spacing w:val="-2"/>
          <w:szCs w:val="20"/>
          <w:lang w:val="en-US"/>
        </w:rPr>
        <w:t>riteria for the implementation of blood t</w:t>
      </w:r>
      <w:r w:rsidR="00E54F55" w:rsidRPr="00610904">
        <w:rPr>
          <w:noProof w:val="0"/>
          <w:spacing w:val="-2"/>
          <w:szCs w:val="20"/>
          <w:lang w:val="en-US"/>
        </w:rPr>
        <w:t>ransfusion services in operating units offering</w:t>
      </w:r>
      <w:r w:rsidRPr="00610904">
        <w:rPr>
          <w:noProof w:val="0"/>
          <w:spacing w:val="-2"/>
          <w:szCs w:val="20"/>
          <w:lang w:val="en-US"/>
        </w:rPr>
        <w:t xml:space="preserve"> hospitalization</w:t>
      </w:r>
      <w:r w:rsidR="00E54F55" w:rsidRPr="00610904">
        <w:rPr>
          <w:noProof w:val="0"/>
          <w:spacing w:val="-2"/>
          <w:szCs w:val="20"/>
          <w:lang w:val="en-US"/>
        </w:rPr>
        <w:t xml:space="preserve"> services</w:t>
      </w:r>
      <w:r w:rsidRPr="00610904">
        <w:rPr>
          <w:noProof w:val="0"/>
          <w:spacing w:val="-2"/>
          <w:szCs w:val="20"/>
          <w:lang w:val="en-US"/>
        </w:rPr>
        <w:t>.</w:t>
      </w:r>
      <w:r w:rsidR="003040F7" w:rsidRPr="00610904">
        <w:rPr>
          <w:rFonts w:cs="Times New Roman"/>
          <w:noProof w:val="0"/>
          <w:spacing w:val="-2"/>
          <w:szCs w:val="20"/>
          <w:vertAlign w:val="superscript"/>
          <w:lang w:val="en-US"/>
        </w:rPr>
        <w:footnoteReference w:id="401"/>
      </w:r>
      <w:r w:rsidRPr="00610904">
        <w:rPr>
          <w:noProof w:val="0"/>
          <w:spacing w:val="-2"/>
          <w:szCs w:val="20"/>
          <w:lang w:val="en-US"/>
        </w:rPr>
        <w:t xml:space="preserve"> In this regard, the Court recalls the State obligation to supervise and monitor the </w:t>
      </w:r>
      <w:r w:rsidRPr="00610904">
        <w:rPr>
          <w:noProof w:val="0"/>
          <w:spacing w:val="-2"/>
          <w:szCs w:val="20"/>
          <w:lang w:val="en-US"/>
        </w:rPr>
        <w:lastRenderedPageBreak/>
        <w:t xml:space="preserve">operation of </w:t>
      </w:r>
      <w:r w:rsidR="00A8072E" w:rsidRPr="00610904">
        <w:rPr>
          <w:noProof w:val="0"/>
          <w:spacing w:val="-2"/>
          <w:szCs w:val="20"/>
          <w:lang w:val="en-US"/>
        </w:rPr>
        <w:t>blood banks</w:t>
      </w:r>
      <w:r w:rsidR="009F3D78" w:rsidRPr="00610904">
        <w:rPr>
          <w:noProof w:val="0"/>
          <w:spacing w:val="-2"/>
          <w:szCs w:val="20"/>
          <w:lang w:val="en-US"/>
        </w:rPr>
        <w:t xml:space="preserve"> and </w:t>
      </w:r>
      <w:r w:rsidRPr="00610904">
        <w:rPr>
          <w:noProof w:val="0"/>
          <w:spacing w:val="-2"/>
          <w:szCs w:val="20"/>
          <w:lang w:val="en-US"/>
        </w:rPr>
        <w:t>hospitals on a permanent basis, in order to ensure that the</w:t>
      </w:r>
      <w:r w:rsidR="00E54F55" w:rsidRPr="00610904">
        <w:rPr>
          <w:noProof w:val="0"/>
          <w:spacing w:val="-2"/>
          <w:szCs w:val="20"/>
          <w:lang w:val="en-US"/>
        </w:rPr>
        <w:t xml:space="preserve"> relevant</w:t>
      </w:r>
      <w:r w:rsidRPr="00610904">
        <w:rPr>
          <w:noProof w:val="0"/>
          <w:spacing w:val="-2"/>
          <w:szCs w:val="20"/>
          <w:lang w:val="en-US"/>
        </w:rPr>
        <w:t xml:space="preserve"> internationally-recognized basic technical safety standards are applied. However, in this case, the Court does not find it necessary to order a measure of reparation in this regard.</w:t>
      </w:r>
    </w:p>
    <w:p w:rsidR="003040F7" w:rsidRPr="00610904" w:rsidRDefault="003040F7" w:rsidP="00610904">
      <w:pPr>
        <w:tabs>
          <w:tab w:val="left" w:pos="1971"/>
        </w:tabs>
        <w:contextualSpacing/>
        <w:rPr>
          <w:noProof w:val="0"/>
          <w:color w:val="FF0000"/>
          <w:spacing w:val="-2"/>
          <w:szCs w:val="20"/>
          <w:lang w:val="en-US"/>
        </w:rPr>
      </w:pPr>
      <w:r w:rsidRPr="00610904">
        <w:rPr>
          <w:noProof w:val="0"/>
          <w:color w:val="FF0000"/>
          <w:spacing w:val="-2"/>
          <w:szCs w:val="20"/>
          <w:lang w:val="en-US"/>
        </w:rPr>
        <w:tab/>
      </w:r>
    </w:p>
    <w:p w:rsidR="003040F7" w:rsidRPr="00610904" w:rsidRDefault="003040F7" w:rsidP="00610904">
      <w:pPr>
        <w:pStyle w:val="Heading4"/>
        <w:spacing w:before="0" w:after="0"/>
        <w:rPr>
          <w:rFonts w:eastAsia="Batang"/>
          <w:noProof w:val="0"/>
          <w:lang w:val="en-US"/>
        </w:rPr>
      </w:pPr>
      <w:bookmarkStart w:id="179" w:name="_Toc443399131"/>
      <w:r w:rsidRPr="00610904">
        <w:rPr>
          <w:rFonts w:eastAsia="Batang"/>
          <w:noProof w:val="0"/>
          <w:lang w:val="en-US"/>
        </w:rPr>
        <w:t xml:space="preserve">C.4.2) </w:t>
      </w:r>
      <w:r w:rsidR="00B45E43" w:rsidRPr="00610904">
        <w:rPr>
          <w:rFonts w:eastAsia="Batang"/>
          <w:noProof w:val="0"/>
          <w:lang w:val="en-US"/>
        </w:rPr>
        <w:t>Guarantees of non-repetition</w:t>
      </w:r>
      <w:r w:rsidRPr="00610904">
        <w:rPr>
          <w:rFonts w:eastAsia="Batang"/>
          <w:noProof w:val="0"/>
          <w:lang w:val="en-US"/>
        </w:rPr>
        <w:t xml:space="preserve"> </w:t>
      </w:r>
      <w:r w:rsidR="007916C1" w:rsidRPr="00610904">
        <w:rPr>
          <w:rFonts w:eastAsia="Batang"/>
          <w:noProof w:val="0"/>
          <w:lang w:val="en-US"/>
        </w:rPr>
        <w:t>in the area of education and non-discrimination</w:t>
      </w:r>
      <w:bookmarkEnd w:id="179"/>
    </w:p>
    <w:p w:rsidR="003040F7" w:rsidRPr="00610904" w:rsidRDefault="003040F7" w:rsidP="00610904">
      <w:pPr>
        <w:contextualSpacing/>
        <w:rPr>
          <w:noProof w:val="0"/>
          <w:spacing w:val="-2"/>
          <w:szCs w:val="20"/>
          <w:lang w:val="en-US"/>
        </w:rPr>
      </w:pPr>
    </w:p>
    <w:p w:rsidR="003040F7" w:rsidRPr="00610904" w:rsidRDefault="00223622" w:rsidP="00610904">
      <w:pPr>
        <w:ind w:left="720"/>
        <w:contextualSpacing/>
        <w:rPr>
          <w:i/>
          <w:noProof w:val="0"/>
          <w:lang w:val="en-US"/>
        </w:rPr>
      </w:pPr>
      <w:r w:rsidRPr="00610904">
        <w:rPr>
          <w:i/>
          <w:noProof w:val="0"/>
          <w:lang w:val="en-US"/>
        </w:rPr>
        <w:t>Arguments</w:t>
      </w:r>
      <w:r w:rsidR="003040F7" w:rsidRPr="00610904">
        <w:rPr>
          <w:i/>
          <w:noProof w:val="0"/>
          <w:lang w:val="en-US"/>
        </w:rPr>
        <w:t xml:space="preserve"> </w:t>
      </w:r>
      <w:r w:rsidR="00B45E43" w:rsidRPr="00610904">
        <w:rPr>
          <w:i/>
          <w:noProof w:val="0"/>
          <w:lang w:val="en-US"/>
        </w:rPr>
        <w:t>of the parties</w:t>
      </w:r>
      <w:r w:rsidR="009F3D78" w:rsidRPr="00610904">
        <w:rPr>
          <w:i/>
          <w:noProof w:val="0"/>
          <w:lang w:val="en-US"/>
        </w:rPr>
        <w:t xml:space="preserve"> and</w:t>
      </w:r>
      <w:r w:rsidR="003309BE" w:rsidRPr="00610904">
        <w:rPr>
          <w:i/>
          <w:noProof w:val="0"/>
          <w:lang w:val="en-US"/>
        </w:rPr>
        <w:t xml:space="preserve"> of the </w:t>
      </w:r>
      <w:r w:rsidR="002F5BBA" w:rsidRPr="00610904">
        <w:rPr>
          <w:i/>
          <w:noProof w:val="0"/>
          <w:lang w:val="en-US"/>
        </w:rPr>
        <w:t>Commission</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noProof w:val="0"/>
          <w:spacing w:val="-2"/>
          <w:szCs w:val="20"/>
          <w:lang w:val="en-US"/>
        </w:rPr>
        <w:t xml:space="preserve"> </w:t>
      </w:r>
      <w:r w:rsidR="003C5B8B" w:rsidRPr="00610904">
        <w:rPr>
          <w:noProof w:val="0"/>
          <w:spacing w:val="-2"/>
          <w:szCs w:val="20"/>
          <w:lang w:val="en-US"/>
        </w:rPr>
        <w:t>asked that the State take steps to counter stigma and discrimination, such as raising the awareness of society, the police and the judicature</w:t>
      </w:r>
      <w:r w:rsidR="00B006F5" w:rsidRPr="00610904">
        <w:rPr>
          <w:noProof w:val="0"/>
          <w:spacing w:val="-2"/>
          <w:szCs w:val="20"/>
          <w:lang w:val="en-US"/>
        </w:rPr>
        <w:t xml:space="preserve">, as well as </w:t>
      </w:r>
      <w:r w:rsidR="003C5B8B" w:rsidRPr="00610904">
        <w:rPr>
          <w:noProof w:val="0"/>
          <w:spacing w:val="-2"/>
          <w:szCs w:val="20"/>
          <w:lang w:val="en-US"/>
        </w:rPr>
        <w:t>training sessions for health care personnel on non-discrimination, confidentiality and informed consent,</w:t>
      </w:r>
      <w:r w:rsidR="00B006F5" w:rsidRPr="00610904">
        <w:rPr>
          <w:noProof w:val="0"/>
          <w:spacing w:val="-2"/>
          <w:szCs w:val="20"/>
          <w:lang w:val="en-US"/>
        </w:rPr>
        <w:t xml:space="preserve"> and also provide support to</w:t>
      </w:r>
      <w:r w:rsidR="003C5B8B" w:rsidRPr="00610904">
        <w:rPr>
          <w:noProof w:val="0"/>
          <w:spacing w:val="-2"/>
          <w:szCs w:val="20"/>
          <w:lang w:val="en-US"/>
        </w:rPr>
        <w:t xml:space="preserve"> national </w:t>
      </w:r>
      <w:r w:rsidR="00B006F5" w:rsidRPr="00610904">
        <w:rPr>
          <w:noProof w:val="0"/>
          <w:spacing w:val="-2"/>
          <w:szCs w:val="20"/>
          <w:lang w:val="en-US"/>
        </w:rPr>
        <w:t xml:space="preserve">human rights </w:t>
      </w:r>
      <w:r w:rsidR="003C5B8B" w:rsidRPr="00610904">
        <w:rPr>
          <w:noProof w:val="0"/>
          <w:spacing w:val="-2"/>
          <w:szCs w:val="20"/>
          <w:lang w:val="en-US"/>
        </w:rPr>
        <w:t xml:space="preserve">campaigns. They also asked that it should be ensured that the State’s response to HIV and AIDS met the specific need of girls, women, </w:t>
      </w:r>
      <w:r w:rsidR="00B006F5" w:rsidRPr="00610904">
        <w:rPr>
          <w:noProof w:val="0"/>
          <w:spacing w:val="-2"/>
          <w:szCs w:val="20"/>
          <w:lang w:val="en-US"/>
        </w:rPr>
        <w:t xml:space="preserve">and </w:t>
      </w:r>
      <w:r w:rsidR="003C5B8B" w:rsidRPr="00610904">
        <w:rPr>
          <w:noProof w:val="0"/>
          <w:spacing w:val="-2"/>
          <w:szCs w:val="20"/>
          <w:lang w:val="en-US"/>
        </w:rPr>
        <w:t xml:space="preserve">those living in poverty and their families throughout their life. Lastly, in their </w:t>
      </w:r>
      <w:r w:rsidR="00A8072E" w:rsidRPr="00610904">
        <w:rPr>
          <w:noProof w:val="0"/>
          <w:spacing w:val="-2"/>
          <w:szCs w:val="20"/>
          <w:lang w:val="en-US"/>
        </w:rPr>
        <w:t>final written arguments</w:t>
      </w:r>
      <w:r w:rsidR="003040F7" w:rsidRPr="00610904">
        <w:rPr>
          <w:noProof w:val="0"/>
          <w:spacing w:val="-2"/>
          <w:szCs w:val="20"/>
          <w:lang w:val="en-US"/>
        </w:rPr>
        <w:t xml:space="preserve">, </w:t>
      </w:r>
      <w:r w:rsidR="003C5B8B" w:rsidRPr="00610904">
        <w:rPr>
          <w:noProof w:val="0"/>
          <w:spacing w:val="-2"/>
          <w:szCs w:val="20"/>
          <w:lang w:val="en-US"/>
        </w:rPr>
        <w:t xml:space="preserve">they asked that information on HIV and the need to respect persons living with HIV </w:t>
      </w:r>
      <w:r w:rsidR="00B006F5" w:rsidRPr="00610904">
        <w:rPr>
          <w:noProof w:val="0"/>
          <w:spacing w:val="-2"/>
          <w:szCs w:val="20"/>
          <w:lang w:val="en-US"/>
        </w:rPr>
        <w:t xml:space="preserve">be disseminated at the national level, in </w:t>
      </w:r>
      <w:r w:rsidR="003C5B8B" w:rsidRPr="00610904">
        <w:rPr>
          <w:noProof w:val="0"/>
          <w:spacing w:val="-2"/>
          <w:szCs w:val="20"/>
          <w:lang w:val="en-US"/>
        </w:rPr>
        <w:t xml:space="preserve">educational </w:t>
      </w:r>
      <w:r w:rsidR="00B006F5" w:rsidRPr="00610904">
        <w:rPr>
          <w:noProof w:val="0"/>
          <w:spacing w:val="-2"/>
          <w:szCs w:val="20"/>
          <w:lang w:val="en-US"/>
        </w:rPr>
        <w:t>establishments,</w:t>
      </w:r>
      <w:r w:rsidR="003C5B8B" w:rsidRPr="00610904">
        <w:rPr>
          <w:noProof w:val="0"/>
          <w:spacing w:val="-2"/>
          <w:szCs w:val="20"/>
          <w:lang w:val="en-US"/>
        </w:rPr>
        <w:t xml:space="preserve"> and in other sphere</w:t>
      </w:r>
      <w:r w:rsidR="00B006F5" w:rsidRPr="00610904">
        <w:rPr>
          <w:noProof w:val="0"/>
          <w:spacing w:val="-2"/>
          <w:szCs w:val="20"/>
          <w:lang w:val="en-US"/>
        </w:rPr>
        <w:t>s</w:t>
      </w:r>
      <w:r w:rsidR="003C5B8B" w:rsidRPr="00610904">
        <w:rPr>
          <w:noProof w:val="0"/>
          <w:spacing w:val="-2"/>
          <w:szCs w:val="20"/>
          <w:lang w:val="en-US"/>
        </w:rPr>
        <w:t xml:space="preserve"> of social life</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C5B8B" w:rsidRPr="00610904" w:rsidRDefault="009F3D78" w:rsidP="00610904">
      <w:pPr>
        <w:numPr>
          <w:ilvl w:val="0"/>
          <w:numId w:val="1"/>
        </w:numPr>
        <w:contextualSpacing/>
        <w:rPr>
          <w:noProof w:val="0"/>
          <w:spacing w:val="-2"/>
          <w:szCs w:val="20"/>
          <w:lang w:val="en-US"/>
        </w:rPr>
      </w:pPr>
      <w:r w:rsidRPr="00610904">
        <w:rPr>
          <w:noProof w:val="0"/>
          <w:szCs w:val="20"/>
          <w:lang w:val="en-US"/>
        </w:rPr>
        <w:t>The State</w:t>
      </w:r>
      <w:r w:rsidR="003040F7" w:rsidRPr="00610904">
        <w:rPr>
          <w:noProof w:val="0"/>
          <w:szCs w:val="20"/>
          <w:lang w:val="en-US"/>
        </w:rPr>
        <w:t xml:space="preserve"> </w:t>
      </w:r>
      <w:r w:rsidR="003C5B8B" w:rsidRPr="00610904">
        <w:rPr>
          <w:noProof w:val="0"/>
          <w:szCs w:val="20"/>
          <w:lang w:val="en-US"/>
        </w:rPr>
        <w:t xml:space="preserve">emphasized, with regard to public policy on education, that </w:t>
      </w:r>
      <w:r w:rsidR="0013395A" w:rsidRPr="00610904">
        <w:rPr>
          <w:noProof w:val="0"/>
          <w:szCs w:val="20"/>
          <w:lang w:val="en-US"/>
        </w:rPr>
        <w:t>the right to education</w:t>
      </w:r>
      <w:r w:rsidR="003C5B8B" w:rsidRPr="00610904">
        <w:rPr>
          <w:noProof w:val="0"/>
          <w:szCs w:val="20"/>
          <w:lang w:val="en-US"/>
        </w:rPr>
        <w:t xml:space="preserve"> was </w:t>
      </w:r>
      <w:r w:rsidR="003040F7" w:rsidRPr="00610904">
        <w:rPr>
          <w:noProof w:val="0"/>
          <w:szCs w:val="20"/>
          <w:lang w:val="en-US"/>
        </w:rPr>
        <w:t>“</w:t>
      </w:r>
      <w:r w:rsidR="003C5B8B" w:rsidRPr="00610904">
        <w:rPr>
          <w:noProof w:val="0"/>
          <w:szCs w:val="20"/>
          <w:lang w:val="en-US"/>
        </w:rPr>
        <w:t xml:space="preserve">a priority area </w:t>
      </w:r>
      <w:r w:rsidR="00B006F5" w:rsidRPr="00610904">
        <w:rPr>
          <w:noProof w:val="0"/>
          <w:szCs w:val="20"/>
          <w:lang w:val="en-US"/>
        </w:rPr>
        <w:t>for</w:t>
      </w:r>
      <w:r w:rsidR="003C5B8B" w:rsidRPr="00610904">
        <w:rPr>
          <w:noProof w:val="0"/>
          <w:szCs w:val="20"/>
          <w:lang w:val="en-US"/>
        </w:rPr>
        <w:t xml:space="preserve"> the imple</w:t>
      </w:r>
      <w:r w:rsidR="00B006F5" w:rsidRPr="00610904">
        <w:rPr>
          <w:noProof w:val="0"/>
          <w:szCs w:val="20"/>
          <w:lang w:val="en-US"/>
        </w:rPr>
        <w:t>mentation of public policies to develop</w:t>
      </w:r>
      <w:r w:rsidR="003C5B8B" w:rsidRPr="00610904">
        <w:rPr>
          <w:noProof w:val="0"/>
          <w:szCs w:val="20"/>
          <w:lang w:val="en-US"/>
        </w:rPr>
        <w:t xml:space="preserve"> well-being.” In addition, it indicated that, in Ecuador, pr</w:t>
      </w:r>
      <w:r w:rsidR="00B006F5" w:rsidRPr="00610904">
        <w:rPr>
          <w:noProof w:val="0"/>
          <w:szCs w:val="20"/>
          <w:lang w:val="en-US"/>
        </w:rPr>
        <w:t>imary and secondary education was</w:t>
      </w:r>
      <w:r w:rsidR="003C5B8B" w:rsidRPr="00610904">
        <w:rPr>
          <w:noProof w:val="0"/>
          <w:szCs w:val="20"/>
          <w:lang w:val="en-US"/>
        </w:rPr>
        <w:t xml:space="preserve"> free and universal, “and provide[d] services of a social nature and psychological support without cost,” </w:t>
      </w:r>
      <w:r w:rsidR="00B006F5" w:rsidRPr="00610904">
        <w:rPr>
          <w:noProof w:val="0"/>
          <w:szCs w:val="20"/>
          <w:lang w:val="en-US"/>
        </w:rPr>
        <w:t>under</w:t>
      </w:r>
      <w:r w:rsidR="003C5B8B" w:rsidRPr="00610904">
        <w:rPr>
          <w:noProof w:val="0"/>
          <w:szCs w:val="20"/>
          <w:lang w:val="en-US"/>
        </w:rPr>
        <w:t xml:space="preserve"> the system of inclusion and social equity. It also indicated th</w:t>
      </w:r>
      <w:r w:rsidR="00B006F5" w:rsidRPr="00610904">
        <w:rPr>
          <w:noProof w:val="0"/>
          <w:szCs w:val="20"/>
          <w:lang w:val="en-US"/>
        </w:rPr>
        <w:t>at the Ministry of Education had</w:t>
      </w:r>
      <w:r w:rsidR="003C5B8B" w:rsidRPr="00610904">
        <w:rPr>
          <w:noProof w:val="0"/>
          <w:szCs w:val="20"/>
          <w:lang w:val="en-US"/>
        </w:rPr>
        <w:t xml:space="preserve"> a National Program of Education for Democrac</w:t>
      </w:r>
      <w:r w:rsidR="00B006F5" w:rsidRPr="00610904">
        <w:rPr>
          <w:noProof w:val="0"/>
          <w:szCs w:val="20"/>
          <w:lang w:val="en-US"/>
        </w:rPr>
        <w:t>y and Well-</w:t>
      </w:r>
      <w:r w:rsidR="00856968" w:rsidRPr="00610904">
        <w:rPr>
          <w:noProof w:val="0"/>
          <w:szCs w:val="20"/>
          <w:lang w:val="en-US"/>
        </w:rPr>
        <w:t>being that</w:t>
      </w:r>
      <w:r w:rsidR="00B006F5" w:rsidRPr="00610904">
        <w:rPr>
          <w:noProof w:val="0"/>
          <w:szCs w:val="20"/>
          <w:lang w:val="en-US"/>
        </w:rPr>
        <w:t xml:space="preserve"> functioned</w:t>
      </w:r>
      <w:r w:rsidR="003C5B8B" w:rsidRPr="00610904">
        <w:rPr>
          <w:noProof w:val="0"/>
          <w:szCs w:val="20"/>
          <w:lang w:val="en-US"/>
        </w:rPr>
        <w:t xml:space="preserve"> as a “mechanism for participation and p</w:t>
      </w:r>
      <w:r w:rsidR="00B006F5" w:rsidRPr="00610904">
        <w:rPr>
          <w:noProof w:val="0"/>
          <w:szCs w:val="20"/>
          <w:lang w:val="en-US"/>
        </w:rPr>
        <w:t>romotion of rights” and included</w:t>
      </w:r>
      <w:r w:rsidR="003C5B8B" w:rsidRPr="00610904">
        <w:rPr>
          <w:noProof w:val="0"/>
          <w:szCs w:val="20"/>
          <w:lang w:val="en-US"/>
        </w:rPr>
        <w:t xml:space="preserve"> education on sexuality, environmental education, education for health, education to prevent </w:t>
      </w:r>
      <w:r w:rsidR="00B006F5" w:rsidRPr="00610904">
        <w:rPr>
          <w:noProof w:val="0"/>
          <w:szCs w:val="20"/>
          <w:lang w:val="en-US"/>
        </w:rPr>
        <w:t xml:space="preserve">drug abuse, </w:t>
      </w:r>
      <w:r w:rsidR="003C5B8B" w:rsidRPr="00610904">
        <w:rPr>
          <w:noProof w:val="0"/>
          <w:szCs w:val="20"/>
          <w:lang w:val="en-US"/>
        </w:rPr>
        <w:t>counseling and student welfare, and family education.</w:t>
      </w:r>
    </w:p>
    <w:p w:rsidR="003040F7" w:rsidRPr="00610904" w:rsidRDefault="003040F7" w:rsidP="00610904">
      <w:pPr>
        <w:contextualSpacing/>
        <w:rPr>
          <w:noProof w:val="0"/>
          <w:spacing w:val="-2"/>
          <w:szCs w:val="20"/>
          <w:lang w:val="en-US"/>
        </w:rPr>
      </w:pPr>
    </w:p>
    <w:p w:rsidR="003C5B8B" w:rsidRPr="00610904" w:rsidRDefault="003C5B8B" w:rsidP="00610904">
      <w:pPr>
        <w:numPr>
          <w:ilvl w:val="0"/>
          <w:numId w:val="1"/>
        </w:numPr>
        <w:contextualSpacing/>
        <w:rPr>
          <w:noProof w:val="0"/>
          <w:spacing w:val="-2"/>
          <w:szCs w:val="20"/>
          <w:lang w:val="en-US"/>
        </w:rPr>
      </w:pPr>
      <w:r w:rsidRPr="00610904">
        <w:rPr>
          <w:noProof w:val="0"/>
          <w:spacing w:val="-2"/>
          <w:szCs w:val="20"/>
          <w:lang w:val="en-US"/>
        </w:rPr>
        <w:t xml:space="preserve">In this regard, the State referred to Ministerial </w:t>
      </w:r>
      <w:r w:rsidR="00064B21" w:rsidRPr="00610904">
        <w:rPr>
          <w:noProof w:val="0"/>
          <w:szCs w:val="20"/>
          <w:lang w:val="en-US"/>
        </w:rPr>
        <w:t>Decision</w:t>
      </w:r>
      <w:r w:rsidR="003040F7" w:rsidRPr="00610904">
        <w:rPr>
          <w:noProof w:val="0"/>
          <w:szCs w:val="20"/>
          <w:lang w:val="en-US"/>
        </w:rPr>
        <w:t xml:space="preserve"> No. 436 </w:t>
      </w:r>
      <w:r w:rsidRPr="00610904">
        <w:rPr>
          <w:noProof w:val="0"/>
          <w:szCs w:val="20"/>
          <w:lang w:val="en-US"/>
        </w:rPr>
        <w:t>adopted in</w:t>
      </w:r>
      <w:r w:rsidR="003040F7" w:rsidRPr="00610904">
        <w:rPr>
          <w:noProof w:val="0"/>
          <w:szCs w:val="20"/>
          <w:lang w:val="en-US"/>
        </w:rPr>
        <w:t xml:space="preserve"> 2008, </w:t>
      </w:r>
      <w:r w:rsidRPr="00610904">
        <w:rPr>
          <w:noProof w:val="0"/>
          <w:szCs w:val="20"/>
          <w:lang w:val="en-US"/>
        </w:rPr>
        <w:t>in which the Ministry of Education decided</w:t>
      </w:r>
      <w:r w:rsidR="003040F7" w:rsidRPr="00610904">
        <w:rPr>
          <w:noProof w:val="0"/>
          <w:szCs w:val="20"/>
          <w:lang w:val="en-US"/>
        </w:rPr>
        <w:t xml:space="preserve"> “[</w:t>
      </w:r>
      <w:r w:rsidRPr="00610904">
        <w:rPr>
          <w:noProof w:val="0"/>
          <w:szCs w:val="20"/>
          <w:lang w:val="en-US"/>
        </w:rPr>
        <w:t>to guarantee</w:t>
      </w:r>
      <w:r w:rsidR="003040F7" w:rsidRPr="00610904">
        <w:rPr>
          <w:noProof w:val="0"/>
          <w:szCs w:val="20"/>
          <w:lang w:val="en-US"/>
        </w:rPr>
        <w:t xml:space="preserve">] </w:t>
      </w:r>
      <w:r w:rsidRPr="00610904">
        <w:rPr>
          <w:noProof w:val="0"/>
          <w:szCs w:val="20"/>
          <w:lang w:val="en-US"/>
        </w:rPr>
        <w:t xml:space="preserve">to children, adolescents </w:t>
      </w:r>
      <w:r w:rsidR="003040F7" w:rsidRPr="00610904">
        <w:rPr>
          <w:noProof w:val="0"/>
          <w:szCs w:val="20"/>
          <w:lang w:val="en-US"/>
        </w:rPr>
        <w:t>a</w:t>
      </w:r>
      <w:r w:rsidRPr="00610904">
        <w:rPr>
          <w:noProof w:val="0"/>
          <w:szCs w:val="20"/>
          <w:lang w:val="en-US"/>
        </w:rPr>
        <w:t xml:space="preserve">nd young people who are victims of </w:t>
      </w:r>
      <w:r w:rsidR="00A8072E" w:rsidRPr="00610904">
        <w:rPr>
          <w:noProof w:val="0"/>
          <w:szCs w:val="20"/>
          <w:lang w:val="en-US"/>
        </w:rPr>
        <w:t>HIV</w:t>
      </w:r>
      <w:r w:rsidR="003040F7" w:rsidRPr="00610904">
        <w:rPr>
          <w:noProof w:val="0"/>
          <w:szCs w:val="20"/>
          <w:lang w:val="en-US"/>
        </w:rPr>
        <w:t>/</w:t>
      </w:r>
      <w:r w:rsidR="00A8072E" w:rsidRPr="00610904">
        <w:rPr>
          <w:noProof w:val="0"/>
          <w:szCs w:val="20"/>
          <w:lang w:val="en-US"/>
        </w:rPr>
        <w:t>AIDS</w:t>
      </w:r>
      <w:r w:rsidR="003040F7" w:rsidRPr="00610904">
        <w:rPr>
          <w:noProof w:val="0"/>
          <w:szCs w:val="20"/>
          <w:lang w:val="en-US"/>
        </w:rPr>
        <w:t xml:space="preserve"> </w:t>
      </w:r>
      <w:r w:rsidRPr="00610904">
        <w:rPr>
          <w:noProof w:val="0"/>
          <w:szCs w:val="20"/>
          <w:lang w:val="en-US"/>
        </w:rPr>
        <w:t xml:space="preserve">and who are </w:t>
      </w:r>
      <w:r w:rsidR="00B006F5" w:rsidRPr="00610904">
        <w:rPr>
          <w:noProof w:val="0"/>
          <w:szCs w:val="20"/>
          <w:lang w:val="en-US"/>
        </w:rPr>
        <w:t xml:space="preserve">enrolled in </w:t>
      </w:r>
      <w:r w:rsidRPr="00610904">
        <w:rPr>
          <w:noProof w:val="0"/>
          <w:szCs w:val="20"/>
          <w:lang w:val="en-US"/>
        </w:rPr>
        <w:t xml:space="preserve">the national education system, without discrimination and without limitations of any type, the full exercise of their rights”; as well as “[to entrust] the Regional Sub-Secretariats of Education and the Provincial Directorates, </w:t>
      </w:r>
      <w:r w:rsidR="00B006F5" w:rsidRPr="00610904">
        <w:rPr>
          <w:noProof w:val="0"/>
          <w:szCs w:val="20"/>
          <w:lang w:val="en-US"/>
        </w:rPr>
        <w:t xml:space="preserve">as part of their supervision of </w:t>
      </w:r>
      <w:r w:rsidRPr="00610904">
        <w:rPr>
          <w:noProof w:val="0"/>
          <w:szCs w:val="20"/>
          <w:lang w:val="en-US"/>
        </w:rPr>
        <w:t>education, with the responsibility of verifying, monitoring and following up on” the Decision</w:t>
      </w:r>
      <w:r w:rsidR="003040F7" w:rsidRPr="00610904">
        <w:rPr>
          <w:noProof w:val="0"/>
          <w:szCs w:val="20"/>
          <w:lang w:val="en-US"/>
        </w:rPr>
        <w:t xml:space="preserve">. </w:t>
      </w:r>
      <w:r w:rsidRPr="00610904">
        <w:rPr>
          <w:noProof w:val="0"/>
          <w:szCs w:val="20"/>
          <w:lang w:val="en-US"/>
        </w:rPr>
        <w:t>The State also affir</w:t>
      </w:r>
      <w:r w:rsidR="00B006F5" w:rsidRPr="00610904">
        <w:rPr>
          <w:noProof w:val="0"/>
          <w:szCs w:val="20"/>
          <w:lang w:val="en-US"/>
        </w:rPr>
        <w:t>m</w:t>
      </w:r>
      <w:r w:rsidRPr="00610904">
        <w:rPr>
          <w:noProof w:val="0"/>
          <w:szCs w:val="20"/>
          <w:lang w:val="en-US"/>
        </w:rPr>
        <w:t>ed that the High</w:t>
      </w:r>
      <w:r w:rsidR="00B006F5" w:rsidRPr="00610904">
        <w:rPr>
          <w:noProof w:val="0"/>
          <w:szCs w:val="20"/>
          <w:lang w:val="en-US"/>
        </w:rPr>
        <w:t>er</w:t>
      </w:r>
      <w:r w:rsidRPr="00610904">
        <w:rPr>
          <w:noProof w:val="0"/>
          <w:szCs w:val="20"/>
          <w:lang w:val="en-US"/>
        </w:rPr>
        <w:t xml:space="preserve"> Education Council, by Resolution No. 166 of</w:t>
      </w:r>
      <w:r w:rsidR="003040F7" w:rsidRPr="00610904">
        <w:rPr>
          <w:noProof w:val="0"/>
          <w:szCs w:val="20"/>
          <w:lang w:val="en-US"/>
        </w:rPr>
        <w:t xml:space="preserve"> 2009, </w:t>
      </w:r>
      <w:r w:rsidRPr="00610904">
        <w:rPr>
          <w:noProof w:val="0"/>
          <w:szCs w:val="20"/>
          <w:lang w:val="en-US"/>
        </w:rPr>
        <w:t>had prohibited “the exclusion of a person living with HIV/AIDS</w:t>
      </w:r>
      <w:r w:rsidR="00B006F5" w:rsidRPr="00610904">
        <w:rPr>
          <w:noProof w:val="0"/>
          <w:szCs w:val="20"/>
          <w:lang w:val="en-US"/>
        </w:rPr>
        <w:t xml:space="preserve"> from the academic community</w:t>
      </w:r>
      <w:r w:rsidRPr="00610904">
        <w:rPr>
          <w:noProof w:val="0"/>
          <w:szCs w:val="20"/>
          <w:lang w:val="en-US"/>
        </w:rPr>
        <w:t>, because this violates the principle of non-discrimination,” and ordered that higher education establishments be required “to incorporate the response to HIV in</w:t>
      </w:r>
      <w:r w:rsidR="00B006F5" w:rsidRPr="00610904">
        <w:rPr>
          <w:noProof w:val="0"/>
          <w:szCs w:val="20"/>
          <w:lang w:val="en-US"/>
        </w:rPr>
        <w:t>to</w:t>
      </w:r>
      <w:r w:rsidRPr="00610904">
        <w:rPr>
          <w:noProof w:val="0"/>
          <w:szCs w:val="20"/>
          <w:lang w:val="en-US"/>
        </w:rPr>
        <w:t xml:space="preserve"> the institutional culture, policies, structures, processes, study plans and budget.”</w:t>
      </w:r>
    </w:p>
    <w:p w:rsidR="003040F7" w:rsidRPr="00610904" w:rsidRDefault="003040F7" w:rsidP="00610904">
      <w:pPr>
        <w:contextualSpacing/>
        <w:rPr>
          <w:noProof w:val="0"/>
          <w:spacing w:val="-2"/>
          <w:szCs w:val="20"/>
          <w:lang w:val="en-US"/>
        </w:rPr>
      </w:pPr>
    </w:p>
    <w:p w:rsidR="00827F4C" w:rsidRPr="00610904" w:rsidRDefault="00157FD2" w:rsidP="00610904">
      <w:pPr>
        <w:numPr>
          <w:ilvl w:val="0"/>
          <w:numId w:val="1"/>
        </w:numPr>
        <w:contextualSpacing/>
        <w:rPr>
          <w:noProof w:val="0"/>
          <w:spacing w:val="-2"/>
          <w:szCs w:val="20"/>
          <w:lang w:val="en-US"/>
        </w:rPr>
      </w:pPr>
      <w:r w:rsidRPr="00610904">
        <w:rPr>
          <w:noProof w:val="0"/>
          <w:szCs w:val="20"/>
          <w:lang w:val="en-US"/>
        </w:rPr>
        <w:t>In addition</w:t>
      </w:r>
      <w:r w:rsidR="00827F4C" w:rsidRPr="00610904">
        <w:rPr>
          <w:noProof w:val="0"/>
          <w:szCs w:val="20"/>
          <w:lang w:val="en-US"/>
        </w:rPr>
        <w:t>,</w:t>
      </w:r>
      <w:r w:rsidR="00A8072E" w:rsidRPr="00610904">
        <w:rPr>
          <w:noProof w:val="0"/>
          <w:szCs w:val="20"/>
          <w:lang w:val="en-US"/>
        </w:rPr>
        <w:t xml:space="preserve"> Ecuador</w:t>
      </w:r>
      <w:r w:rsidR="003040F7" w:rsidRPr="00610904">
        <w:rPr>
          <w:noProof w:val="0"/>
          <w:szCs w:val="20"/>
          <w:lang w:val="en-US"/>
        </w:rPr>
        <w:t xml:space="preserve"> </w:t>
      </w:r>
      <w:r w:rsidRPr="00610904">
        <w:rPr>
          <w:noProof w:val="0"/>
          <w:szCs w:val="20"/>
          <w:lang w:val="en-US"/>
        </w:rPr>
        <w:t>argued that the po</w:t>
      </w:r>
      <w:r w:rsidR="00B006F5" w:rsidRPr="00610904">
        <w:rPr>
          <w:noProof w:val="0"/>
          <w:szCs w:val="20"/>
          <w:lang w:val="en-US"/>
        </w:rPr>
        <w:t>l</w:t>
      </w:r>
      <w:r w:rsidRPr="00610904">
        <w:rPr>
          <w:noProof w:val="0"/>
          <w:szCs w:val="20"/>
          <w:lang w:val="en-US"/>
        </w:rPr>
        <w:t>icies implemented with regard to HIV were “based on the guarantees of respect, protection and promotion of human rights, and ha[d] even been endorsed by international agencies.”</w:t>
      </w:r>
      <w:r w:rsidR="00827F4C" w:rsidRPr="00610904">
        <w:rPr>
          <w:noProof w:val="0"/>
          <w:szCs w:val="20"/>
          <w:lang w:val="en-US"/>
        </w:rPr>
        <w:t xml:space="preserve"> In this regard, it emphasized t</w:t>
      </w:r>
      <w:r w:rsidR="00C91069" w:rsidRPr="00610904">
        <w:rPr>
          <w:noProof w:val="0"/>
          <w:szCs w:val="20"/>
          <w:lang w:val="en-US"/>
        </w:rPr>
        <w:t>hat the Constitution established</w:t>
      </w:r>
      <w:r w:rsidR="00827F4C" w:rsidRPr="00610904">
        <w:rPr>
          <w:noProof w:val="0"/>
          <w:szCs w:val="20"/>
          <w:lang w:val="en-US"/>
        </w:rPr>
        <w:t xml:space="preserve"> the right to equal treatment and priority attention for vulnerable groups. It indicated that it has established a </w:t>
      </w:r>
      <w:r w:rsidR="00C91069" w:rsidRPr="00610904">
        <w:rPr>
          <w:noProof w:val="0"/>
          <w:szCs w:val="20"/>
          <w:lang w:val="en-US"/>
        </w:rPr>
        <w:t>subsidy</w:t>
      </w:r>
      <w:r w:rsidR="00827F4C" w:rsidRPr="00610904">
        <w:rPr>
          <w:noProof w:val="0"/>
          <w:szCs w:val="20"/>
          <w:lang w:val="en-US"/>
        </w:rPr>
        <w:t xml:space="preserve"> of US$</w:t>
      </w:r>
      <w:r w:rsidR="00166D5A" w:rsidRPr="00610904">
        <w:rPr>
          <w:noProof w:val="0"/>
          <w:szCs w:val="20"/>
          <w:lang w:val="en-US"/>
        </w:rPr>
        <w:t>24</w:t>
      </w:r>
      <w:r w:rsidR="00827F4C" w:rsidRPr="00610904">
        <w:rPr>
          <w:noProof w:val="0"/>
          <w:szCs w:val="20"/>
          <w:lang w:val="en-US"/>
        </w:rPr>
        <w:t>0.</w:t>
      </w:r>
      <w:r w:rsidR="003040F7" w:rsidRPr="00610904">
        <w:rPr>
          <w:noProof w:val="0"/>
          <w:szCs w:val="20"/>
          <w:lang w:val="en-US"/>
        </w:rPr>
        <w:t>00 (</w:t>
      </w:r>
      <w:r w:rsidR="00827F4C" w:rsidRPr="00610904">
        <w:rPr>
          <w:noProof w:val="0"/>
          <w:szCs w:val="20"/>
          <w:lang w:val="en-US"/>
        </w:rPr>
        <w:t>two hundred and forty</w:t>
      </w:r>
      <w:r w:rsidR="003040F7" w:rsidRPr="00610904">
        <w:rPr>
          <w:noProof w:val="0"/>
          <w:szCs w:val="20"/>
          <w:lang w:val="en-US"/>
        </w:rPr>
        <w:t xml:space="preserve"> </w:t>
      </w:r>
      <w:r w:rsidR="007916C1" w:rsidRPr="00610904">
        <w:rPr>
          <w:noProof w:val="0"/>
          <w:szCs w:val="20"/>
          <w:lang w:val="en-US"/>
        </w:rPr>
        <w:t>United States dollars</w:t>
      </w:r>
      <w:r w:rsidR="00C07C1F" w:rsidRPr="00610904">
        <w:rPr>
          <w:noProof w:val="0"/>
          <w:szCs w:val="20"/>
          <w:lang w:val="en-US"/>
        </w:rPr>
        <w:t>)</w:t>
      </w:r>
      <w:r w:rsidR="003040F7" w:rsidRPr="00610904">
        <w:rPr>
          <w:noProof w:val="0"/>
          <w:szCs w:val="20"/>
          <w:lang w:val="en-US"/>
        </w:rPr>
        <w:t xml:space="preserve"> </w:t>
      </w:r>
      <w:r w:rsidR="00827F4C" w:rsidRPr="00610904">
        <w:rPr>
          <w:noProof w:val="0"/>
          <w:szCs w:val="20"/>
          <w:lang w:val="en-US"/>
        </w:rPr>
        <w:t>for persons with severe disabilities or rare or catastrophic illnesses, or orphans, as well as for every child under the age of 14 living with</w:t>
      </w:r>
      <w:r w:rsidR="003040F7" w:rsidRPr="00610904">
        <w:rPr>
          <w:noProof w:val="0"/>
          <w:szCs w:val="20"/>
          <w:lang w:val="en-US"/>
        </w:rPr>
        <w:t xml:space="preserve"> </w:t>
      </w:r>
      <w:r w:rsidR="00A8072E" w:rsidRPr="00610904">
        <w:rPr>
          <w:noProof w:val="0"/>
          <w:szCs w:val="20"/>
          <w:lang w:val="en-US"/>
        </w:rPr>
        <w:t>HIV</w:t>
      </w:r>
      <w:r w:rsidR="003040F7" w:rsidRPr="00610904">
        <w:rPr>
          <w:noProof w:val="0"/>
          <w:szCs w:val="20"/>
          <w:lang w:val="en-US"/>
        </w:rPr>
        <w:t>/</w:t>
      </w:r>
      <w:r w:rsidR="00A8072E" w:rsidRPr="00610904">
        <w:rPr>
          <w:noProof w:val="0"/>
          <w:szCs w:val="20"/>
          <w:lang w:val="en-US"/>
        </w:rPr>
        <w:t>AIDS</w:t>
      </w:r>
      <w:r w:rsidR="00827F4C" w:rsidRPr="00610904">
        <w:rPr>
          <w:noProof w:val="0"/>
          <w:szCs w:val="20"/>
          <w:lang w:val="en-US"/>
        </w:rPr>
        <w:t>.</w:t>
      </w:r>
      <w:r w:rsidR="003040F7" w:rsidRPr="00610904">
        <w:rPr>
          <w:rFonts w:cs="Times New Roman"/>
          <w:noProof w:val="0"/>
          <w:szCs w:val="20"/>
          <w:vertAlign w:val="superscript"/>
          <w:lang w:val="en-US"/>
        </w:rPr>
        <w:footnoteReference w:id="402"/>
      </w:r>
      <w:r w:rsidR="00827F4C" w:rsidRPr="00610904">
        <w:rPr>
          <w:noProof w:val="0"/>
          <w:szCs w:val="20"/>
          <w:lang w:val="en-US"/>
        </w:rPr>
        <w:t xml:space="preserve"> </w:t>
      </w:r>
      <w:r w:rsidR="00C91069" w:rsidRPr="00610904">
        <w:rPr>
          <w:noProof w:val="0"/>
          <w:szCs w:val="20"/>
          <w:lang w:val="en-US"/>
        </w:rPr>
        <w:t>To</w:t>
      </w:r>
      <w:r w:rsidR="00827F4C" w:rsidRPr="00610904">
        <w:rPr>
          <w:noProof w:val="0"/>
          <w:szCs w:val="20"/>
          <w:lang w:val="en-US"/>
        </w:rPr>
        <w:t xml:space="preserve"> award this</w:t>
      </w:r>
      <w:r w:rsidR="00C91069" w:rsidRPr="00610904">
        <w:rPr>
          <w:noProof w:val="0"/>
          <w:szCs w:val="20"/>
          <w:lang w:val="en-US"/>
        </w:rPr>
        <w:t xml:space="preserve"> </w:t>
      </w:r>
      <w:r w:rsidR="00C91069" w:rsidRPr="00610904">
        <w:rPr>
          <w:noProof w:val="0"/>
          <w:szCs w:val="20"/>
          <w:lang w:val="en-US"/>
        </w:rPr>
        <w:lastRenderedPageBreak/>
        <w:t>subsidy</w:t>
      </w:r>
      <w:r w:rsidR="00827F4C" w:rsidRPr="00610904">
        <w:rPr>
          <w:noProof w:val="0"/>
          <w:szCs w:val="20"/>
          <w:lang w:val="en-US"/>
        </w:rPr>
        <w:t xml:space="preserve">, the State advised that, in 2014, the Technical Secretariat for Disabilities issued a </w:t>
      </w:r>
      <w:r w:rsidR="00827F4C" w:rsidRPr="00610904">
        <w:rPr>
          <w:i/>
          <w:noProof w:val="0"/>
          <w:szCs w:val="20"/>
          <w:lang w:val="en-US"/>
        </w:rPr>
        <w:t xml:space="preserve">Technical directive </w:t>
      </w:r>
      <w:r w:rsidR="00827F4C" w:rsidRPr="00610904">
        <w:rPr>
          <w:i/>
          <w:noProof w:val="0"/>
          <w:szCs w:val="16"/>
          <w:lang w:val="en-US"/>
        </w:rPr>
        <w:t>for the inclusion, exclusion and temporary exclusion of persons with severe disabilities in a critical socio-economic situation, of persons with rare or catastrophic illnesses, or orphans in a critical socio-economic situation, and children under the age of 14 living with HIV/AIDS in a critical socio-economic situation</w:t>
      </w:r>
      <w:r w:rsidR="00C91069" w:rsidRPr="00610904">
        <w:rPr>
          <w:noProof w:val="0"/>
          <w:szCs w:val="16"/>
          <w:lang w:val="en-US"/>
        </w:rPr>
        <w:t>, which established</w:t>
      </w:r>
      <w:r w:rsidR="00827F4C" w:rsidRPr="00610904">
        <w:rPr>
          <w:noProof w:val="0"/>
          <w:szCs w:val="16"/>
          <w:lang w:val="en-US"/>
        </w:rPr>
        <w:t xml:space="preserve"> the procedures to follow in order to obtain th</w:t>
      </w:r>
      <w:r w:rsidR="00C91069" w:rsidRPr="00610904">
        <w:rPr>
          <w:noProof w:val="0"/>
          <w:szCs w:val="16"/>
          <w:lang w:val="en-US"/>
        </w:rPr>
        <w:t>is assistance.</w:t>
      </w:r>
    </w:p>
    <w:p w:rsidR="003040F7" w:rsidRPr="00610904" w:rsidRDefault="003040F7" w:rsidP="00610904">
      <w:pPr>
        <w:contextualSpacing/>
        <w:rPr>
          <w:noProof w:val="0"/>
          <w:spacing w:val="-2"/>
          <w:szCs w:val="20"/>
          <w:lang w:val="en-US"/>
        </w:rPr>
      </w:pPr>
    </w:p>
    <w:p w:rsidR="003040F7" w:rsidRPr="00610904" w:rsidRDefault="00827F4C" w:rsidP="00610904">
      <w:pPr>
        <w:numPr>
          <w:ilvl w:val="0"/>
          <w:numId w:val="1"/>
        </w:numPr>
        <w:contextualSpacing/>
        <w:rPr>
          <w:noProof w:val="0"/>
          <w:spacing w:val="-2"/>
          <w:szCs w:val="20"/>
          <w:lang w:val="en-US"/>
        </w:rPr>
      </w:pPr>
      <w:r w:rsidRPr="00610904">
        <w:rPr>
          <w:noProof w:val="0"/>
          <w:szCs w:val="20"/>
          <w:lang w:val="en-US"/>
        </w:rPr>
        <w:t>Accordingly, the State conclude</w:t>
      </w:r>
      <w:r w:rsidR="00C91069" w:rsidRPr="00610904">
        <w:rPr>
          <w:noProof w:val="0"/>
          <w:szCs w:val="20"/>
          <w:lang w:val="en-US"/>
        </w:rPr>
        <w:t>d that it had</w:t>
      </w:r>
      <w:r w:rsidRPr="00610904">
        <w:rPr>
          <w:noProof w:val="0"/>
          <w:szCs w:val="20"/>
          <w:lang w:val="en-US"/>
        </w:rPr>
        <w:t xml:space="preserve"> the necessary mechanisms to protect and guarantee the rights of persons with </w:t>
      </w:r>
      <w:r w:rsidR="00A8072E" w:rsidRPr="00610904">
        <w:rPr>
          <w:noProof w:val="0"/>
          <w:szCs w:val="20"/>
          <w:lang w:val="en-US"/>
        </w:rPr>
        <w:t>HIV</w:t>
      </w:r>
      <w:r w:rsidR="00825A3F" w:rsidRPr="00610904">
        <w:rPr>
          <w:noProof w:val="0"/>
          <w:szCs w:val="20"/>
          <w:lang w:val="en-US"/>
        </w:rPr>
        <w:t>/</w:t>
      </w:r>
      <w:r w:rsidR="00A8072E" w:rsidRPr="00610904">
        <w:rPr>
          <w:noProof w:val="0"/>
          <w:szCs w:val="20"/>
          <w:lang w:val="en-US"/>
        </w:rPr>
        <w:t>AIDS</w:t>
      </w:r>
      <w:r w:rsidR="003040F7" w:rsidRPr="00610904">
        <w:rPr>
          <w:noProof w:val="0"/>
          <w:szCs w:val="20"/>
          <w:lang w:val="en-US"/>
        </w:rPr>
        <w:t xml:space="preserve">, </w:t>
      </w:r>
      <w:r w:rsidRPr="00610904">
        <w:rPr>
          <w:noProof w:val="0"/>
          <w:szCs w:val="20"/>
          <w:lang w:val="en-US"/>
        </w:rPr>
        <w:t xml:space="preserve">so that the Court “could not rule on the </w:t>
      </w:r>
      <w:r w:rsidR="00B45E43" w:rsidRPr="00610904">
        <w:rPr>
          <w:noProof w:val="0"/>
          <w:szCs w:val="20"/>
          <w:lang w:val="en-US"/>
        </w:rPr>
        <w:t>guarantees of non-repetition</w:t>
      </w:r>
      <w:r w:rsidR="003040F7" w:rsidRPr="00610904">
        <w:rPr>
          <w:noProof w:val="0"/>
          <w:szCs w:val="20"/>
          <w:lang w:val="en-US"/>
        </w:rPr>
        <w:t xml:space="preserve"> </w:t>
      </w:r>
      <w:r w:rsidRPr="00610904">
        <w:rPr>
          <w:noProof w:val="0"/>
          <w:szCs w:val="20"/>
          <w:lang w:val="en-US"/>
        </w:rPr>
        <w:t>requested by</w:t>
      </w:r>
      <w:r w:rsidR="003040F7" w:rsidRPr="00610904">
        <w:rPr>
          <w:noProof w:val="0"/>
          <w:szCs w:val="20"/>
          <w:lang w:val="en-US"/>
        </w:rPr>
        <w:t xml:space="preserve"> </w:t>
      </w:r>
      <w:r w:rsidR="009F3D78" w:rsidRPr="00610904">
        <w:rPr>
          <w:noProof w:val="0"/>
          <w:szCs w:val="20"/>
          <w:lang w:val="en-US"/>
        </w:rPr>
        <w:t>the representatives</w:t>
      </w:r>
      <w:r w:rsidRPr="00610904">
        <w:rPr>
          <w:noProof w:val="0"/>
          <w:szCs w:val="20"/>
          <w:lang w:val="en-US"/>
        </w:rPr>
        <w:t>.”</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A8072E" w:rsidP="00610904">
      <w:pPr>
        <w:ind w:left="450"/>
        <w:contextualSpacing/>
        <w:rPr>
          <w:i/>
          <w:noProof w:val="0"/>
          <w:lang w:val="en-US"/>
        </w:rPr>
      </w:pPr>
      <w:r w:rsidRPr="00610904">
        <w:rPr>
          <w:i/>
          <w:noProof w:val="0"/>
          <w:lang w:val="en-US"/>
        </w:rPr>
        <w:t>Considerations</w:t>
      </w:r>
      <w:r w:rsidR="009F3D78" w:rsidRPr="00610904">
        <w:rPr>
          <w:i/>
          <w:noProof w:val="0"/>
          <w:lang w:val="en-US"/>
        </w:rPr>
        <w:t xml:space="preserve"> of the Court</w:t>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noProof w:val="0"/>
          <w:spacing w:val="-2"/>
          <w:szCs w:val="20"/>
          <w:lang w:val="en-US"/>
        </w:rPr>
        <w:t>This Court</w:t>
      </w:r>
      <w:r w:rsidR="003040F7" w:rsidRPr="00610904">
        <w:rPr>
          <w:noProof w:val="0"/>
          <w:spacing w:val="-2"/>
          <w:szCs w:val="20"/>
          <w:lang w:val="en-US"/>
        </w:rPr>
        <w:t xml:space="preserve"> </w:t>
      </w:r>
      <w:r w:rsidR="00827F4C" w:rsidRPr="00610904">
        <w:rPr>
          <w:noProof w:val="0"/>
          <w:spacing w:val="-2"/>
          <w:szCs w:val="20"/>
          <w:lang w:val="en-US"/>
        </w:rPr>
        <w:t xml:space="preserve">has verified that </w:t>
      </w:r>
      <w:r w:rsidRPr="00610904">
        <w:rPr>
          <w:noProof w:val="0"/>
          <w:spacing w:val="-2"/>
          <w:szCs w:val="20"/>
          <w:lang w:val="en-US"/>
        </w:rPr>
        <w:t>Ecuador</w:t>
      </w:r>
      <w:r w:rsidR="003040F7" w:rsidRPr="00610904">
        <w:rPr>
          <w:noProof w:val="0"/>
          <w:spacing w:val="-2"/>
          <w:szCs w:val="20"/>
          <w:lang w:val="en-US"/>
        </w:rPr>
        <w:t xml:space="preserve"> ha</w:t>
      </w:r>
      <w:r w:rsidR="00827F4C" w:rsidRPr="00610904">
        <w:rPr>
          <w:noProof w:val="0"/>
          <w:spacing w:val="-2"/>
          <w:szCs w:val="20"/>
          <w:lang w:val="en-US"/>
        </w:rPr>
        <w:t>s</w:t>
      </w:r>
      <w:r w:rsidR="003040F7" w:rsidRPr="00610904">
        <w:rPr>
          <w:noProof w:val="0"/>
          <w:spacing w:val="-2"/>
          <w:szCs w:val="20"/>
          <w:lang w:val="en-US"/>
        </w:rPr>
        <w:t xml:space="preserve"> implement</w:t>
      </w:r>
      <w:r w:rsidR="00C91069" w:rsidRPr="00610904">
        <w:rPr>
          <w:noProof w:val="0"/>
          <w:spacing w:val="-2"/>
          <w:szCs w:val="20"/>
          <w:lang w:val="en-US"/>
        </w:rPr>
        <w:t>ed various provisions relating</w:t>
      </w:r>
      <w:r w:rsidR="00827F4C" w:rsidRPr="00610904">
        <w:rPr>
          <w:noProof w:val="0"/>
          <w:spacing w:val="-2"/>
          <w:szCs w:val="20"/>
          <w:lang w:val="en-US"/>
        </w:rPr>
        <w:t xml:space="preserve"> to education </w:t>
      </w:r>
      <w:r w:rsidR="009F3D78" w:rsidRPr="00610904">
        <w:rPr>
          <w:noProof w:val="0"/>
          <w:spacing w:val="-2"/>
          <w:szCs w:val="20"/>
          <w:lang w:val="en-US"/>
        </w:rPr>
        <w:t xml:space="preserve">and </w:t>
      </w:r>
      <w:r w:rsidRPr="00610904">
        <w:rPr>
          <w:noProof w:val="0"/>
          <w:spacing w:val="-2"/>
          <w:szCs w:val="20"/>
          <w:lang w:val="en-US"/>
        </w:rPr>
        <w:t>HIV</w:t>
      </w:r>
      <w:r w:rsidR="003040F7" w:rsidRPr="00610904">
        <w:rPr>
          <w:noProof w:val="0"/>
          <w:spacing w:val="-2"/>
          <w:szCs w:val="20"/>
          <w:lang w:val="en-US"/>
        </w:rPr>
        <w:t xml:space="preserve">. </w:t>
      </w:r>
      <w:r w:rsidR="00C91069" w:rsidRPr="00610904">
        <w:rPr>
          <w:noProof w:val="0"/>
          <w:spacing w:val="-2"/>
          <w:szCs w:val="20"/>
          <w:lang w:val="en-US"/>
        </w:rPr>
        <w:t>For example,</w:t>
      </w:r>
      <w:r w:rsidR="00827F4C" w:rsidRPr="00610904">
        <w:rPr>
          <w:noProof w:val="0"/>
          <w:spacing w:val="-2"/>
          <w:szCs w:val="20"/>
          <w:lang w:val="en-US"/>
        </w:rPr>
        <w:t xml:space="preserve"> the Health Law establishes the elaboration of compulsory educational policies and programs for educational establishments to disseminate information and provide counseling </w:t>
      </w:r>
      <w:r w:rsidR="00B45E43" w:rsidRPr="00610904">
        <w:rPr>
          <w:noProof w:val="0"/>
          <w:spacing w:val="-2"/>
          <w:szCs w:val="20"/>
          <w:lang w:val="en-US"/>
        </w:rPr>
        <w:t xml:space="preserve">in the area of </w:t>
      </w:r>
      <w:r w:rsidR="003040F7" w:rsidRPr="00610904">
        <w:rPr>
          <w:noProof w:val="0"/>
          <w:spacing w:val="-2"/>
          <w:szCs w:val="20"/>
          <w:lang w:val="en-US"/>
        </w:rPr>
        <w:t>sexual</w:t>
      </w:r>
      <w:r w:rsidR="009F3D78" w:rsidRPr="00610904">
        <w:rPr>
          <w:noProof w:val="0"/>
          <w:spacing w:val="-2"/>
          <w:szCs w:val="20"/>
          <w:lang w:val="en-US"/>
        </w:rPr>
        <w:t xml:space="preserve"> and </w:t>
      </w:r>
      <w:r w:rsidR="00827F4C" w:rsidRPr="00610904">
        <w:rPr>
          <w:noProof w:val="0"/>
          <w:spacing w:val="-2"/>
          <w:szCs w:val="20"/>
          <w:lang w:val="en-US"/>
        </w:rPr>
        <w:t>reproductive health, in order to prevent HIV and other sexually-transmitted diseases.</w:t>
      </w:r>
      <w:r w:rsidR="003040F7" w:rsidRPr="00610904">
        <w:rPr>
          <w:rFonts w:cs="Times New Roman"/>
          <w:noProof w:val="0"/>
          <w:spacing w:val="-2"/>
          <w:szCs w:val="20"/>
          <w:vertAlign w:val="superscript"/>
          <w:lang w:val="en-US"/>
        </w:rPr>
        <w:footnoteReference w:id="403"/>
      </w:r>
      <w:r w:rsidR="00827F4C" w:rsidRPr="00610904">
        <w:rPr>
          <w:noProof w:val="0"/>
          <w:spacing w:val="-2"/>
          <w:szCs w:val="20"/>
          <w:lang w:val="en-US"/>
        </w:rPr>
        <w:t xml:space="preserve"> Also, one of the goals of the National Ten-year Plan for Comprehensive Protection of Children and Adolescents is “to promote universal access of children and adolescent to educational services based on their age,” and the policie</w:t>
      </w:r>
      <w:r w:rsidR="00C91069" w:rsidRPr="00610904">
        <w:rPr>
          <w:noProof w:val="0"/>
          <w:spacing w:val="-2"/>
          <w:szCs w:val="20"/>
          <w:lang w:val="en-US"/>
        </w:rPr>
        <w:t>s include ensuring children access to,</w:t>
      </w:r>
      <w:r w:rsidR="00827F4C" w:rsidRPr="00610904">
        <w:rPr>
          <w:noProof w:val="0"/>
          <w:spacing w:val="-2"/>
          <w:szCs w:val="20"/>
          <w:lang w:val="en-US"/>
        </w:rPr>
        <w:t xml:space="preserve"> and permanence in</w:t>
      </w:r>
      <w:r w:rsidR="00C91069" w:rsidRPr="00610904">
        <w:rPr>
          <w:noProof w:val="0"/>
          <w:spacing w:val="-2"/>
          <w:szCs w:val="20"/>
          <w:lang w:val="en-US"/>
        </w:rPr>
        <w:t>,</w:t>
      </w:r>
      <w:r w:rsidR="00827F4C" w:rsidRPr="00610904">
        <w:rPr>
          <w:noProof w:val="0"/>
          <w:spacing w:val="-2"/>
          <w:szCs w:val="20"/>
          <w:lang w:val="en-US"/>
        </w:rPr>
        <w:t xml:space="preserve"> free public education. </w:t>
      </w:r>
      <w:r w:rsidR="00C91069" w:rsidRPr="00610904">
        <w:rPr>
          <w:noProof w:val="0"/>
          <w:spacing w:val="-2"/>
          <w:szCs w:val="20"/>
          <w:lang w:val="en-US"/>
        </w:rPr>
        <w:t>Likewise</w:t>
      </w:r>
      <w:r w:rsidR="00827F4C" w:rsidRPr="00610904">
        <w:rPr>
          <w:noProof w:val="0"/>
          <w:spacing w:val="-2"/>
          <w:szCs w:val="20"/>
          <w:lang w:val="en-US"/>
        </w:rPr>
        <w:t xml:space="preserve">, the Children’s and Adolescents’ Code establishes that the </w:t>
      </w:r>
      <w:r w:rsidR="001A2523" w:rsidRPr="00610904">
        <w:rPr>
          <w:noProof w:val="0"/>
          <w:spacing w:val="-2"/>
          <w:szCs w:val="20"/>
          <w:lang w:val="en-US"/>
        </w:rPr>
        <w:t>education system</w:t>
      </w:r>
      <w:r w:rsidR="00827F4C" w:rsidRPr="00610904">
        <w:rPr>
          <w:noProof w:val="0"/>
          <w:spacing w:val="-2"/>
          <w:szCs w:val="20"/>
          <w:lang w:val="en-US"/>
        </w:rPr>
        <w:t xml:space="preserve"> must guarantee</w:t>
      </w:r>
      <w:r w:rsidR="00C91069" w:rsidRPr="00610904">
        <w:rPr>
          <w:noProof w:val="0"/>
          <w:spacing w:val="-2"/>
          <w:szCs w:val="20"/>
          <w:lang w:val="en-US"/>
        </w:rPr>
        <w:t xml:space="preserve"> every child</w:t>
      </w:r>
      <w:r w:rsidR="00827F4C" w:rsidRPr="00610904">
        <w:rPr>
          <w:noProof w:val="0"/>
          <w:spacing w:val="-2"/>
          <w:szCs w:val="20"/>
          <w:lang w:val="en-US"/>
        </w:rPr>
        <w:t xml:space="preserve"> access to</w:t>
      </w:r>
      <w:r w:rsidR="00C91069" w:rsidRPr="00610904">
        <w:rPr>
          <w:noProof w:val="0"/>
          <w:spacing w:val="-2"/>
          <w:szCs w:val="20"/>
          <w:lang w:val="en-US"/>
        </w:rPr>
        <w:t>,</w:t>
      </w:r>
      <w:r w:rsidR="00827F4C" w:rsidRPr="00610904">
        <w:rPr>
          <w:noProof w:val="0"/>
          <w:spacing w:val="-2"/>
          <w:szCs w:val="20"/>
          <w:lang w:val="en-US"/>
        </w:rPr>
        <w:t xml:space="preserve"> and permanence in</w:t>
      </w:r>
      <w:r w:rsidR="00C91069" w:rsidRPr="00610904">
        <w:rPr>
          <w:noProof w:val="0"/>
          <w:spacing w:val="-2"/>
          <w:szCs w:val="20"/>
          <w:lang w:val="en-US"/>
        </w:rPr>
        <w:t>,</w:t>
      </w:r>
      <w:r w:rsidR="00827F4C" w:rsidRPr="00610904">
        <w:rPr>
          <w:noProof w:val="0"/>
          <w:spacing w:val="-2"/>
          <w:szCs w:val="20"/>
          <w:lang w:val="en-US"/>
        </w:rPr>
        <w:t xml:space="preserve"> basic education, and establish alternative and flexible educational options to respond to the needs of all children, according priority to those with disabilities, or those who work or live in a situation that requires increased educational options.</w:t>
      </w:r>
      <w:r w:rsidR="003040F7" w:rsidRPr="00610904">
        <w:rPr>
          <w:rFonts w:cs="Times New Roman"/>
          <w:noProof w:val="0"/>
          <w:spacing w:val="-2"/>
          <w:szCs w:val="20"/>
          <w:vertAlign w:val="superscript"/>
          <w:lang w:val="en-US"/>
        </w:rPr>
        <w:footnoteReference w:id="404"/>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827F4C" w:rsidP="00610904">
      <w:pPr>
        <w:numPr>
          <w:ilvl w:val="0"/>
          <w:numId w:val="1"/>
        </w:numPr>
        <w:contextualSpacing/>
        <w:rPr>
          <w:noProof w:val="0"/>
          <w:spacing w:val="-2"/>
          <w:szCs w:val="20"/>
          <w:lang w:val="en-US"/>
        </w:rPr>
      </w:pPr>
      <w:r w:rsidRPr="00610904">
        <w:rPr>
          <w:noProof w:val="0"/>
          <w:spacing w:val="-2"/>
          <w:szCs w:val="20"/>
          <w:lang w:val="en-US"/>
        </w:rPr>
        <w:t>Regarding</w:t>
      </w:r>
      <w:r w:rsidR="003040F7" w:rsidRPr="00610904">
        <w:rPr>
          <w:noProof w:val="0"/>
          <w:spacing w:val="-2"/>
          <w:szCs w:val="20"/>
          <w:lang w:val="en-US"/>
        </w:rPr>
        <w:t xml:space="preserve"> no</w:t>
      </w:r>
      <w:r w:rsidRPr="00610904">
        <w:rPr>
          <w:noProof w:val="0"/>
          <w:spacing w:val="-2"/>
          <w:szCs w:val="20"/>
          <w:lang w:val="en-US"/>
        </w:rPr>
        <w:t>n-discriminatio</w:t>
      </w:r>
      <w:r w:rsidR="003040F7" w:rsidRPr="00610904">
        <w:rPr>
          <w:noProof w:val="0"/>
          <w:spacing w:val="-2"/>
          <w:szCs w:val="20"/>
          <w:lang w:val="en-US"/>
        </w:rPr>
        <w:t xml:space="preserve">n, </w:t>
      </w:r>
      <w:r w:rsidR="00EF508D" w:rsidRPr="00610904">
        <w:rPr>
          <w:noProof w:val="0"/>
          <w:spacing w:val="-2"/>
          <w:szCs w:val="20"/>
          <w:lang w:val="en-US"/>
        </w:rPr>
        <w:t>the Children’s and Adolescents’ Code</w:t>
      </w:r>
      <w:r w:rsidR="003040F7" w:rsidRPr="00610904">
        <w:rPr>
          <w:noProof w:val="0"/>
          <w:spacing w:val="-2"/>
          <w:szCs w:val="20"/>
          <w:lang w:val="en-US"/>
        </w:rPr>
        <w:t xml:space="preserve"> </w:t>
      </w:r>
      <w:r w:rsidRPr="00610904">
        <w:rPr>
          <w:noProof w:val="0"/>
          <w:spacing w:val="-2"/>
          <w:szCs w:val="20"/>
          <w:lang w:val="en-US"/>
        </w:rPr>
        <w:t>stipulat</w:t>
      </w:r>
      <w:r w:rsidR="00C91069" w:rsidRPr="00610904">
        <w:rPr>
          <w:noProof w:val="0"/>
          <w:spacing w:val="-2"/>
          <w:szCs w:val="20"/>
          <w:lang w:val="en-US"/>
        </w:rPr>
        <w:t>e</w:t>
      </w:r>
      <w:r w:rsidRPr="00610904">
        <w:rPr>
          <w:noProof w:val="0"/>
          <w:spacing w:val="-2"/>
          <w:szCs w:val="20"/>
          <w:lang w:val="en-US"/>
        </w:rPr>
        <w:t>s that: “[a</w:t>
      </w:r>
      <w:r w:rsidR="003040F7" w:rsidRPr="00610904">
        <w:rPr>
          <w:noProof w:val="0"/>
          <w:spacing w:val="-2"/>
          <w:szCs w:val="20"/>
          <w:lang w:val="en-US"/>
        </w:rPr>
        <w:t>]</w:t>
      </w:r>
      <w:r w:rsidRPr="00610904">
        <w:rPr>
          <w:noProof w:val="0"/>
          <w:spacing w:val="-2"/>
          <w:szCs w:val="20"/>
          <w:lang w:val="en-US"/>
        </w:rPr>
        <w:t xml:space="preserve">ll children and adolescents </w:t>
      </w:r>
      <w:r w:rsidR="00C91069" w:rsidRPr="00610904">
        <w:rPr>
          <w:noProof w:val="0"/>
          <w:spacing w:val="-2"/>
          <w:szCs w:val="20"/>
          <w:lang w:val="en-US"/>
        </w:rPr>
        <w:t>are equal before the law and sh</w:t>
      </w:r>
      <w:r w:rsidRPr="00610904">
        <w:rPr>
          <w:noProof w:val="0"/>
          <w:spacing w:val="-2"/>
          <w:szCs w:val="20"/>
          <w:lang w:val="en-US"/>
        </w:rPr>
        <w:t>all not be discriminated against based on their</w:t>
      </w:r>
      <w:r w:rsidR="003040F7" w:rsidRPr="00610904">
        <w:rPr>
          <w:noProof w:val="0"/>
          <w:spacing w:val="-2"/>
          <w:szCs w:val="20"/>
          <w:lang w:val="en-US"/>
        </w:rPr>
        <w:t xml:space="preserve"> […] </w:t>
      </w:r>
      <w:r w:rsidRPr="00610904">
        <w:rPr>
          <w:noProof w:val="0"/>
          <w:spacing w:val="-2"/>
          <w:szCs w:val="20"/>
          <w:lang w:val="en-US"/>
        </w:rPr>
        <w:t>health status, disabilities, […] or any other personal situation.</w:t>
      </w:r>
      <w:r w:rsidR="003040F7" w:rsidRPr="00610904">
        <w:rPr>
          <w:noProof w:val="0"/>
          <w:spacing w:val="-2"/>
          <w:szCs w:val="20"/>
          <w:lang w:val="en-US"/>
        </w:rPr>
        <w:t>”</w:t>
      </w:r>
      <w:r w:rsidR="003040F7" w:rsidRPr="00610904">
        <w:rPr>
          <w:rFonts w:cs="Times New Roman"/>
          <w:noProof w:val="0"/>
          <w:spacing w:val="-2"/>
          <w:szCs w:val="20"/>
          <w:vertAlign w:val="superscript"/>
          <w:lang w:val="en-US"/>
        </w:rPr>
        <w:footnoteReference w:id="405"/>
      </w:r>
      <w:r w:rsidR="003040F7" w:rsidRPr="00610904">
        <w:rPr>
          <w:noProof w:val="0"/>
          <w:spacing w:val="-2"/>
          <w:szCs w:val="20"/>
          <w:lang w:val="en-US"/>
        </w:rPr>
        <w:t xml:space="preserve"> </w:t>
      </w:r>
      <w:r w:rsidRPr="00610904">
        <w:rPr>
          <w:noProof w:val="0"/>
          <w:spacing w:val="-2"/>
          <w:szCs w:val="20"/>
          <w:lang w:val="en-US"/>
        </w:rPr>
        <w:t>In addition, in November 2008, the Ministry of Education adopted a decision prohibiting the authorities of ed</w:t>
      </w:r>
      <w:r w:rsidR="00DF7AC2" w:rsidRPr="00610904">
        <w:rPr>
          <w:noProof w:val="0"/>
          <w:spacing w:val="-2"/>
          <w:szCs w:val="20"/>
          <w:lang w:val="en-US"/>
        </w:rPr>
        <w:t>ucational establishments from</w:t>
      </w:r>
      <w:r w:rsidRPr="00610904">
        <w:rPr>
          <w:noProof w:val="0"/>
          <w:spacing w:val="-2"/>
          <w:szCs w:val="20"/>
          <w:lang w:val="en-US"/>
        </w:rPr>
        <w:t xml:space="preserve"> requi</w:t>
      </w:r>
      <w:r w:rsidR="00DF7AC2" w:rsidRPr="00610904">
        <w:rPr>
          <w:noProof w:val="0"/>
          <w:spacing w:val="-2"/>
          <w:szCs w:val="20"/>
          <w:lang w:val="en-US"/>
        </w:rPr>
        <w:t>ring</w:t>
      </w:r>
      <w:r w:rsidRPr="00610904">
        <w:rPr>
          <w:noProof w:val="0"/>
          <w:spacing w:val="-2"/>
          <w:szCs w:val="20"/>
          <w:lang w:val="en-US"/>
        </w:rPr>
        <w:t xml:space="preserve"> student</w:t>
      </w:r>
      <w:r w:rsidR="00DF7AC2" w:rsidRPr="00610904">
        <w:rPr>
          <w:noProof w:val="0"/>
          <w:spacing w:val="-2"/>
          <w:szCs w:val="20"/>
          <w:lang w:val="en-US"/>
        </w:rPr>
        <w:t>s</w:t>
      </w:r>
      <w:r w:rsidRPr="00610904">
        <w:rPr>
          <w:noProof w:val="0"/>
          <w:spacing w:val="-2"/>
          <w:szCs w:val="20"/>
          <w:lang w:val="en-US"/>
        </w:rPr>
        <w:t xml:space="preserve"> to </w:t>
      </w:r>
      <w:r w:rsidR="00DF7AC2" w:rsidRPr="00610904">
        <w:rPr>
          <w:noProof w:val="0"/>
          <w:spacing w:val="-2"/>
          <w:szCs w:val="20"/>
          <w:lang w:val="en-US"/>
        </w:rPr>
        <w:t>undergo</w:t>
      </w:r>
      <w:r w:rsidRPr="00610904">
        <w:rPr>
          <w:noProof w:val="0"/>
          <w:spacing w:val="-2"/>
          <w:szCs w:val="20"/>
          <w:lang w:val="en-US"/>
        </w:rPr>
        <w:t xml:space="preserve"> any kind of test r</w:t>
      </w:r>
      <w:r w:rsidR="00C91069" w:rsidRPr="00610904">
        <w:rPr>
          <w:noProof w:val="0"/>
          <w:spacing w:val="-2"/>
          <w:szCs w:val="20"/>
          <w:lang w:val="en-US"/>
        </w:rPr>
        <w:t>elated to the identification of</w:t>
      </w:r>
      <w:r w:rsidRPr="00610904">
        <w:rPr>
          <w:noProof w:val="0"/>
          <w:spacing w:val="-2"/>
          <w:szCs w:val="20"/>
          <w:lang w:val="en-US"/>
        </w:rPr>
        <w:t xml:space="preserve">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Pr="00610904">
        <w:rPr>
          <w:noProof w:val="0"/>
          <w:spacing w:val="-2"/>
          <w:szCs w:val="20"/>
          <w:lang w:val="en-US"/>
        </w:rPr>
        <w:t>,</w:t>
      </w:r>
      <w:r w:rsidR="009F3D78" w:rsidRPr="00610904">
        <w:rPr>
          <w:noProof w:val="0"/>
          <w:spacing w:val="-2"/>
          <w:szCs w:val="20"/>
          <w:lang w:val="en-US"/>
        </w:rPr>
        <w:t xml:space="preserve"> and </w:t>
      </w:r>
      <w:r w:rsidRPr="00610904">
        <w:rPr>
          <w:noProof w:val="0"/>
          <w:spacing w:val="-2"/>
          <w:szCs w:val="20"/>
          <w:lang w:val="en-US"/>
        </w:rPr>
        <w:t xml:space="preserve">decided to guarantee to children with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003040F7" w:rsidRPr="00610904">
        <w:rPr>
          <w:noProof w:val="0"/>
          <w:spacing w:val="-2"/>
          <w:szCs w:val="20"/>
          <w:lang w:val="en-US"/>
        </w:rPr>
        <w:t>, “</w:t>
      </w:r>
      <w:r w:rsidRPr="00610904">
        <w:rPr>
          <w:noProof w:val="0"/>
          <w:spacing w:val="-2"/>
          <w:szCs w:val="20"/>
          <w:lang w:val="en-US"/>
        </w:rPr>
        <w:t>without discrimination or limitations of any kind, the full exercise of their rights.</w:t>
      </w:r>
      <w:r w:rsidR="003040F7" w:rsidRPr="00610904">
        <w:rPr>
          <w:noProof w:val="0"/>
          <w:spacing w:val="-2"/>
          <w:szCs w:val="20"/>
          <w:lang w:val="en-US"/>
        </w:rPr>
        <w:t>”</w:t>
      </w:r>
      <w:r w:rsidR="003040F7" w:rsidRPr="00610904">
        <w:rPr>
          <w:rFonts w:cs="Times New Roman"/>
          <w:noProof w:val="0"/>
          <w:spacing w:val="-2"/>
          <w:szCs w:val="20"/>
          <w:vertAlign w:val="superscript"/>
          <w:lang w:val="en-US"/>
        </w:rPr>
        <w:footnoteReference w:id="406"/>
      </w:r>
      <w:r w:rsidRPr="00610904">
        <w:rPr>
          <w:noProof w:val="0"/>
          <w:spacing w:val="-2"/>
          <w:szCs w:val="20"/>
          <w:lang w:val="en-US"/>
        </w:rPr>
        <w:t xml:space="preserve"> Similarly, a resolution of the National Higher Education Council </w:t>
      </w:r>
      <w:r w:rsidR="00567EC5" w:rsidRPr="00610904">
        <w:rPr>
          <w:noProof w:val="0"/>
          <w:spacing w:val="-2"/>
          <w:szCs w:val="20"/>
          <w:lang w:val="en-US"/>
        </w:rPr>
        <w:t xml:space="preserve">(CONESUP) </w:t>
      </w:r>
      <w:r w:rsidRPr="00610904">
        <w:rPr>
          <w:noProof w:val="0"/>
          <w:spacing w:val="-2"/>
          <w:szCs w:val="20"/>
          <w:lang w:val="en-US"/>
        </w:rPr>
        <w:t>of May 2009</w:t>
      </w:r>
      <w:r w:rsidR="003040F7" w:rsidRPr="00610904">
        <w:rPr>
          <w:noProof w:val="0"/>
          <w:spacing w:val="-2"/>
          <w:szCs w:val="20"/>
          <w:lang w:val="en-US"/>
        </w:rPr>
        <w:t xml:space="preserve"> </w:t>
      </w:r>
      <w:r w:rsidRPr="00610904">
        <w:rPr>
          <w:noProof w:val="0"/>
          <w:spacing w:val="-2"/>
          <w:szCs w:val="20"/>
          <w:lang w:val="en-US"/>
        </w:rPr>
        <w:t>prohibited requiring an HIV test for any procedure in a h</w:t>
      </w:r>
      <w:r w:rsidR="0076589E">
        <w:rPr>
          <w:noProof w:val="0"/>
          <w:spacing w:val="-2"/>
          <w:szCs w:val="20"/>
          <w:lang w:val="en-US"/>
        </w:rPr>
        <w:t xml:space="preserve">igher education institution; </w:t>
      </w:r>
      <w:r w:rsidRPr="00610904">
        <w:rPr>
          <w:noProof w:val="0"/>
          <w:spacing w:val="-2"/>
          <w:szCs w:val="20"/>
          <w:lang w:val="en-US"/>
        </w:rPr>
        <w:t xml:space="preserve">prohibited the exclusion of a person with HIV  from the academic community “because this violates the principle of non-discrimination,” and required </w:t>
      </w:r>
      <w:r w:rsidR="00C91069" w:rsidRPr="00610904">
        <w:rPr>
          <w:noProof w:val="0"/>
          <w:spacing w:val="-2"/>
          <w:szCs w:val="20"/>
          <w:lang w:val="en-US"/>
        </w:rPr>
        <w:t>establishments to implement preventive</w:t>
      </w:r>
      <w:r w:rsidRPr="00610904">
        <w:rPr>
          <w:noProof w:val="0"/>
          <w:spacing w:val="-2"/>
          <w:szCs w:val="20"/>
          <w:lang w:val="en-US"/>
        </w:rPr>
        <w:t xml:space="preserve"> measures, using information free of stereotypes and prejudices, in order to contribute to education</w:t>
      </w:r>
      <w:r w:rsidR="00C91069" w:rsidRPr="00610904">
        <w:rPr>
          <w:noProof w:val="0"/>
          <w:spacing w:val="-2"/>
          <w:szCs w:val="20"/>
          <w:lang w:val="en-US"/>
        </w:rPr>
        <w:t xml:space="preserve"> on HIV/AIDS</w:t>
      </w:r>
      <w:r w:rsidRPr="00610904">
        <w:rPr>
          <w:noProof w:val="0"/>
          <w:spacing w:val="-2"/>
          <w:szCs w:val="20"/>
          <w:lang w:val="en-US"/>
        </w:rPr>
        <w:t xml:space="preserve">, and eradication of </w:t>
      </w:r>
      <w:r w:rsidR="00C91069" w:rsidRPr="00610904">
        <w:rPr>
          <w:noProof w:val="0"/>
          <w:spacing w:val="-2"/>
          <w:szCs w:val="20"/>
          <w:lang w:val="en-US"/>
        </w:rPr>
        <w:t xml:space="preserve">the respective </w:t>
      </w:r>
      <w:r w:rsidRPr="00610904">
        <w:rPr>
          <w:noProof w:val="0"/>
          <w:spacing w:val="-2"/>
          <w:szCs w:val="20"/>
          <w:lang w:val="en-US"/>
        </w:rPr>
        <w:t>stigmas and discrimination.</w:t>
      </w:r>
      <w:r w:rsidR="003040F7" w:rsidRPr="00610904">
        <w:rPr>
          <w:rFonts w:cs="Times New Roman"/>
          <w:noProof w:val="0"/>
          <w:spacing w:val="-2"/>
          <w:szCs w:val="20"/>
          <w:vertAlign w:val="superscript"/>
          <w:lang w:val="en-US"/>
        </w:rPr>
        <w:footnoteReference w:id="407"/>
      </w:r>
      <w:r w:rsidRPr="00610904">
        <w:rPr>
          <w:noProof w:val="0"/>
          <w:spacing w:val="-2"/>
          <w:szCs w:val="20"/>
          <w:lang w:val="en-US"/>
        </w:rPr>
        <w:t xml:space="preserve"> In addition, the </w:t>
      </w:r>
      <w:r w:rsidR="003040F7" w:rsidRPr="00610904">
        <w:rPr>
          <w:noProof w:val="0"/>
          <w:spacing w:val="-2"/>
          <w:szCs w:val="20"/>
          <w:lang w:val="en-US"/>
        </w:rPr>
        <w:t>2013-2017</w:t>
      </w:r>
      <w:r w:rsidRPr="00610904">
        <w:rPr>
          <w:noProof w:val="0"/>
          <w:spacing w:val="-2"/>
          <w:szCs w:val="20"/>
          <w:lang w:val="en-US"/>
        </w:rPr>
        <w:t xml:space="preserve"> National Well-being </w:t>
      </w:r>
      <w:proofErr w:type="gramStart"/>
      <w:r w:rsidRPr="00610904">
        <w:rPr>
          <w:noProof w:val="0"/>
          <w:spacing w:val="-2"/>
          <w:szCs w:val="20"/>
          <w:lang w:val="en-US"/>
        </w:rPr>
        <w:t>Plan</w:t>
      </w:r>
      <w:proofErr w:type="gramEnd"/>
      <w:r w:rsidRPr="00610904">
        <w:rPr>
          <w:noProof w:val="0"/>
          <w:spacing w:val="-2"/>
          <w:szCs w:val="20"/>
          <w:lang w:val="en-US"/>
        </w:rPr>
        <w:t xml:space="preserve"> established “the implementation of mechanism</w:t>
      </w:r>
      <w:r w:rsidR="00C91069" w:rsidRPr="00610904">
        <w:rPr>
          <w:noProof w:val="0"/>
          <w:spacing w:val="-2"/>
          <w:szCs w:val="20"/>
          <w:lang w:val="en-US"/>
        </w:rPr>
        <w:t>s for the access to the education</w:t>
      </w:r>
      <w:r w:rsidRPr="00610904">
        <w:rPr>
          <w:noProof w:val="0"/>
          <w:spacing w:val="-2"/>
          <w:szCs w:val="20"/>
          <w:lang w:val="en-US"/>
        </w:rPr>
        <w:t xml:space="preserve"> system </w:t>
      </w:r>
      <w:r w:rsidR="00C91069" w:rsidRPr="00610904">
        <w:rPr>
          <w:noProof w:val="0"/>
          <w:spacing w:val="-2"/>
          <w:szCs w:val="20"/>
          <w:lang w:val="en-US"/>
        </w:rPr>
        <w:t>of</w:t>
      </w:r>
      <w:r w:rsidRPr="00610904">
        <w:rPr>
          <w:noProof w:val="0"/>
          <w:spacing w:val="-2"/>
          <w:szCs w:val="20"/>
          <w:lang w:val="en-US"/>
        </w:rPr>
        <w:t xml:space="preserve"> the population that has historically been isolated from this, and mechanisms to</w:t>
      </w:r>
      <w:r w:rsidR="00C91069" w:rsidRPr="00610904">
        <w:rPr>
          <w:noProof w:val="0"/>
          <w:spacing w:val="-2"/>
          <w:szCs w:val="20"/>
          <w:lang w:val="en-US"/>
        </w:rPr>
        <w:t xml:space="preserve"> reverse</w:t>
      </w:r>
      <w:r w:rsidRPr="00610904">
        <w:rPr>
          <w:noProof w:val="0"/>
          <w:spacing w:val="-2"/>
          <w:szCs w:val="20"/>
          <w:lang w:val="en-US"/>
        </w:rPr>
        <w:t xml:space="preserve"> </w:t>
      </w:r>
      <w:r w:rsidR="00C91069" w:rsidRPr="00610904">
        <w:rPr>
          <w:noProof w:val="0"/>
          <w:spacing w:val="-2"/>
          <w:szCs w:val="20"/>
          <w:lang w:val="en-US"/>
        </w:rPr>
        <w:t xml:space="preserve">and to </w:t>
      </w:r>
      <w:r w:rsidRPr="00610904">
        <w:rPr>
          <w:noProof w:val="0"/>
          <w:spacing w:val="-2"/>
          <w:szCs w:val="20"/>
          <w:lang w:val="en-US"/>
        </w:rPr>
        <w:t xml:space="preserve">prevent the reproduction of </w:t>
      </w:r>
      <w:r w:rsidRPr="00610904">
        <w:rPr>
          <w:noProof w:val="0"/>
          <w:spacing w:val="-2"/>
          <w:szCs w:val="20"/>
          <w:lang w:val="en-US"/>
        </w:rPr>
        <w:lastRenderedPageBreak/>
        <w:t>discriminatory and exclusionary practices wi</w:t>
      </w:r>
      <w:r w:rsidR="00C91069" w:rsidRPr="00610904">
        <w:rPr>
          <w:noProof w:val="0"/>
          <w:spacing w:val="-2"/>
          <w:szCs w:val="20"/>
          <w:lang w:val="en-US"/>
        </w:rPr>
        <w:t>thin and outside the education</w:t>
      </w:r>
      <w:r w:rsidRPr="00610904">
        <w:rPr>
          <w:noProof w:val="0"/>
          <w:spacing w:val="-2"/>
          <w:szCs w:val="20"/>
          <w:lang w:val="en-US"/>
        </w:rPr>
        <w:t xml:space="preserve"> system.</w:t>
      </w:r>
      <w:r w:rsidR="003040F7" w:rsidRPr="00610904">
        <w:rPr>
          <w:noProof w:val="0"/>
          <w:spacing w:val="-2"/>
          <w:szCs w:val="20"/>
          <w:lang w:val="en-US"/>
        </w:rPr>
        <w:t>”</w:t>
      </w:r>
      <w:r w:rsidR="003040F7" w:rsidRPr="00610904">
        <w:rPr>
          <w:rStyle w:val="FootnoteReference"/>
          <w:noProof w:val="0"/>
          <w:spacing w:val="-2"/>
          <w:lang w:val="en-US"/>
        </w:rPr>
        <w:footnoteReference w:id="408"/>
      </w:r>
      <w:r w:rsidR="003040F7" w:rsidRPr="00610904">
        <w:rPr>
          <w:noProof w:val="0"/>
          <w:spacing w:val="-2"/>
          <w:szCs w:val="20"/>
          <w:lang w:val="en-US"/>
        </w:rPr>
        <w:t xml:space="preserve"> </w:t>
      </w:r>
      <w:r w:rsidRPr="00610904">
        <w:rPr>
          <w:noProof w:val="0"/>
          <w:spacing w:val="-2"/>
          <w:szCs w:val="20"/>
          <w:lang w:val="en-US"/>
        </w:rPr>
        <w:t xml:space="preserve">Lastly, the </w:t>
      </w:r>
      <w:r w:rsidR="00567EC5" w:rsidRPr="00610904">
        <w:rPr>
          <w:noProof w:val="0"/>
          <w:spacing w:val="-2"/>
          <w:szCs w:val="20"/>
          <w:lang w:val="en-US"/>
        </w:rPr>
        <w:t>Law for the Prevention and Comprehensive Treatment of HIV/AIDS</w:t>
      </w:r>
      <w:r w:rsidRPr="00610904">
        <w:rPr>
          <w:noProof w:val="0"/>
          <w:lang w:val="en-US"/>
        </w:rPr>
        <w:t xml:space="preserve"> stipulates that “[n]o one shall be discriminated agai</w:t>
      </w:r>
      <w:r w:rsidR="00C91069" w:rsidRPr="00610904">
        <w:rPr>
          <w:noProof w:val="0"/>
          <w:lang w:val="en-US"/>
        </w:rPr>
        <w:t>nst because they are infected with</w:t>
      </w:r>
      <w:r w:rsidRPr="00610904">
        <w:rPr>
          <w:noProof w:val="0"/>
          <w:lang w:val="en-US"/>
        </w:rPr>
        <w:t xml:space="preserve"> </w:t>
      </w:r>
      <w:r w:rsidR="00A8072E" w:rsidRPr="00610904">
        <w:rPr>
          <w:noProof w:val="0"/>
          <w:spacing w:val="-2"/>
          <w:szCs w:val="20"/>
          <w:lang w:val="en-US"/>
        </w:rPr>
        <w:t>HIV</w:t>
      </w:r>
      <w:r w:rsidR="003040F7" w:rsidRPr="00610904">
        <w:rPr>
          <w:noProof w:val="0"/>
          <w:spacing w:val="-2"/>
          <w:szCs w:val="20"/>
          <w:lang w:val="en-US"/>
        </w:rPr>
        <w:t>/</w:t>
      </w:r>
      <w:r w:rsidR="00A8072E" w:rsidRPr="00610904">
        <w:rPr>
          <w:noProof w:val="0"/>
          <w:spacing w:val="-2"/>
          <w:szCs w:val="20"/>
          <w:lang w:val="en-US"/>
        </w:rPr>
        <w:t>AIDS</w:t>
      </w:r>
      <w:r w:rsidRPr="00610904">
        <w:rPr>
          <w:noProof w:val="0"/>
          <w:spacing w:val="-2"/>
          <w:szCs w:val="20"/>
          <w:lang w:val="en-US"/>
        </w:rPr>
        <w:t>.</w:t>
      </w:r>
      <w:r w:rsidR="003040F7" w:rsidRPr="00610904">
        <w:rPr>
          <w:noProof w:val="0"/>
          <w:spacing w:val="-2"/>
          <w:szCs w:val="20"/>
          <w:lang w:val="en-US"/>
        </w:rPr>
        <w:t>”</w:t>
      </w:r>
      <w:r w:rsidR="003040F7" w:rsidRPr="00610904">
        <w:rPr>
          <w:rFonts w:cs="Times New Roman"/>
          <w:noProof w:val="0"/>
          <w:spacing w:val="-2"/>
          <w:szCs w:val="20"/>
          <w:vertAlign w:val="superscript"/>
          <w:lang w:val="en-US"/>
        </w:rPr>
        <w:footnoteReference w:id="409"/>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strike/>
          <w:noProof w:val="0"/>
          <w:spacing w:val="-2"/>
          <w:szCs w:val="20"/>
          <w:lang w:val="en-US"/>
        </w:rPr>
      </w:pPr>
      <w:r w:rsidRPr="00610904">
        <w:rPr>
          <w:noProof w:val="0"/>
          <w:spacing w:val="-2"/>
          <w:szCs w:val="20"/>
          <w:lang w:val="en-US"/>
        </w:rPr>
        <w:t>The Court</w:t>
      </w:r>
      <w:r w:rsidR="00827F4C" w:rsidRPr="00610904">
        <w:rPr>
          <w:noProof w:val="0"/>
          <w:spacing w:val="-2"/>
          <w:szCs w:val="20"/>
          <w:lang w:val="en-US"/>
        </w:rPr>
        <w:t xml:space="preserve"> notes that, in this case,</w:t>
      </w:r>
      <w:r w:rsidR="003040F7" w:rsidRPr="00610904">
        <w:rPr>
          <w:noProof w:val="0"/>
          <w:spacing w:val="-2"/>
          <w:szCs w:val="20"/>
          <w:lang w:val="en-US"/>
        </w:rPr>
        <w:t xml:space="preserve"> </w:t>
      </w:r>
      <w:r w:rsidRPr="00610904">
        <w:rPr>
          <w:noProof w:val="0"/>
          <w:spacing w:val="-2"/>
          <w:szCs w:val="20"/>
          <w:lang w:val="en-US"/>
        </w:rPr>
        <w:t>the State</w:t>
      </w:r>
      <w:r w:rsidR="003040F7" w:rsidRPr="00610904">
        <w:rPr>
          <w:noProof w:val="0"/>
          <w:color w:val="00B050"/>
          <w:spacing w:val="-2"/>
          <w:szCs w:val="20"/>
          <w:lang w:val="en-US"/>
        </w:rPr>
        <w:t xml:space="preserve"> </w:t>
      </w:r>
      <w:r w:rsidR="003040F7" w:rsidRPr="00610904">
        <w:rPr>
          <w:noProof w:val="0"/>
          <w:spacing w:val="-2"/>
          <w:szCs w:val="20"/>
          <w:lang w:val="en-US"/>
        </w:rPr>
        <w:t>v</w:t>
      </w:r>
      <w:r w:rsidR="00827F4C" w:rsidRPr="00610904">
        <w:rPr>
          <w:noProof w:val="0"/>
          <w:spacing w:val="-2"/>
          <w:szCs w:val="20"/>
          <w:lang w:val="en-US"/>
        </w:rPr>
        <w:t>iolated Talía’s</w:t>
      </w:r>
      <w:r w:rsidR="0013395A" w:rsidRPr="00610904">
        <w:rPr>
          <w:noProof w:val="0"/>
          <w:spacing w:val="-2"/>
          <w:szCs w:val="20"/>
          <w:lang w:val="en-US"/>
        </w:rPr>
        <w:t xml:space="preserve"> right to education</w:t>
      </w:r>
      <w:r w:rsidR="00827F4C" w:rsidRPr="00610904">
        <w:rPr>
          <w:noProof w:val="0"/>
          <w:spacing w:val="-2"/>
          <w:szCs w:val="20"/>
          <w:lang w:val="en-US"/>
        </w:rPr>
        <w:t xml:space="preserve">, because she was expelled from school owing to her condition and because the State had not adapted the </w:t>
      </w:r>
      <w:r w:rsidR="001A2523" w:rsidRPr="00610904">
        <w:rPr>
          <w:noProof w:val="0"/>
          <w:spacing w:val="-2"/>
          <w:szCs w:val="20"/>
          <w:lang w:val="en-US"/>
        </w:rPr>
        <w:t>education system</w:t>
      </w:r>
      <w:r w:rsidR="00827F4C" w:rsidRPr="00610904">
        <w:rPr>
          <w:noProof w:val="0"/>
          <w:spacing w:val="-2"/>
          <w:szCs w:val="20"/>
          <w:lang w:val="en-US"/>
        </w:rPr>
        <w:t xml:space="preserve"> to her situation </w:t>
      </w:r>
      <w:r w:rsidR="003040F7" w:rsidRPr="00610904">
        <w:rPr>
          <w:noProof w:val="0"/>
          <w:spacing w:val="-2"/>
          <w:szCs w:val="20"/>
          <w:lang w:val="en-US"/>
        </w:rPr>
        <w:t>(</w:t>
      </w:r>
      <w:r w:rsidR="003040F7" w:rsidRPr="00610904">
        <w:rPr>
          <w:i/>
          <w:noProof w:val="0"/>
          <w:spacing w:val="-2"/>
          <w:szCs w:val="20"/>
          <w:lang w:val="en-US"/>
        </w:rPr>
        <w:t>supra</w:t>
      </w:r>
      <w:r w:rsidR="008B4F7D" w:rsidRPr="00610904">
        <w:rPr>
          <w:noProof w:val="0"/>
          <w:spacing w:val="-2"/>
          <w:szCs w:val="20"/>
          <w:lang w:val="en-US"/>
        </w:rPr>
        <w:t xml:space="preserve"> </w:t>
      </w:r>
      <w:r w:rsidR="006E502B" w:rsidRPr="00610904">
        <w:rPr>
          <w:noProof w:val="0"/>
          <w:spacing w:val="-2"/>
          <w:szCs w:val="20"/>
          <w:lang w:val="en-US"/>
        </w:rPr>
        <w:t>para.</w:t>
      </w:r>
      <w:r w:rsidR="008B4F7D" w:rsidRPr="00610904">
        <w:rPr>
          <w:noProof w:val="0"/>
          <w:spacing w:val="-2"/>
          <w:szCs w:val="20"/>
          <w:lang w:val="en-US"/>
        </w:rPr>
        <w:t xml:space="preserve"> 293</w:t>
      </w:r>
      <w:r w:rsidR="003040F7" w:rsidRPr="00610904">
        <w:rPr>
          <w:noProof w:val="0"/>
          <w:spacing w:val="-2"/>
          <w:szCs w:val="20"/>
          <w:lang w:val="en-US"/>
        </w:rPr>
        <w:t>)</w:t>
      </w:r>
      <w:r w:rsidR="00C07C1F" w:rsidRPr="00610904">
        <w:rPr>
          <w:noProof w:val="0"/>
          <w:spacing w:val="-2"/>
          <w:szCs w:val="20"/>
          <w:lang w:val="en-US"/>
        </w:rPr>
        <w:t>.</w:t>
      </w:r>
      <w:r w:rsidR="003040F7" w:rsidRPr="00610904">
        <w:rPr>
          <w:noProof w:val="0"/>
          <w:spacing w:val="-2"/>
          <w:szCs w:val="20"/>
          <w:lang w:val="en-US"/>
        </w:rPr>
        <w:t xml:space="preserve"> </w:t>
      </w:r>
      <w:r w:rsidR="00827F4C" w:rsidRPr="00610904">
        <w:rPr>
          <w:noProof w:val="0"/>
          <w:spacing w:val="-2"/>
          <w:szCs w:val="20"/>
          <w:lang w:val="en-US"/>
        </w:rPr>
        <w:t xml:space="preserve">However, the Court appreciates the efforts made by the State in order to guarantee non-discrimination in the educational sector. In view of the fact that </w:t>
      </w:r>
      <w:r w:rsidRPr="00610904">
        <w:rPr>
          <w:noProof w:val="0"/>
          <w:spacing w:val="-2"/>
          <w:szCs w:val="20"/>
          <w:lang w:val="en-US"/>
        </w:rPr>
        <w:t>the representatives</w:t>
      </w:r>
      <w:r w:rsidR="008A2211" w:rsidRPr="00610904">
        <w:rPr>
          <w:noProof w:val="0"/>
          <w:spacing w:val="-2"/>
          <w:szCs w:val="20"/>
          <w:lang w:val="en-US"/>
        </w:rPr>
        <w:t xml:space="preserve"> </w:t>
      </w:r>
      <w:r w:rsidR="00827F4C" w:rsidRPr="00610904">
        <w:rPr>
          <w:noProof w:val="0"/>
          <w:spacing w:val="-2"/>
          <w:szCs w:val="20"/>
          <w:lang w:val="en-US"/>
        </w:rPr>
        <w:t>did not present specific and concrete arguments on the insufficiency of these public policies</w:t>
      </w:r>
      <w:r w:rsidR="00C91069" w:rsidRPr="00610904">
        <w:rPr>
          <w:noProof w:val="0"/>
          <w:spacing w:val="-2"/>
          <w:szCs w:val="20"/>
          <w:lang w:val="en-US"/>
        </w:rPr>
        <w:t>, or on any</w:t>
      </w:r>
      <w:r w:rsidR="00827F4C" w:rsidRPr="00610904">
        <w:rPr>
          <w:noProof w:val="0"/>
          <w:spacing w:val="-2"/>
          <w:szCs w:val="20"/>
          <w:lang w:val="en-US"/>
        </w:rPr>
        <w:t xml:space="preserve"> problems in their implementation, the Court does not find it </w:t>
      </w:r>
      <w:r w:rsidR="00C91069" w:rsidRPr="00610904">
        <w:rPr>
          <w:noProof w:val="0"/>
          <w:spacing w:val="-2"/>
          <w:szCs w:val="20"/>
          <w:lang w:val="en-US"/>
        </w:rPr>
        <w:t>appropriate</w:t>
      </w:r>
      <w:r w:rsidR="00827F4C" w:rsidRPr="00610904">
        <w:rPr>
          <w:noProof w:val="0"/>
          <w:spacing w:val="-2"/>
          <w:szCs w:val="20"/>
          <w:lang w:val="en-US"/>
        </w:rPr>
        <w:t xml:space="preserve"> to order </w:t>
      </w:r>
      <w:proofErr w:type="gramStart"/>
      <w:r w:rsidR="00827F4C" w:rsidRPr="00610904">
        <w:rPr>
          <w:noProof w:val="0"/>
          <w:spacing w:val="-2"/>
          <w:szCs w:val="20"/>
          <w:lang w:val="en-US"/>
        </w:rPr>
        <w:t>a specific</w:t>
      </w:r>
      <w:proofErr w:type="gramEnd"/>
      <w:r w:rsidR="00827F4C" w:rsidRPr="00610904">
        <w:rPr>
          <w:noProof w:val="0"/>
          <w:spacing w:val="-2"/>
          <w:szCs w:val="20"/>
          <w:lang w:val="en-US"/>
        </w:rPr>
        <w:t xml:space="preserve"> reparation in this regard</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3040F7" w:rsidP="00610904">
      <w:pPr>
        <w:keepNext/>
        <w:keepLines/>
        <w:ind w:left="720"/>
        <w:outlineLvl w:val="1"/>
        <w:rPr>
          <w:rFonts w:eastAsia="Times New Roman" w:cs="Times New Roman"/>
          <w:b/>
          <w:bCs/>
          <w:i/>
          <w:noProof w:val="0"/>
          <w:szCs w:val="20"/>
          <w:lang w:val="en-US"/>
        </w:rPr>
      </w:pPr>
      <w:bookmarkStart w:id="180" w:name="_Toc426108486"/>
      <w:bookmarkStart w:id="181" w:name="_Toc443399132"/>
      <w:r w:rsidRPr="00610904">
        <w:rPr>
          <w:rFonts w:eastAsia="Times New Roman" w:cs="Times New Roman"/>
          <w:b/>
          <w:bCs/>
          <w:i/>
          <w:noProof w:val="0"/>
          <w:szCs w:val="20"/>
          <w:lang w:val="en-US"/>
        </w:rPr>
        <w:t xml:space="preserve">D. </w:t>
      </w:r>
      <w:r w:rsidR="007916C1" w:rsidRPr="00610904">
        <w:rPr>
          <w:rFonts w:eastAsia="Times New Roman" w:cs="Times New Roman"/>
          <w:b/>
          <w:bCs/>
          <w:i/>
          <w:noProof w:val="0"/>
          <w:szCs w:val="20"/>
          <w:lang w:val="en-US"/>
        </w:rPr>
        <w:t>Compensation</w:t>
      </w:r>
      <w:bookmarkEnd w:id="180"/>
      <w:bookmarkEnd w:id="181"/>
    </w:p>
    <w:p w:rsidR="003040F7" w:rsidRPr="00610904" w:rsidRDefault="003040F7" w:rsidP="00610904">
      <w:pPr>
        <w:rPr>
          <w:noProof w:val="0"/>
          <w:lang w:val="en-US"/>
        </w:rPr>
      </w:pPr>
    </w:p>
    <w:p w:rsidR="003040F7" w:rsidRPr="00610904" w:rsidRDefault="002F5BBA" w:rsidP="00610904">
      <w:pPr>
        <w:numPr>
          <w:ilvl w:val="0"/>
          <w:numId w:val="1"/>
        </w:numPr>
        <w:contextualSpacing/>
        <w:rPr>
          <w:noProof w:val="0"/>
          <w:spacing w:val="-2"/>
          <w:szCs w:val="20"/>
          <w:lang w:val="en-US"/>
        </w:rPr>
      </w:pPr>
      <w:r w:rsidRPr="00610904">
        <w:rPr>
          <w:noProof w:val="0"/>
          <w:spacing w:val="-2"/>
          <w:szCs w:val="20"/>
          <w:lang w:val="en-US"/>
        </w:rPr>
        <w:t>The Commission</w:t>
      </w:r>
      <w:r w:rsidR="003040F7" w:rsidRPr="00610904">
        <w:rPr>
          <w:b/>
          <w:i/>
          <w:noProof w:val="0"/>
          <w:szCs w:val="20"/>
          <w:lang w:val="en-US"/>
        </w:rPr>
        <w:t xml:space="preserve"> </w:t>
      </w:r>
      <w:r w:rsidR="007916C1" w:rsidRPr="00610904">
        <w:rPr>
          <w:noProof w:val="0"/>
          <w:szCs w:val="20"/>
          <w:lang w:val="en-US"/>
        </w:rPr>
        <w:t>asked</w:t>
      </w:r>
      <w:r w:rsidR="00FF3200" w:rsidRPr="00610904">
        <w:rPr>
          <w:noProof w:val="0"/>
          <w:szCs w:val="20"/>
          <w:lang w:val="en-US"/>
        </w:rPr>
        <w:t xml:space="preserve"> </w:t>
      </w:r>
      <w:r w:rsidR="009F3D78" w:rsidRPr="00610904">
        <w:rPr>
          <w:noProof w:val="0"/>
          <w:szCs w:val="20"/>
          <w:lang w:val="en-US"/>
        </w:rPr>
        <w:t>the Court</w:t>
      </w:r>
      <w:r w:rsidR="00C91069" w:rsidRPr="00610904">
        <w:rPr>
          <w:noProof w:val="0"/>
          <w:szCs w:val="20"/>
          <w:lang w:val="en-US"/>
        </w:rPr>
        <w:t>,</w:t>
      </w:r>
      <w:r w:rsidR="00FF3200" w:rsidRPr="00610904">
        <w:rPr>
          <w:noProof w:val="0"/>
          <w:szCs w:val="20"/>
          <w:lang w:val="en-US"/>
        </w:rPr>
        <w:t xml:space="preserve"> </w:t>
      </w:r>
      <w:r w:rsidR="007916C1" w:rsidRPr="00610904">
        <w:rPr>
          <w:noProof w:val="0"/>
          <w:szCs w:val="20"/>
          <w:lang w:val="en-US"/>
        </w:rPr>
        <w:t>in its</w:t>
      </w:r>
      <w:r w:rsidR="00FF3200" w:rsidRPr="00610904">
        <w:rPr>
          <w:noProof w:val="0"/>
          <w:szCs w:val="20"/>
          <w:lang w:val="en-US"/>
        </w:rPr>
        <w:t xml:space="preserve"> </w:t>
      </w:r>
      <w:r w:rsidR="006E502B" w:rsidRPr="00610904">
        <w:rPr>
          <w:noProof w:val="0"/>
          <w:szCs w:val="20"/>
          <w:lang w:val="en-US"/>
        </w:rPr>
        <w:t>Merits Report</w:t>
      </w:r>
      <w:r w:rsidR="00C91069" w:rsidRPr="00610904">
        <w:rPr>
          <w:noProof w:val="0"/>
          <w:szCs w:val="20"/>
          <w:lang w:val="en-US"/>
        </w:rPr>
        <w:t>,</w:t>
      </w:r>
      <w:r w:rsidR="007916C1" w:rsidRPr="00610904">
        <w:rPr>
          <w:noProof w:val="0"/>
          <w:szCs w:val="20"/>
          <w:lang w:val="en-US"/>
        </w:rPr>
        <w:t xml:space="preserve"> to provide full redress to </w:t>
      </w:r>
      <w:r w:rsidR="00CD3738" w:rsidRPr="00610904">
        <w:rPr>
          <w:noProof w:val="0"/>
          <w:szCs w:val="20"/>
          <w:lang w:val="en-US"/>
        </w:rPr>
        <w:t>Talía</w:t>
      </w:r>
      <w:r w:rsidR="003040F7" w:rsidRPr="00610904">
        <w:rPr>
          <w:noProof w:val="0"/>
          <w:szCs w:val="20"/>
          <w:lang w:val="en-US"/>
        </w:rPr>
        <w:t xml:space="preserve"> Gonzales Lluy</w:t>
      </w:r>
      <w:r w:rsidR="009F3D78" w:rsidRPr="00610904">
        <w:rPr>
          <w:noProof w:val="0"/>
          <w:szCs w:val="20"/>
          <w:lang w:val="en-US"/>
        </w:rPr>
        <w:t xml:space="preserve"> and </w:t>
      </w:r>
      <w:r w:rsidR="007916C1" w:rsidRPr="00610904">
        <w:rPr>
          <w:noProof w:val="0"/>
          <w:szCs w:val="20"/>
          <w:lang w:val="en-US"/>
        </w:rPr>
        <w:t>her mother for the human rights violatio</w:t>
      </w:r>
      <w:r w:rsidR="00C91069" w:rsidRPr="00610904">
        <w:rPr>
          <w:noProof w:val="0"/>
          <w:szCs w:val="20"/>
          <w:lang w:val="en-US"/>
        </w:rPr>
        <w:t xml:space="preserve">ns suffered, with regard to </w:t>
      </w:r>
      <w:r w:rsidR="007916C1" w:rsidRPr="00610904">
        <w:rPr>
          <w:noProof w:val="0"/>
          <w:szCs w:val="20"/>
          <w:lang w:val="en-US"/>
        </w:rPr>
        <w:t xml:space="preserve">both the pecuniary and </w:t>
      </w:r>
      <w:r w:rsidR="00C91069" w:rsidRPr="00610904">
        <w:rPr>
          <w:noProof w:val="0"/>
          <w:szCs w:val="20"/>
          <w:lang w:val="en-US"/>
        </w:rPr>
        <w:t xml:space="preserve">the </w:t>
      </w:r>
      <w:r w:rsidR="007916C1" w:rsidRPr="00610904">
        <w:rPr>
          <w:noProof w:val="0"/>
          <w:szCs w:val="20"/>
          <w:lang w:val="en-US"/>
        </w:rPr>
        <w:t xml:space="preserve">non-pecuniary aspects.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noProof w:val="0"/>
          <w:spacing w:val="-2"/>
          <w:szCs w:val="20"/>
          <w:lang w:val="en-US"/>
        </w:rPr>
        <w:t xml:space="preserve">, </w:t>
      </w:r>
      <w:r w:rsidR="007916C1" w:rsidRPr="00610904">
        <w:rPr>
          <w:noProof w:val="0"/>
          <w:spacing w:val="-2"/>
          <w:szCs w:val="20"/>
          <w:lang w:val="en-US"/>
        </w:rPr>
        <w:t>in their</w:t>
      </w:r>
      <w:r w:rsidR="003040F7" w:rsidRPr="00610904">
        <w:rPr>
          <w:noProof w:val="0"/>
          <w:spacing w:val="-2"/>
          <w:szCs w:val="20"/>
          <w:lang w:val="en-US"/>
        </w:rPr>
        <w:t xml:space="preserve"> </w:t>
      </w:r>
      <w:r w:rsidR="00A8072E" w:rsidRPr="00610904">
        <w:rPr>
          <w:noProof w:val="0"/>
          <w:spacing w:val="-2"/>
          <w:szCs w:val="20"/>
          <w:lang w:val="en-US"/>
        </w:rPr>
        <w:t>final written arguments</w:t>
      </w:r>
      <w:r w:rsidR="003040F7" w:rsidRPr="00610904">
        <w:rPr>
          <w:noProof w:val="0"/>
          <w:spacing w:val="-2"/>
          <w:szCs w:val="20"/>
          <w:lang w:val="en-US"/>
        </w:rPr>
        <w:t xml:space="preserve">, </w:t>
      </w:r>
      <w:r w:rsidR="007916C1" w:rsidRPr="00610904">
        <w:rPr>
          <w:noProof w:val="0"/>
          <w:spacing w:val="-2"/>
          <w:szCs w:val="20"/>
          <w:lang w:val="en-US"/>
        </w:rPr>
        <w:t>emphasized that the reparation should take into consideration Talía’s entire life.</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b/>
          <w:i/>
          <w:noProof w:val="0"/>
          <w:szCs w:val="20"/>
          <w:lang w:val="en-US"/>
        </w:rPr>
        <w:t xml:space="preserve"> </w:t>
      </w:r>
      <w:r w:rsidR="00DF7AC2" w:rsidRPr="00610904">
        <w:rPr>
          <w:noProof w:val="0"/>
          <w:szCs w:val="20"/>
          <w:lang w:val="en-US"/>
        </w:rPr>
        <w:t xml:space="preserve">indicated that it was “contrary to the nature of the [inter-American] system that </w:t>
      </w:r>
      <w:r w:rsidRPr="00610904">
        <w:rPr>
          <w:noProof w:val="0"/>
          <w:szCs w:val="20"/>
          <w:lang w:val="en-US"/>
        </w:rPr>
        <w:t>the representatives</w:t>
      </w:r>
      <w:r w:rsidR="003040F7" w:rsidRPr="00610904">
        <w:rPr>
          <w:noProof w:val="0"/>
          <w:szCs w:val="20"/>
          <w:lang w:val="en-US"/>
        </w:rPr>
        <w:t xml:space="preserve"> tr</w:t>
      </w:r>
      <w:r w:rsidR="00DF7AC2" w:rsidRPr="00610904">
        <w:rPr>
          <w:noProof w:val="0"/>
          <w:szCs w:val="20"/>
          <w:lang w:val="en-US"/>
        </w:rPr>
        <w:t xml:space="preserve">y to obtain excessive financial benefits” and asked the Court to reject the amount claimed by </w:t>
      </w:r>
      <w:r w:rsidRPr="00610904">
        <w:rPr>
          <w:noProof w:val="0"/>
          <w:szCs w:val="20"/>
          <w:lang w:val="en-US"/>
        </w:rPr>
        <w:t>the representatives</w:t>
      </w:r>
      <w:r w:rsidR="003040F7" w:rsidRPr="00610904">
        <w:rPr>
          <w:noProof w:val="0"/>
          <w:szCs w:val="20"/>
          <w:lang w:val="en-US"/>
        </w:rPr>
        <w:t xml:space="preserve"> </w:t>
      </w:r>
      <w:r w:rsidR="00391F07" w:rsidRPr="00610904">
        <w:rPr>
          <w:noProof w:val="0"/>
          <w:szCs w:val="20"/>
          <w:lang w:val="en-US"/>
        </w:rPr>
        <w:t>in this case.</w:t>
      </w:r>
      <w:r w:rsidR="003040F7" w:rsidRPr="00610904">
        <w:rPr>
          <w:noProof w:val="0"/>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3040F7" w:rsidP="00610904">
      <w:pPr>
        <w:pStyle w:val="Heading3"/>
        <w:rPr>
          <w:noProof w:val="0"/>
          <w:lang w:val="en-US"/>
        </w:rPr>
      </w:pPr>
      <w:bookmarkStart w:id="182" w:name="_Toc443399133"/>
      <w:r w:rsidRPr="00610904">
        <w:rPr>
          <w:noProof w:val="0"/>
          <w:lang w:val="en-US"/>
        </w:rPr>
        <w:t>D.1)</w:t>
      </w:r>
      <w:r w:rsidRPr="00610904">
        <w:rPr>
          <w:noProof w:val="0"/>
          <w:lang w:val="en-US"/>
        </w:rPr>
        <w:tab/>
      </w:r>
      <w:r w:rsidR="00830022" w:rsidRPr="00610904">
        <w:rPr>
          <w:noProof w:val="0"/>
          <w:lang w:val="en-US"/>
        </w:rPr>
        <w:t>Pecuniary damage</w:t>
      </w:r>
      <w:bookmarkEnd w:id="182"/>
    </w:p>
    <w:p w:rsidR="003040F7" w:rsidRPr="00610904" w:rsidRDefault="003040F7" w:rsidP="00610904">
      <w:pPr>
        <w:ind w:left="720"/>
        <w:contextualSpacing/>
        <w:rPr>
          <w:b/>
          <w:noProof w:val="0"/>
          <w:spacing w:val="-2"/>
          <w:lang w:val="en-US"/>
        </w:rPr>
      </w:pPr>
    </w:p>
    <w:p w:rsidR="003040F7" w:rsidRPr="00610904" w:rsidRDefault="00882CCC" w:rsidP="00610904">
      <w:pPr>
        <w:ind w:left="720"/>
        <w:contextualSpacing/>
        <w:rPr>
          <w:i/>
          <w:noProof w:val="0"/>
          <w:lang w:val="en-US"/>
        </w:rPr>
      </w:pPr>
      <w:r w:rsidRPr="00610904">
        <w:rPr>
          <w:i/>
          <w:noProof w:val="0"/>
          <w:lang w:val="en-US"/>
        </w:rPr>
        <w:t>Arguments</w:t>
      </w:r>
      <w:r w:rsidR="003040F7" w:rsidRPr="00610904">
        <w:rPr>
          <w:i/>
          <w:noProof w:val="0"/>
          <w:lang w:val="en-US"/>
        </w:rPr>
        <w:t xml:space="preserve"> </w:t>
      </w:r>
      <w:r w:rsidR="00B45E43" w:rsidRPr="00610904">
        <w:rPr>
          <w:i/>
          <w:noProof w:val="0"/>
          <w:lang w:val="en-US"/>
        </w:rPr>
        <w:t>of the parties</w:t>
      </w:r>
      <w:r w:rsidR="009F3D78" w:rsidRPr="00610904">
        <w:rPr>
          <w:i/>
          <w:noProof w:val="0"/>
          <w:lang w:val="en-US"/>
        </w:rPr>
        <w:t xml:space="preserve"> and</w:t>
      </w:r>
      <w:r w:rsidR="003309BE" w:rsidRPr="00610904">
        <w:rPr>
          <w:i/>
          <w:noProof w:val="0"/>
          <w:lang w:val="en-US"/>
        </w:rPr>
        <w:t xml:space="preserve"> of the </w:t>
      </w:r>
      <w:r w:rsidR="002F5BBA" w:rsidRPr="00610904">
        <w:rPr>
          <w:i/>
          <w:noProof w:val="0"/>
          <w:lang w:val="en-US"/>
        </w:rPr>
        <w:t>Commission</w:t>
      </w:r>
    </w:p>
    <w:p w:rsidR="003040F7" w:rsidRPr="00610904" w:rsidRDefault="003040F7" w:rsidP="00610904">
      <w:pPr>
        <w:rPr>
          <w:b/>
          <w:noProof w:val="0"/>
          <w:spacing w:val="-2"/>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DF7AC2" w:rsidRPr="00610904">
        <w:rPr>
          <w:noProof w:val="0"/>
          <w:spacing w:val="-2"/>
          <w:szCs w:val="20"/>
          <w:lang w:val="en-US"/>
        </w:rPr>
        <w:t xml:space="preserve"> pointed out that the victims in this case had “suffered and continue to suffer losses” and failed to perceiv</w:t>
      </w:r>
      <w:r w:rsidR="00567EC5" w:rsidRPr="00610904">
        <w:rPr>
          <w:noProof w:val="0"/>
          <w:spacing w:val="-2"/>
          <w:szCs w:val="20"/>
          <w:lang w:val="en-US"/>
        </w:rPr>
        <w:t>e earning, and this constituted</w:t>
      </w:r>
      <w:r w:rsidR="003040F7" w:rsidRPr="00610904">
        <w:rPr>
          <w:noProof w:val="0"/>
          <w:spacing w:val="-2"/>
          <w:szCs w:val="20"/>
          <w:lang w:val="en-US"/>
        </w:rPr>
        <w:t xml:space="preserve"> </w:t>
      </w:r>
      <w:r w:rsidR="00830022" w:rsidRPr="00610904">
        <w:rPr>
          <w:noProof w:val="0"/>
          <w:spacing w:val="-2"/>
          <w:szCs w:val="20"/>
          <w:lang w:val="en-US"/>
        </w:rPr>
        <w:t>pecuniary damage</w:t>
      </w:r>
      <w:r w:rsidR="003040F7" w:rsidRPr="00610904">
        <w:rPr>
          <w:noProof w:val="0"/>
          <w:spacing w:val="-2"/>
          <w:szCs w:val="20"/>
          <w:lang w:val="en-US"/>
        </w:rPr>
        <w:t xml:space="preserve"> </w:t>
      </w:r>
      <w:r w:rsidR="00DF7AC2" w:rsidRPr="00610904">
        <w:rPr>
          <w:noProof w:val="0"/>
          <w:spacing w:val="-2"/>
          <w:szCs w:val="20"/>
          <w:lang w:val="en-US"/>
        </w:rPr>
        <w:t>that must be re</w:t>
      </w:r>
      <w:r w:rsidR="00567EC5" w:rsidRPr="00610904">
        <w:rPr>
          <w:noProof w:val="0"/>
          <w:spacing w:val="-2"/>
          <w:szCs w:val="20"/>
          <w:lang w:val="en-US"/>
        </w:rPr>
        <w:t>dressed</w:t>
      </w:r>
      <w:r w:rsidR="00DF7AC2" w:rsidRPr="00610904">
        <w:rPr>
          <w:noProof w:val="0"/>
          <w:spacing w:val="-2"/>
          <w:szCs w:val="20"/>
          <w:lang w:val="en-US"/>
        </w:rPr>
        <w:t xml:space="preserve">. </w:t>
      </w:r>
      <w:r w:rsidR="00567EC5" w:rsidRPr="00610904">
        <w:rPr>
          <w:noProof w:val="0"/>
          <w:spacing w:val="-2"/>
          <w:szCs w:val="20"/>
          <w:lang w:val="en-US"/>
        </w:rPr>
        <w:t>In this regard,</w:t>
      </w:r>
      <w:r w:rsidR="00DF7AC2" w:rsidRPr="00610904">
        <w:rPr>
          <w:noProof w:val="0"/>
          <w:spacing w:val="-2"/>
          <w:szCs w:val="20"/>
          <w:lang w:val="en-US"/>
        </w:rPr>
        <w:t xml:space="preserve"> they indicated that the victims had incurred different health-related expenses since Talía became ill, </w:t>
      </w:r>
      <w:r w:rsidR="00567EC5" w:rsidRPr="00610904">
        <w:rPr>
          <w:noProof w:val="0"/>
          <w:spacing w:val="-2"/>
          <w:szCs w:val="20"/>
          <w:lang w:val="en-US"/>
        </w:rPr>
        <w:t>and these</w:t>
      </w:r>
      <w:r w:rsidR="00DF7AC2" w:rsidRPr="00610904">
        <w:rPr>
          <w:noProof w:val="0"/>
          <w:spacing w:val="-2"/>
          <w:szCs w:val="20"/>
          <w:lang w:val="en-US"/>
        </w:rPr>
        <w:t xml:space="preserve"> included the cost of reagents charged by</w:t>
      </w:r>
      <w:r w:rsidR="003040F7" w:rsidRPr="00610904">
        <w:rPr>
          <w:noProof w:val="0"/>
          <w:spacing w:val="-2"/>
          <w:szCs w:val="20"/>
          <w:lang w:val="en-US"/>
        </w:rPr>
        <w:t xml:space="preserve"> </w:t>
      </w:r>
      <w:r w:rsidR="00A8072E" w:rsidRPr="00610904">
        <w:rPr>
          <w:noProof w:val="0"/>
          <w:spacing w:val="-2"/>
          <w:szCs w:val="20"/>
          <w:lang w:val="en-US"/>
        </w:rPr>
        <w:t>the Red Cross</w:t>
      </w:r>
      <w:r w:rsidR="00DF7AC2" w:rsidRPr="00610904">
        <w:rPr>
          <w:noProof w:val="0"/>
          <w:spacing w:val="-2"/>
          <w:szCs w:val="20"/>
          <w:lang w:val="en-US"/>
        </w:rPr>
        <w:t>;</w:t>
      </w:r>
      <w:r w:rsidR="003040F7" w:rsidRPr="00610904">
        <w:rPr>
          <w:rFonts w:cs="Times New Roman"/>
          <w:noProof w:val="0"/>
          <w:spacing w:val="-2"/>
          <w:szCs w:val="20"/>
          <w:vertAlign w:val="superscript"/>
          <w:lang w:val="en-US"/>
        </w:rPr>
        <w:footnoteReference w:id="410"/>
      </w:r>
      <w:r w:rsidR="00DF7AC2" w:rsidRPr="00610904">
        <w:rPr>
          <w:noProof w:val="0"/>
          <w:spacing w:val="-2"/>
          <w:szCs w:val="20"/>
          <w:lang w:val="en-US"/>
        </w:rPr>
        <w:t xml:space="preserve"> routine tests and special foods for </w:t>
      </w:r>
      <w:r w:rsidR="00CD3738" w:rsidRPr="00610904">
        <w:rPr>
          <w:noProof w:val="0"/>
          <w:spacing w:val="-2"/>
          <w:szCs w:val="20"/>
          <w:lang w:val="en-US"/>
        </w:rPr>
        <w:t>Talía</w:t>
      </w:r>
      <w:r w:rsidR="00DF7AC2" w:rsidRPr="00610904">
        <w:rPr>
          <w:noProof w:val="0"/>
          <w:spacing w:val="-2"/>
          <w:szCs w:val="20"/>
          <w:lang w:val="en-US"/>
        </w:rPr>
        <w:t>;</w:t>
      </w:r>
      <w:r w:rsidR="003040F7" w:rsidRPr="00610904">
        <w:rPr>
          <w:rFonts w:cs="Times New Roman"/>
          <w:noProof w:val="0"/>
          <w:spacing w:val="-2"/>
          <w:szCs w:val="20"/>
          <w:vertAlign w:val="superscript"/>
          <w:lang w:val="en-US"/>
        </w:rPr>
        <w:footnoteReference w:id="411"/>
      </w:r>
      <w:r w:rsidR="003040F7" w:rsidRPr="00610904">
        <w:rPr>
          <w:noProof w:val="0"/>
          <w:spacing w:val="-2"/>
          <w:szCs w:val="20"/>
          <w:lang w:val="en-US"/>
        </w:rPr>
        <w:t xml:space="preserve"> </w:t>
      </w:r>
      <w:r w:rsidR="00DF7AC2" w:rsidRPr="00610904">
        <w:rPr>
          <w:noProof w:val="0"/>
          <w:spacing w:val="-2"/>
          <w:szCs w:val="20"/>
          <w:lang w:val="en-US"/>
        </w:rPr>
        <w:t>the expenses of transportation to</w:t>
      </w:r>
      <w:r w:rsidR="003040F7" w:rsidRPr="00610904">
        <w:rPr>
          <w:noProof w:val="0"/>
          <w:spacing w:val="-2"/>
          <w:szCs w:val="20"/>
          <w:lang w:val="en-US"/>
        </w:rPr>
        <w:t xml:space="preserve"> Quito </w:t>
      </w:r>
      <w:r w:rsidR="00DF7AC2" w:rsidRPr="00610904">
        <w:rPr>
          <w:noProof w:val="0"/>
          <w:spacing w:val="-2"/>
          <w:szCs w:val="20"/>
          <w:lang w:val="en-US"/>
        </w:rPr>
        <w:t>from 2001 to</w:t>
      </w:r>
      <w:r w:rsidR="003040F7" w:rsidRPr="00610904">
        <w:rPr>
          <w:noProof w:val="0"/>
          <w:spacing w:val="-2"/>
          <w:szCs w:val="20"/>
          <w:lang w:val="en-US"/>
        </w:rPr>
        <w:t xml:space="preserve"> 2014; </w:t>
      </w:r>
      <w:r w:rsidR="00567EC5" w:rsidRPr="00610904">
        <w:rPr>
          <w:noProof w:val="0"/>
          <w:spacing w:val="-2"/>
          <w:szCs w:val="20"/>
          <w:lang w:val="en-US"/>
        </w:rPr>
        <w:t>performing</w:t>
      </w:r>
      <w:r w:rsidR="00DF7AC2" w:rsidRPr="00610904">
        <w:rPr>
          <w:noProof w:val="0"/>
          <w:spacing w:val="-2"/>
          <w:szCs w:val="20"/>
          <w:lang w:val="en-US"/>
        </w:rPr>
        <w:t xml:space="preserve"> the viral genotype test for the </w:t>
      </w:r>
      <w:r w:rsidR="00567EC5" w:rsidRPr="00610904">
        <w:rPr>
          <w:noProof w:val="0"/>
          <w:spacing w:val="-2"/>
          <w:szCs w:val="20"/>
          <w:lang w:val="en-US"/>
        </w:rPr>
        <w:t>proceedings</w:t>
      </w:r>
      <w:r w:rsidR="00DF7AC2" w:rsidRPr="00610904">
        <w:rPr>
          <w:noProof w:val="0"/>
          <w:spacing w:val="-2"/>
          <w:szCs w:val="20"/>
          <w:lang w:val="en-US"/>
        </w:rPr>
        <w:t>;</w:t>
      </w:r>
      <w:r w:rsidR="003040F7" w:rsidRPr="00610904">
        <w:rPr>
          <w:rFonts w:cs="Times New Roman"/>
          <w:noProof w:val="0"/>
          <w:spacing w:val="-2"/>
          <w:szCs w:val="20"/>
          <w:vertAlign w:val="superscript"/>
          <w:lang w:val="en-US"/>
        </w:rPr>
        <w:footnoteReference w:id="412"/>
      </w:r>
      <w:r w:rsidR="003040F7" w:rsidRPr="00610904">
        <w:rPr>
          <w:noProof w:val="0"/>
          <w:spacing w:val="-2"/>
          <w:szCs w:val="20"/>
          <w:lang w:val="en-US"/>
        </w:rPr>
        <w:t xml:space="preserve"> </w:t>
      </w:r>
      <w:r w:rsidR="00DF7AC2" w:rsidRPr="00610904">
        <w:rPr>
          <w:noProof w:val="0"/>
          <w:spacing w:val="-2"/>
          <w:szCs w:val="20"/>
          <w:lang w:val="en-US"/>
        </w:rPr>
        <w:t xml:space="preserve">airfares between </w:t>
      </w:r>
      <w:r w:rsidR="0088750E" w:rsidRPr="00610904">
        <w:rPr>
          <w:noProof w:val="0"/>
          <w:spacing w:val="-2"/>
          <w:szCs w:val="20"/>
          <w:lang w:val="en-US"/>
        </w:rPr>
        <w:t>Cuenca</w:t>
      </w:r>
      <w:r w:rsidR="003040F7" w:rsidRPr="00610904">
        <w:rPr>
          <w:noProof w:val="0"/>
          <w:spacing w:val="-2"/>
          <w:szCs w:val="20"/>
          <w:lang w:val="en-US"/>
        </w:rPr>
        <w:t xml:space="preserve"> a</w:t>
      </w:r>
      <w:r w:rsidR="00DF7AC2" w:rsidRPr="00610904">
        <w:rPr>
          <w:noProof w:val="0"/>
          <w:spacing w:val="-2"/>
          <w:szCs w:val="20"/>
          <w:lang w:val="en-US"/>
        </w:rPr>
        <w:t>nd</w:t>
      </w:r>
      <w:r w:rsidR="003040F7" w:rsidRPr="00610904">
        <w:rPr>
          <w:noProof w:val="0"/>
          <w:spacing w:val="-2"/>
          <w:szCs w:val="20"/>
          <w:lang w:val="en-US"/>
        </w:rPr>
        <w:t xml:space="preserve"> Quito</w:t>
      </w:r>
      <w:r w:rsidR="00DF7AC2" w:rsidRPr="00610904">
        <w:rPr>
          <w:noProof w:val="0"/>
          <w:spacing w:val="-2"/>
          <w:szCs w:val="20"/>
          <w:lang w:val="en-US"/>
        </w:rPr>
        <w:t>;</w:t>
      </w:r>
      <w:r w:rsidR="003040F7" w:rsidRPr="00610904">
        <w:rPr>
          <w:rFonts w:cs="Times New Roman"/>
          <w:noProof w:val="0"/>
          <w:spacing w:val="-2"/>
          <w:szCs w:val="20"/>
          <w:vertAlign w:val="superscript"/>
          <w:lang w:val="en-US"/>
        </w:rPr>
        <w:footnoteReference w:id="413"/>
      </w:r>
      <w:r w:rsidR="003040F7" w:rsidRPr="00610904">
        <w:rPr>
          <w:noProof w:val="0"/>
          <w:spacing w:val="-2"/>
          <w:szCs w:val="20"/>
          <w:lang w:val="en-US"/>
        </w:rPr>
        <w:t xml:space="preserve"> </w:t>
      </w:r>
      <w:r w:rsidR="00DF7AC2" w:rsidRPr="00610904">
        <w:rPr>
          <w:noProof w:val="0"/>
          <w:spacing w:val="-2"/>
          <w:szCs w:val="20"/>
          <w:lang w:val="en-US"/>
        </w:rPr>
        <w:t>nutrit</w:t>
      </w:r>
      <w:r w:rsidR="003040F7" w:rsidRPr="00610904">
        <w:rPr>
          <w:noProof w:val="0"/>
          <w:spacing w:val="-2"/>
          <w:szCs w:val="20"/>
          <w:lang w:val="en-US"/>
        </w:rPr>
        <w:t>ional</w:t>
      </w:r>
      <w:r w:rsidR="00DF7AC2" w:rsidRPr="00610904">
        <w:rPr>
          <w:noProof w:val="0"/>
          <w:spacing w:val="-2"/>
          <w:szCs w:val="20"/>
          <w:lang w:val="en-US"/>
        </w:rPr>
        <w:t xml:space="preserve"> supplement</w:t>
      </w:r>
      <w:r w:rsidR="003040F7" w:rsidRPr="00610904">
        <w:rPr>
          <w:noProof w:val="0"/>
          <w:spacing w:val="-2"/>
          <w:szCs w:val="20"/>
          <w:lang w:val="en-US"/>
        </w:rPr>
        <w:t>s</w:t>
      </w:r>
      <w:r w:rsidR="00DF7AC2" w:rsidRPr="00610904">
        <w:rPr>
          <w:noProof w:val="0"/>
          <w:spacing w:val="-2"/>
          <w:szCs w:val="20"/>
          <w:lang w:val="en-US"/>
        </w:rPr>
        <w:t>;</w:t>
      </w:r>
      <w:r w:rsidR="003040F7" w:rsidRPr="00610904">
        <w:rPr>
          <w:rFonts w:cs="Times New Roman"/>
          <w:noProof w:val="0"/>
          <w:spacing w:val="-2"/>
          <w:szCs w:val="20"/>
          <w:vertAlign w:val="superscript"/>
          <w:lang w:val="en-US"/>
        </w:rPr>
        <w:footnoteReference w:id="414"/>
      </w:r>
      <w:r w:rsidR="003040F7" w:rsidRPr="00610904">
        <w:rPr>
          <w:noProof w:val="0"/>
          <w:spacing w:val="-2"/>
          <w:szCs w:val="20"/>
          <w:lang w:val="en-US"/>
        </w:rPr>
        <w:t xml:space="preserve"> </w:t>
      </w:r>
      <w:r w:rsidR="00DF7AC2" w:rsidRPr="00610904">
        <w:rPr>
          <w:noProof w:val="0"/>
          <w:spacing w:val="-2"/>
          <w:szCs w:val="20"/>
          <w:lang w:val="en-US"/>
        </w:rPr>
        <w:t>hospitalization expenses;</w:t>
      </w:r>
      <w:r w:rsidR="003040F7" w:rsidRPr="00610904">
        <w:rPr>
          <w:rFonts w:cs="Times New Roman"/>
          <w:noProof w:val="0"/>
          <w:spacing w:val="-2"/>
          <w:szCs w:val="20"/>
          <w:vertAlign w:val="superscript"/>
          <w:lang w:val="en-US"/>
        </w:rPr>
        <w:footnoteReference w:id="415"/>
      </w:r>
      <w:r w:rsidR="00DF7AC2" w:rsidRPr="00610904">
        <w:rPr>
          <w:noProof w:val="0"/>
          <w:spacing w:val="-2"/>
          <w:szCs w:val="20"/>
          <w:lang w:val="en-US"/>
        </w:rPr>
        <w:t xml:space="preserve"> tests for opportunistic infections;</w:t>
      </w:r>
      <w:r w:rsidR="003040F7" w:rsidRPr="00610904">
        <w:rPr>
          <w:rFonts w:cs="Times New Roman"/>
          <w:noProof w:val="0"/>
          <w:spacing w:val="-2"/>
          <w:szCs w:val="20"/>
          <w:vertAlign w:val="superscript"/>
          <w:lang w:val="en-US"/>
        </w:rPr>
        <w:footnoteReference w:id="416"/>
      </w:r>
      <w:r w:rsidR="003040F7" w:rsidRPr="00610904">
        <w:rPr>
          <w:noProof w:val="0"/>
          <w:spacing w:val="-2"/>
          <w:szCs w:val="20"/>
          <w:lang w:val="en-US"/>
        </w:rPr>
        <w:t xml:space="preserve"> CD4</w:t>
      </w:r>
      <w:r w:rsidRPr="00610904">
        <w:rPr>
          <w:noProof w:val="0"/>
          <w:spacing w:val="-2"/>
          <w:szCs w:val="20"/>
          <w:lang w:val="en-US"/>
        </w:rPr>
        <w:t xml:space="preserve"> and </w:t>
      </w:r>
      <w:r w:rsidR="003040F7" w:rsidRPr="00610904">
        <w:rPr>
          <w:noProof w:val="0"/>
          <w:spacing w:val="-2"/>
          <w:szCs w:val="20"/>
          <w:lang w:val="en-US"/>
        </w:rPr>
        <w:t>CD8</w:t>
      </w:r>
      <w:r w:rsidR="00DF7AC2" w:rsidRPr="00610904">
        <w:rPr>
          <w:noProof w:val="0"/>
          <w:spacing w:val="-2"/>
          <w:szCs w:val="20"/>
          <w:lang w:val="en-US"/>
        </w:rPr>
        <w:t xml:space="preserve"> viral load tests,</w:t>
      </w:r>
      <w:r w:rsidR="003040F7" w:rsidRPr="00610904">
        <w:rPr>
          <w:rFonts w:cs="Times New Roman"/>
          <w:noProof w:val="0"/>
          <w:spacing w:val="-2"/>
          <w:szCs w:val="20"/>
          <w:vertAlign w:val="superscript"/>
          <w:lang w:val="en-US"/>
        </w:rPr>
        <w:footnoteReference w:id="417"/>
      </w:r>
      <w:r w:rsidRPr="00610904">
        <w:rPr>
          <w:noProof w:val="0"/>
          <w:spacing w:val="-2"/>
          <w:szCs w:val="20"/>
          <w:lang w:val="en-US"/>
        </w:rPr>
        <w:t xml:space="preserve"> and</w:t>
      </w:r>
      <w:r w:rsidR="00DF7AC2" w:rsidRPr="00610904">
        <w:rPr>
          <w:noProof w:val="0"/>
          <w:spacing w:val="-2"/>
          <w:szCs w:val="20"/>
          <w:lang w:val="en-US"/>
        </w:rPr>
        <w:t xml:space="preserve"> treatments with </w:t>
      </w:r>
      <w:r w:rsidR="00DF7AC2" w:rsidRPr="00610904">
        <w:rPr>
          <w:noProof w:val="0"/>
          <w:spacing w:val="-2"/>
          <w:szCs w:val="20"/>
          <w:lang w:val="en-US"/>
        </w:rPr>
        <w:lastRenderedPageBreak/>
        <w:t>pharmaceuticals.</w:t>
      </w:r>
      <w:r w:rsidR="003040F7" w:rsidRPr="00610904">
        <w:rPr>
          <w:rFonts w:cs="Times New Roman"/>
          <w:noProof w:val="0"/>
          <w:spacing w:val="-2"/>
          <w:szCs w:val="20"/>
          <w:vertAlign w:val="superscript"/>
          <w:lang w:val="en-US"/>
        </w:rPr>
        <w:footnoteReference w:id="418"/>
      </w:r>
      <w:r w:rsidR="003040F7" w:rsidRPr="00610904">
        <w:rPr>
          <w:noProof w:val="0"/>
          <w:spacing w:val="-2"/>
          <w:szCs w:val="20"/>
          <w:lang w:val="en-US"/>
        </w:rPr>
        <w:t xml:space="preserve"> </w:t>
      </w:r>
      <w:r w:rsidR="00DF7AC2" w:rsidRPr="00610904">
        <w:rPr>
          <w:noProof w:val="0"/>
          <w:spacing w:val="-2"/>
          <w:szCs w:val="20"/>
          <w:lang w:val="en-US"/>
        </w:rPr>
        <w:t>In addition, they asked that the Court take into consideration the cost of “the necessary psychological therapy for each member of the Lluy family,” and calculated the health-related expenditure at approximately US$</w:t>
      </w:r>
      <w:r w:rsidR="003040F7" w:rsidRPr="00610904">
        <w:rPr>
          <w:noProof w:val="0"/>
          <w:spacing w:val="-2"/>
          <w:szCs w:val="20"/>
          <w:lang w:val="en-US"/>
        </w:rPr>
        <w:t>90</w:t>
      </w:r>
      <w:r w:rsidR="007916C1" w:rsidRPr="00610904">
        <w:rPr>
          <w:noProof w:val="0"/>
          <w:spacing w:val="-2"/>
          <w:szCs w:val="20"/>
          <w:lang w:val="en-US"/>
        </w:rPr>
        <w:t>,000.00</w:t>
      </w:r>
      <w:r w:rsidR="003040F7" w:rsidRPr="00610904">
        <w:rPr>
          <w:noProof w:val="0"/>
          <w:spacing w:val="-2"/>
          <w:szCs w:val="20"/>
          <w:lang w:val="en-US"/>
        </w:rPr>
        <w:t xml:space="preserve"> (n</w:t>
      </w:r>
      <w:r w:rsidR="00DF7AC2" w:rsidRPr="00610904">
        <w:rPr>
          <w:noProof w:val="0"/>
          <w:spacing w:val="-2"/>
          <w:szCs w:val="20"/>
          <w:lang w:val="en-US"/>
        </w:rPr>
        <w:t>inety</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DF7AC2" w:rsidP="00610904">
      <w:pPr>
        <w:numPr>
          <w:ilvl w:val="0"/>
          <w:numId w:val="1"/>
        </w:numPr>
        <w:contextualSpacing/>
        <w:rPr>
          <w:noProof w:val="0"/>
          <w:spacing w:val="-2"/>
          <w:szCs w:val="20"/>
          <w:lang w:val="en-US"/>
        </w:rPr>
      </w:pPr>
      <w:r w:rsidRPr="00610904">
        <w:rPr>
          <w:noProof w:val="0"/>
          <w:spacing w:val="-2"/>
          <w:szCs w:val="20"/>
          <w:lang w:val="en-US"/>
        </w:rPr>
        <w:t>Furthermore</w:t>
      </w:r>
      <w:r w:rsidR="003040F7" w:rsidRPr="00610904">
        <w:rPr>
          <w:noProof w:val="0"/>
          <w:spacing w:val="-2"/>
          <w:szCs w:val="20"/>
          <w:lang w:val="en-US"/>
        </w:rPr>
        <w:t xml:space="preserve">, </w:t>
      </w:r>
      <w:r w:rsidR="009F3D78" w:rsidRPr="00610904">
        <w:rPr>
          <w:noProof w:val="0"/>
          <w:spacing w:val="-2"/>
          <w:szCs w:val="20"/>
          <w:lang w:val="en-US"/>
        </w:rPr>
        <w:t>the representatives</w:t>
      </w:r>
      <w:r w:rsidR="003040F7" w:rsidRPr="00610904">
        <w:rPr>
          <w:noProof w:val="0"/>
          <w:spacing w:val="-2"/>
          <w:szCs w:val="20"/>
          <w:lang w:val="en-US"/>
        </w:rPr>
        <w:t xml:space="preserve"> </w:t>
      </w:r>
      <w:r w:rsidRPr="00610904">
        <w:rPr>
          <w:noProof w:val="0"/>
          <w:spacing w:val="-2"/>
          <w:szCs w:val="20"/>
          <w:lang w:val="en-US"/>
        </w:rPr>
        <w:t>affirmed that the Lluy family had to take out loans in order to cover the costs of “health care and subsistence expenses.” They indicated that Teresa Lluy had to repay debts to “friends, cooperatives, banks and moneylenders (</w:t>
      </w:r>
      <w:r w:rsidRPr="00610904">
        <w:rPr>
          <w:i/>
          <w:noProof w:val="0"/>
          <w:spacing w:val="-2"/>
          <w:szCs w:val="20"/>
          <w:lang w:val="en-US"/>
        </w:rPr>
        <w:t>chulqueros</w:t>
      </w:r>
      <w:r w:rsidRPr="00610904">
        <w:rPr>
          <w:noProof w:val="0"/>
          <w:spacing w:val="-2"/>
          <w:szCs w:val="20"/>
          <w:lang w:val="en-US"/>
        </w:rPr>
        <w:t>),</w:t>
      </w:r>
      <w:r w:rsidR="003040F7" w:rsidRPr="00610904">
        <w:rPr>
          <w:noProof w:val="0"/>
          <w:spacing w:val="-2"/>
          <w:szCs w:val="20"/>
          <w:lang w:val="en-US"/>
        </w:rPr>
        <w:t>”</w:t>
      </w:r>
      <w:r w:rsidR="003040F7" w:rsidRPr="00610904">
        <w:rPr>
          <w:rFonts w:cs="Times New Roman"/>
          <w:noProof w:val="0"/>
          <w:spacing w:val="-2"/>
          <w:szCs w:val="20"/>
          <w:vertAlign w:val="superscript"/>
          <w:lang w:val="en-US"/>
        </w:rPr>
        <w:footnoteReference w:id="419"/>
      </w:r>
      <w:r w:rsidRPr="00610904">
        <w:rPr>
          <w:noProof w:val="0"/>
          <w:spacing w:val="-2"/>
          <w:szCs w:val="20"/>
          <w:lang w:val="en-US"/>
        </w:rPr>
        <w:t xml:space="preserve"> which have amounted to US$</w:t>
      </w:r>
      <w:r w:rsidR="003040F7" w:rsidRPr="00610904">
        <w:rPr>
          <w:noProof w:val="0"/>
          <w:spacing w:val="-2"/>
          <w:szCs w:val="20"/>
          <w:lang w:val="en-US"/>
        </w:rPr>
        <w:t>148</w:t>
      </w:r>
      <w:r w:rsidR="007916C1" w:rsidRPr="00610904">
        <w:rPr>
          <w:noProof w:val="0"/>
          <w:spacing w:val="-2"/>
          <w:szCs w:val="20"/>
          <w:lang w:val="en-US"/>
        </w:rPr>
        <w:t>,000.00</w:t>
      </w:r>
      <w:r w:rsidR="003040F7" w:rsidRPr="00610904">
        <w:rPr>
          <w:noProof w:val="0"/>
          <w:spacing w:val="-2"/>
          <w:szCs w:val="20"/>
          <w:lang w:val="en-US"/>
        </w:rPr>
        <w:t xml:space="preserve"> (</w:t>
      </w:r>
      <w:r w:rsidRPr="00610904">
        <w:rPr>
          <w:noProof w:val="0"/>
          <w:spacing w:val="-2"/>
          <w:szCs w:val="20"/>
          <w:lang w:val="en-US"/>
        </w:rPr>
        <w:t xml:space="preserve">one </w:t>
      </w:r>
      <w:r w:rsidR="00856968" w:rsidRPr="00610904">
        <w:rPr>
          <w:noProof w:val="0"/>
          <w:spacing w:val="-2"/>
          <w:szCs w:val="20"/>
          <w:lang w:val="en-US"/>
        </w:rPr>
        <w:t>hundred</w:t>
      </w:r>
      <w:r w:rsidRPr="00610904">
        <w:rPr>
          <w:noProof w:val="0"/>
          <w:spacing w:val="-2"/>
          <w:szCs w:val="20"/>
          <w:lang w:val="en-US"/>
        </w:rPr>
        <w:t xml:space="preserve"> and forty-eight</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Pr="00610904">
        <w:rPr>
          <w:noProof w:val="0"/>
          <w:spacing w:val="-2"/>
          <w:szCs w:val="20"/>
          <w:lang w:val="en-US"/>
        </w:rPr>
        <w:t xml:space="preserve">They argued that, owing to the human rights violations suffered by the family, </w:t>
      </w:r>
      <w:r w:rsidR="003040F7" w:rsidRPr="00610904">
        <w:rPr>
          <w:noProof w:val="0"/>
          <w:spacing w:val="-2"/>
          <w:szCs w:val="20"/>
          <w:lang w:val="en-US"/>
        </w:rPr>
        <w:t xml:space="preserve">Teresa Lluy </w:t>
      </w:r>
      <w:r w:rsidRPr="00610904">
        <w:rPr>
          <w:noProof w:val="0"/>
          <w:spacing w:val="-2"/>
          <w:szCs w:val="20"/>
          <w:lang w:val="en-US"/>
        </w:rPr>
        <w:t>failed to earn around US$</w:t>
      </w:r>
      <w:r w:rsidR="00547817" w:rsidRPr="00610904">
        <w:rPr>
          <w:noProof w:val="0"/>
          <w:spacing w:val="-2"/>
          <w:szCs w:val="20"/>
          <w:lang w:val="en-US"/>
        </w:rPr>
        <w:t>11</w:t>
      </w:r>
      <w:r w:rsidR="003040F7" w:rsidRPr="00610904">
        <w:rPr>
          <w:noProof w:val="0"/>
          <w:spacing w:val="-2"/>
          <w:szCs w:val="20"/>
          <w:lang w:val="en-US"/>
        </w:rPr>
        <w:t>7</w:t>
      </w:r>
      <w:r w:rsidR="007916C1" w:rsidRPr="00610904">
        <w:rPr>
          <w:noProof w:val="0"/>
          <w:spacing w:val="-2"/>
          <w:szCs w:val="20"/>
          <w:lang w:val="en-US"/>
        </w:rPr>
        <w:t>,000.00</w:t>
      </w:r>
      <w:r w:rsidR="003040F7" w:rsidRPr="00610904">
        <w:rPr>
          <w:noProof w:val="0"/>
          <w:spacing w:val="-2"/>
          <w:szCs w:val="20"/>
          <w:lang w:val="en-US"/>
        </w:rPr>
        <w:t xml:space="preserve"> (</w:t>
      </w:r>
      <w:r w:rsidRPr="00610904">
        <w:rPr>
          <w:noProof w:val="0"/>
          <w:spacing w:val="-2"/>
          <w:szCs w:val="20"/>
          <w:lang w:val="en-US"/>
        </w:rPr>
        <w:t>one hundred and seventeen</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Pr="00610904">
        <w:rPr>
          <w:noProof w:val="0"/>
          <w:spacing w:val="-2"/>
          <w:szCs w:val="20"/>
          <w:lang w:val="en-US"/>
        </w:rPr>
        <w:t xml:space="preserve">a sum arrived at by “multiplying the remuneration that she received before the violation, subtracting what she now earns on average, and multiplying </w:t>
      </w:r>
      <w:r w:rsidR="00567EC5" w:rsidRPr="00610904">
        <w:rPr>
          <w:noProof w:val="0"/>
          <w:spacing w:val="-2"/>
          <w:szCs w:val="20"/>
          <w:lang w:val="en-US"/>
        </w:rPr>
        <w:t xml:space="preserve">the result </w:t>
      </w:r>
      <w:r w:rsidRPr="00610904">
        <w:rPr>
          <w:noProof w:val="0"/>
          <w:spacing w:val="-2"/>
          <w:szCs w:val="20"/>
          <w:lang w:val="en-US"/>
        </w:rPr>
        <w:t>by the number of years that have passed.</w:t>
      </w:r>
      <w:r w:rsidR="003040F7" w:rsidRPr="00610904">
        <w:rPr>
          <w:noProof w:val="0"/>
          <w:spacing w:val="-2"/>
          <w:szCs w:val="20"/>
          <w:lang w:val="en-US"/>
        </w:rPr>
        <w:t>”</w:t>
      </w:r>
      <w:r w:rsidR="003040F7" w:rsidRPr="00610904">
        <w:rPr>
          <w:rFonts w:cs="Times New Roman"/>
          <w:noProof w:val="0"/>
          <w:spacing w:val="-2"/>
          <w:szCs w:val="20"/>
          <w:vertAlign w:val="superscript"/>
          <w:lang w:val="en-US"/>
        </w:rPr>
        <w:footnoteReference w:id="420"/>
      </w:r>
      <w:r w:rsidR="003040F7" w:rsidRPr="00610904">
        <w:rPr>
          <w:noProof w:val="0"/>
          <w:spacing w:val="-2"/>
          <w:szCs w:val="20"/>
          <w:lang w:val="en-US"/>
        </w:rPr>
        <w:t xml:space="preserve"> </w:t>
      </w:r>
      <w:r w:rsidR="00567EC5" w:rsidRPr="00610904">
        <w:rPr>
          <w:noProof w:val="0"/>
          <w:spacing w:val="-2"/>
          <w:szCs w:val="20"/>
          <w:lang w:val="en-US"/>
        </w:rPr>
        <w:t xml:space="preserve">They also </w:t>
      </w:r>
      <w:r w:rsidRPr="00610904">
        <w:rPr>
          <w:noProof w:val="0"/>
          <w:spacing w:val="-2"/>
          <w:szCs w:val="20"/>
          <w:lang w:val="en-US"/>
        </w:rPr>
        <w:t>asked that the Court take into consideration the sworn statements and testimony presented to the Court as evidence of the expenses that cou</w:t>
      </w:r>
      <w:r w:rsidR="00567EC5" w:rsidRPr="00610904">
        <w:rPr>
          <w:noProof w:val="0"/>
          <w:spacing w:val="-2"/>
          <w:szCs w:val="20"/>
          <w:lang w:val="en-US"/>
        </w:rPr>
        <w:t>ld not be proved with documents,</w:t>
      </w:r>
      <w:r w:rsidRPr="00610904">
        <w:rPr>
          <w:noProof w:val="0"/>
          <w:spacing w:val="-2"/>
          <w:szCs w:val="20"/>
          <w:lang w:val="en-US"/>
        </w:rPr>
        <w:t xml:space="preserve"> and that the Court consider t</w:t>
      </w:r>
      <w:r w:rsidR="00567EC5" w:rsidRPr="00610904">
        <w:rPr>
          <w:noProof w:val="0"/>
          <w:spacing w:val="-2"/>
          <w:szCs w:val="20"/>
          <w:lang w:val="en-US"/>
        </w:rPr>
        <w:t>hat the pecuniary damage extended</w:t>
      </w:r>
      <w:r w:rsidRPr="00610904">
        <w:rPr>
          <w:noProof w:val="0"/>
          <w:spacing w:val="-2"/>
          <w:szCs w:val="20"/>
          <w:lang w:val="en-US"/>
        </w:rPr>
        <w:t xml:space="preserve"> over time and will continue even after judgment has been handed down.</w:t>
      </w:r>
    </w:p>
    <w:p w:rsidR="003040F7" w:rsidRPr="00610904" w:rsidRDefault="003040F7" w:rsidP="00610904">
      <w:pPr>
        <w:contextualSpacing/>
        <w:rPr>
          <w:noProof w:val="0"/>
          <w:spacing w:val="-2"/>
          <w:szCs w:val="20"/>
          <w:lang w:val="en-US"/>
        </w:rPr>
      </w:pPr>
    </w:p>
    <w:p w:rsidR="003040F7" w:rsidRPr="00610904" w:rsidRDefault="007916C1" w:rsidP="00610904">
      <w:pPr>
        <w:numPr>
          <w:ilvl w:val="0"/>
          <w:numId w:val="1"/>
        </w:numPr>
        <w:contextualSpacing/>
        <w:rPr>
          <w:noProof w:val="0"/>
          <w:spacing w:val="-2"/>
          <w:szCs w:val="20"/>
          <w:lang w:val="en-US"/>
        </w:rPr>
      </w:pPr>
      <w:r w:rsidRPr="00610904">
        <w:rPr>
          <w:noProof w:val="0"/>
          <w:spacing w:val="-2"/>
          <w:szCs w:val="20"/>
          <w:lang w:val="en-US"/>
        </w:rPr>
        <w:t>Consequently</w:t>
      </w:r>
      <w:r w:rsidR="003040F7" w:rsidRPr="00610904">
        <w:rPr>
          <w:noProof w:val="0"/>
          <w:spacing w:val="-2"/>
          <w:szCs w:val="20"/>
          <w:lang w:val="en-US"/>
        </w:rPr>
        <w:t xml:space="preserve">, </w:t>
      </w:r>
      <w:r w:rsidR="009F3D78" w:rsidRPr="00610904">
        <w:rPr>
          <w:noProof w:val="0"/>
          <w:spacing w:val="-2"/>
          <w:szCs w:val="20"/>
          <w:lang w:val="en-US"/>
        </w:rPr>
        <w:t>the representatives</w:t>
      </w:r>
      <w:r w:rsidR="003040F7" w:rsidRPr="00610904">
        <w:rPr>
          <w:noProof w:val="0"/>
          <w:spacing w:val="-2"/>
          <w:szCs w:val="20"/>
          <w:lang w:val="en-US"/>
        </w:rPr>
        <w:t xml:space="preserve"> </w:t>
      </w:r>
      <w:r w:rsidRPr="00610904">
        <w:rPr>
          <w:noProof w:val="0"/>
          <w:spacing w:val="-2"/>
          <w:szCs w:val="20"/>
          <w:lang w:val="en-US"/>
        </w:rPr>
        <w:t xml:space="preserve">requested compensation for </w:t>
      </w:r>
      <w:r w:rsidR="00830022" w:rsidRPr="00610904">
        <w:rPr>
          <w:noProof w:val="0"/>
          <w:spacing w:val="-2"/>
          <w:szCs w:val="20"/>
          <w:lang w:val="en-US"/>
        </w:rPr>
        <w:t>pecuniary damage</w:t>
      </w:r>
      <w:r w:rsidR="003040F7" w:rsidRPr="00610904">
        <w:rPr>
          <w:noProof w:val="0"/>
          <w:spacing w:val="-2"/>
          <w:szCs w:val="20"/>
          <w:lang w:val="en-US"/>
        </w:rPr>
        <w:t xml:space="preserve"> </w:t>
      </w:r>
      <w:r w:rsidRPr="00610904">
        <w:rPr>
          <w:noProof w:val="0"/>
          <w:spacing w:val="-2"/>
          <w:szCs w:val="20"/>
          <w:lang w:val="en-US"/>
        </w:rPr>
        <w:t>of US$1,</w:t>
      </w:r>
      <w:r w:rsidR="003040F7" w:rsidRPr="00610904">
        <w:rPr>
          <w:noProof w:val="0"/>
          <w:spacing w:val="-2"/>
          <w:szCs w:val="20"/>
          <w:lang w:val="en-US"/>
        </w:rPr>
        <w:t>500</w:t>
      </w:r>
      <w:r w:rsidRPr="00610904">
        <w:rPr>
          <w:noProof w:val="0"/>
          <w:spacing w:val="-2"/>
          <w:szCs w:val="20"/>
          <w:lang w:val="en-US"/>
        </w:rPr>
        <w:t>,000.00</w:t>
      </w:r>
      <w:r w:rsidR="003040F7" w:rsidRPr="00610904">
        <w:rPr>
          <w:noProof w:val="0"/>
          <w:spacing w:val="-2"/>
          <w:szCs w:val="20"/>
          <w:lang w:val="en-US"/>
        </w:rPr>
        <w:t xml:space="preserve"> (</w:t>
      </w:r>
      <w:r w:rsidRPr="00610904">
        <w:rPr>
          <w:noProof w:val="0"/>
          <w:spacing w:val="-2"/>
          <w:szCs w:val="20"/>
          <w:lang w:val="en-US"/>
        </w:rPr>
        <w:t>one million five hundred</w:t>
      </w:r>
      <w:r w:rsidR="003040F7" w:rsidRPr="00610904">
        <w:rPr>
          <w:noProof w:val="0"/>
          <w:spacing w:val="-2"/>
          <w:szCs w:val="20"/>
          <w:lang w:val="en-US"/>
        </w:rPr>
        <w:t xml:space="preserve"> </w:t>
      </w:r>
      <w:r w:rsidRPr="00610904">
        <w:rPr>
          <w:noProof w:val="0"/>
          <w:spacing w:val="-2"/>
          <w:szCs w:val="20"/>
          <w:lang w:val="en-US"/>
        </w:rPr>
        <w:t>thousand United States dollars</w:t>
      </w:r>
      <w:r w:rsidR="003040F7" w:rsidRPr="00610904">
        <w:rPr>
          <w:noProof w:val="0"/>
          <w:spacing w:val="-2"/>
          <w:szCs w:val="20"/>
          <w:lang w:val="en-US"/>
        </w:rPr>
        <w:t xml:space="preserve">) </w:t>
      </w:r>
      <w:r w:rsidRPr="00610904">
        <w:rPr>
          <w:noProof w:val="0"/>
          <w:spacing w:val="-2"/>
          <w:szCs w:val="20"/>
          <w:lang w:val="en-US"/>
        </w:rPr>
        <w:t xml:space="preserve">for </w:t>
      </w:r>
      <w:r w:rsidR="00CD3738" w:rsidRPr="00610904">
        <w:rPr>
          <w:noProof w:val="0"/>
          <w:spacing w:val="-2"/>
          <w:szCs w:val="20"/>
          <w:lang w:val="en-US"/>
        </w:rPr>
        <w:t>Talía</w:t>
      </w:r>
      <w:r w:rsidRPr="00610904">
        <w:rPr>
          <w:noProof w:val="0"/>
          <w:spacing w:val="-2"/>
          <w:szCs w:val="20"/>
          <w:lang w:val="en-US"/>
        </w:rPr>
        <w:t xml:space="preserve"> Gonzales Lluy; US$1,</w:t>
      </w:r>
      <w:r w:rsidR="003040F7" w:rsidRPr="00610904">
        <w:rPr>
          <w:noProof w:val="0"/>
          <w:spacing w:val="-2"/>
          <w:szCs w:val="20"/>
          <w:lang w:val="en-US"/>
        </w:rPr>
        <w:t>000</w:t>
      </w:r>
      <w:r w:rsidRPr="00610904">
        <w:rPr>
          <w:noProof w:val="0"/>
          <w:spacing w:val="-2"/>
          <w:szCs w:val="20"/>
          <w:lang w:val="en-US"/>
        </w:rPr>
        <w:t>,000.00</w:t>
      </w:r>
      <w:r w:rsidR="003040F7" w:rsidRPr="00610904">
        <w:rPr>
          <w:noProof w:val="0"/>
          <w:spacing w:val="-2"/>
          <w:szCs w:val="20"/>
          <w:lang w:val="en-US"/>
        </w:rPr>
        <w:t xml:space="preserve"> (</w:t>
      </w:r>
      <w:r w:rsidRPr="00610904">
        <w:rPr>
          <w:noProof w:val="0"/>
          <w:spacing w:val="-2"/>
          <w:szCs w:val="20"/>
          <w:lang w:val="en-US"/>
        </w:rPr>
        <w:t>one million</w:t>
      </w:r>
      <w:r w:rsidR="003040F7" w:rsidRPr="00610904">
        <w:rPr>
          <w:noProof w:val="0"/>
          <w:spacing w:val="-2"/>
          <w:szCs w:val="20"/>
          <w:lang w:val="en-US"/>
        </w:rPr>
        <w:t xml:space="preserve"> </w:t>
      </w:r>
      <w:r w:rsidRPr="00610904">
        <w:rPr>
          <w:noProof w:val="0"/>
          <w:spacing w:val="-2"/>
          <w:szCs w:val="20"/>
          <w:lang w:val="en-US"/>
        </w:rPr>
        <w:t>United States dollars</w:t>
      </w:r>
      <w:r w:rsidR="003040F7" w:rsidRPr="00610904">
        <w:rPr>
          <w:noProof w:val="0"/>
          <w:spacing w:val="-2"/>
          <w:szCs w:val="20"/>
          <w:lang w:val="en-US"/>
        </w:rPr>
        <w:t xml:space="preserve">) </w:t>
      </w:r>
      <w:r w:rsidRPr="00610904">
        <w:rPr>
          <w:noProof w:val="0"/>
          <w:spacing w:val="-2"/>
          <w:szCs w:val="20"/>
          <w:lang w:val="en-US"/>
        </w:rPr>
        <w:t>for</w:t>
      </w:r>
      <w:r w:rsidR="003040F7" w:rsidRPr="00610904">
        <w:rPr>
          <w:noProof w:val="0"/>
          <w:spacing w:val="-2"/>
          <w:szCs w:val="20"/>
          <w:lang w:val="en-US"/>
        </w:rPr>
        <w:t xml:space="preserve"> Teresa Lluy,</w:t>
      </w:r>
      <w:r w:rsidR="009F3D78" w:rsidRPr="00610904">
        <w:rPr>
          <w:noProof w:val="0"/>
          <w:spacing w:val="-2"/>
          <w:szCs w:val="20"/>
          <w:lang w:val="en-US"/>
        </w:rPr>
        <w:t xml:space="preserve"> and </w:t>
      </w:r>
      <w:r w:rsidRPr="00610904">
        <w:rPr>
          <w:noProof w:val="0"/>
          <w:spacing w:val="-2"/>
          <w:szCs w:val="20"/>
          <w:lang w:val="en-US"/>
        </w:rPr>
        <w:t>US$</w:t>
      </w:r>
      <w:r w:rsidR="003040F7" w:rsidRPr="00610904">
        <w:rPr>
          <w:noProof w:val="0"/>
          <w:spacing w:val="-2"/>
          <w:szCs w:val="20"/>
          <w:lang w:val="en-US"/>
        </w:rPr>
        <w:t>750</w:t>
      </w:r>
      <w:r w:rsidRPr="00610904">
        <w:rPr>
          <w:noProof w:val="0"/>
          <w:spacing w:val="-2"/>
          <w:szCs w:val="20"/>
          <w:lang w:val="en-US"/>
        </w:rPr>
        <w:t>,000.00</w:t>
      </w:r>
      <w:r w:rsidR="003040F7" w:rsidRPr="00610904">
        <w:rPr>
          <w:noProof w:val="0"/>
          <w:spacing w:val="-2"/>
          <w:szCs w:val="20"/>
          <w:lang w:val="en-US"/>
        </w:rPr>
        <w:t xml:space="preserve"> (</w:t>
      </w:r>
      <w:r w:rsidRPr="00610904">
        <w:rPr>
          <w:noProof w:val="0"/>
          <w:spacing w:val="-2"/>
          <w:szCs w:val="20"/>
          <w:lang w:val="en-US"/>
        </w:rPr>
        <w:t>seven hundred and fifty</w:t>
      </w:r>
      <w:r w:rsidR="003040F7" w:rsidRPr="00610904">
        <w:rPr>
          <w:noProof w:val="0"/>
          <w:spacing w:val="-2"/>
          <w:szCs w:val="20"/>
          <w:lang w:val="en-US"/>
        </w:rPr>
        <w:t xml:space="preserve"> </w:t>
      </w:r>
      <w:r w:rsidRPr="00610904">
        <w:rPr>
          <w:noProof w:val="0"/>
          <w:spacing w:val="-2"/>
          <w:szCs w:val="20"/>
          <w:lang w:val="en-US"/>
        </w:rPr>
        <w:t>thousand United States dollars</w:t>
      </w:r>
      <w:r w:rsidR="003040F7" w:rsidRPr="00610904">
        <w:rPr>
          <w:noProof w:val="0"/>
          <w:spacing w:val="-2"/>
          <w:szCs w:val="20"/>
          <w:lang w:val="en-US"/>
        </w:rPr>
        <w:t xml:space="preserve">) </w:t>
      </w:r>
      <w:r w:rsidRPr="00610904">
        <w:rPr>
          <w:noProof w:val="0"/>
          <w:spacing w:val="-2"/>
          <w:szCs w:val="20"/>
          <w:lang w:val="en-US"/>
        </w:rPr>
        <w:t>for</w:t>
      </w:r>
      <w:r w:rsidR="005550B0" w:rsidRPr="00610904">
        <w:rPr>
          <w:noProof w:val="0"/>
          <w:spacing w:val="-2"/>
          <w:szCs w:val="20"/>
          <w:lang w:val="en-US"/>
        </w:rPr>
        <w:t xml:space="preserve"> Iván</w:t>
      </w:r>
      <w:r w:rsidR="003040F7" w:rsidRPr="00610904">
        <w:rPr>
          <w:noProof w:val="0"/>
          <w:spacing w:val="-2"/>
          <w:szCs w:val="20"/>
          <w:lang w:val="en-US"/>
        </w:rPr>
        <w:t xml:space="preserve"> Lluy.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noProof w:val="0"/>
          <w:spacing w:val="-2"/>
          <w:szCs w:val="20"/>
          <w:lang w:val="en-US"/>
        </w:rPr>
        <w:t xml:space="preserve"> al</w:t>
      </w:r>
      <w:r w:rsidR="00BA0151" w:rsidRPr="00610904">
        <w:rPr>
          <w:noProof w:val="0"/>
          <w:spacing w:val="-2"/>
          <w:szCs w:val="20"/>
          <w:lang w:val="en-US"/>
        </w:rPr>
        <w:t>leged that the</w:t>
      </w:r>
      <w:r w:rsidR="00567EC5" w:rsidRPr="00610904">
        <w:rPr>
          <w:noProof w:val="0"/>
          <w:spacing w:val="-2"/>
          <w:szCs w:val="20"/>
          <w:lang w:val="en-US"/>
        </w:rPr>
        <w:t xml:space="preserve"> Court could not assess the</w:t>
      </w:r>
      <w:r w:rsidR="00BA0151" w:rsidRPr="00610904">
        <w:rPr>
          <w:noProof w:val="0"/>
          <w:spacing w:val="-2"/>
          <w:szCs w:val="20"/>
          <w:lang w:val="en-US"/>
        </w:rPr>
        <w:t xml:space="preserve"> information provided by </w:t>
      </w:r>
      <w:r w:rsidRPr="00610904">
        <w:rPr>
          <w:noProof w:val="0"/>
          <w:spacing w:val="-2"/>
          <w:szCs w:val="20"/>
          <w:lang w:val="en-US"/>
        </w:rPr>
        <w:t>the presumed victims</w:t>
      </w:r>
      <w:r w:rsidR="003040F7" w:rsidRPr="00610904">
        <w:rPr>
          <w:noProof w:val="0"/>
          <w:spacing w:val="-2"/>
          <w:szCs w:val="20"/>
          <w:lang w:val="en-US"/>
        </w:rPr>
        <w:t xml:space="preserve"> </w:t>
      </w:r>
      <w:r w:rsidR="00BA0151" w:rsidRPr="00610904">
        <w:rPr>
          <w:noProof w:val="0"/>
          <w:spacing w:val="-2"/>
          <w:szCs w:val="20"/>
          <w:lang w:val="en-US"/>
        </w:rPr>
        <w:t>appropriately, since it related to sworn statements, “some illegible invoices, [and] insufficient document</w:t>
      </w:r>
      <w:r w:rsidR="00567EC5" w:rsidRPr="00610904">
        <w:rPr>
          <w:noProof w:val="0"/>
          <w:spacing w:val="-2"/>
          <w:szCs w:val="20"/>
          <w:lang w:val="en-US"/>
        </w:rPr>
        <w:t>ation to calculate the items correctl</w:t>
      </w:r>
      <w:r w:rsidR="00BA0151" w:rsidRPr="00610904">
        <w:rPr>
          <w:noProof w:val="0"/>
          <w:spacing w:val="-2"/>
          <w:szCs w:val="20"/>
          <w:lang w:val="en-US"/>
        </w:rPr>
        <w:t xml:space="preserve">y.” In particular, regarding the </w:t>
      </w:r>
      <w:r w:rsidR="00830022" w:rsidRPr="00610904">
        <w:rPr>
          <w:noProof w:val="0"/>
          <w:spacing w:val="-2"/>
          <w:szCs w:val="20"/>
          <w:lang w:val="en-US"/>
        </w:rPr>
        <w:t>pecuniary damage</w:t>
      </w:r>
      <w:r w:rsidR="003040F7" w:rsidRPr="00610904">
        <w:rPr>
          <w:noProof w:val="0"/>
          <w:spacing w:val="-2"/>
          <w:szCs w:val="20"/>
          <w:lang w:val="en-US"/>
        </w:rPr>
        <w:t xml:space="preserve"> </w:t>
      </w:r>
      <w:r w:rsidR="00BA0151" w:rsidRPr="00610904">
        <w:rPr>
          <w:noProof w:val="0"/>
          <w:spacing w:val="-2"/>
          <w:szCs w:val="20"/>
          <w:lang w:val="en-US"/>
        </w:rPr>
        <w:t>requested for</w:t>
      </w:r>
      <w:r w:rsidR="003040F7" w:rsidRPr="00610904">
        <w:rPr>
          <w:noProof w:val="0"/>
          <w:spacing w:val="-2"/>
          <w:szCs w:val="20"/>
          <w:lang w:val="en-US"/>
        </w:rPr>
        <w:t xml:space="preserve"> </w:t>
      </w:r>
      <w:r w:rsidR="00CD3738" w:rsidRPr="00610904">
        <w:rPr>
          <w:noProof w:val="0"/>
          <w:spacing w:val="-2"/>
          <w:szCs w:val="20"/>
          <w:lang w:val="en-US"/>
        </w:rPr>
        <w:t>Talía</w:t>
      </w:r>
      <w:r w:rsidR="003040F7" w:rsidRPr="00610904">
        <w:rPr>
          <w:noProof w:val="0"/>
          <w:spacing w:val="-2"/>
          <w:szCs w:val="20"/>
          <w:lang w:val="en-US"/>
        </w:rPr>
        <w:t xml:space="preserve"> Gonzales, </w:t>
      </w:r>
      <w:r w:rsidRPr="00610904">
        <w:rPr>
          <w:noProof w:val="0"/>
          <w:spacing w:val="-2"/>
          <w:szCs w:val="20"/>
          <w:lang w:val="en-US"/>
        </w:rPr>
        <w:t>the State</w:t>
      </w:r>
      <w:r w:rsidR="00BA0151" w:rsidRPr="00610904">
        <w:rPr>
          <w:noProof w:val="0"/>
          <w:spacing w:val="-2"/>
          <w:szCs w:val="20"/>
          <w:lang w:val="en-US"/>
        </w:rPr>
        <w:t xml:space="preserve"> considered that</w:t>
      </w:r>
      <w:r w:rsidR="00567EC5" w:rsidRPr="00610904">
        <w:rPr>
          <w:noProof w:val="0"/>
          <w:spacing w:val="-2"/>
          <w:szCs w:val="20"/>
          <w:lang w:val="en-US"/>
        </w:rPr>
        <w:t>,</w:t>
      </w:r>
      <w:r w:rsidR="00BA0151" w:rsidRPr="00610904">
        <w:rPr>
          <w:noProof w:val="0"/>
          <w:spacing w:val="-2"/>
          <w:szCs w:val="20"/>
          <w:lang w:val="en-US"/>
        </w:rPr>
        <w:t xml:space="preserve"> “</w:t>
      </w:r>
      <w:r w:rsidR="00567EC5" w:rsidRPr="00610904">
        <w:rPr>
          <w:noProof w:val="0"/>
          <w:spacing w:val="-2"/>
          <w:szCs w:val="20"/>
          <w:lang w:val="en-US"/>
        </w:rPr>
        <w:t>when</w:t>
      </w:r>
      <w:r w:rsidR="00BA0151" w:rsidRPr="00610904">
        <w:rPr>
          <w:noProof w:val="0"/>
          <w:spacing w:val="-2"/>
          <w:szCs w:val="20"/>
          <w:lang w:val="en-US"/>
        </w:rPr>
        <w:t xml:space="preserve"> the incident occurred, Talía was three years old, so tha</w:t>
      </w:r>
      <w:r w:rsidR="00567EC5" w:rsidRPr="00610904">
        <w:rPr>
          <w:noProof w:val="0"/>
          <w:spacing w:val="-2"/>
          <w:szCs w:val="20"/>
          <w:lang w:val="en-US"/>
        </w:rPr>
        <w:t>t, she could not be a victim of</w:t>
      </w:r>
      <w:r w:rsidR="00BA0151" w:rsidRPr="00610904">
        <w:rPr>
          <w:noProof w:val="0"/>
          <w:spacing w:val="-2"/>
          <w:szCs w:val="20"/>
          <w:lang w:val="en-US"/>
        </w:rPr>
        <w:t xml:space="preserve"> </w:t>
      </w:r>
      <w:r w:rsidR="00830022" w:rsidRPr="00610904">
        <w:rPr>
          <w:noProof w:val="0"/>
          <w:spacing w:val="-2"/>
          <w:szCs w:val="20"/>
          <w:lang w:val="en-US"/>
        </w:rPr>
        <w:t>pecuniary damage</w:t>
      </w:r>
      <w:r w:rsidR="00BA0151" w:rsidRPr="00610904">
        <w:rPr>
          <w:noProof w:val="0"/>
          <w:spacing w:val="-2"/>
          <w:szCs w:val="20"/>
          <w:lang w:val="en-US"/>
        </w:rPr>
        <w:t xml:space="preserve">.” It asserted that the “regrettable consequences” </w:t>
      </w:r>
      <w:r w:rsidR="0056398E" w:rsidRPr="00610904">
        <w:rPr>
          <w:noProof w:val="0"/>
          <w:spacing w:val="-2"/>
          <w:szCs w:val="20"/>
          <w:lang w:val="en-US"/>
        </w:rPr>
        <w:t>described</w:t>
      </w:r>
      <w:r w:rsidR="00BA0151" w:rsidRPr="00610904">
        <w:rPr>
          <w:noProof w:val="0"/>
          <w:spacing w:val="-2"/>
          <w:szCs w:val="20"/>
          <w:lang w:val="en-US"/>
        </w:rPr>
        <w:t xml:space="preserve"> by Talía in her statements could be assessed when considering the </w:t>
      </w:r>
      <w:r w:rsidR="00830022" w:rsidRPr="00610904">
        <w:rPr>
          <w:noProof w:val="0"/>
          <w:spacing w:val="-2"/>
          <w:szCs w:val="20"/>
          <w:lang w:val="en-US"/>
        </w:rPr>
        <w:t>non-pecuniary damage</w:t>
      </w:r>
      <w:r w:rsidR="00BA0151" w:rsidRPr="00610904">
        <w:rPr>
          <w:noProof w:val="0"/>
          <w:spacing w:val="-2"/>
          <w:szCs w:val="20"/>
          <w:lang w:val="en-US"/>
        </w:rPr>
        <w:t xml:space="preserve">, but not as part of the </w:t>
      </w:r>
      <w:r w:rsidR="00830022" w:rsidRPr="00610904">
        <w:rPr>
          <w:noProof w:val="0"/>
          <w:spacing w:val="-2"/>
          <w:szCs w:val="20"/>
          <w:lang w:val="en-US"/>
        </w:rPr>
        <w:t>pecuniary damage</w:t>
      </w:r>
      <w:r w:rsidR="003040F7" w:rsidRPr="00610904">
        <w:rPr>
          <w:noProof w:val="0"/>
          <w:spacing w:val="-2"/>
          <w:szCs w:val="20"/>
          <w:lang w:val="en-US"/>
        </w:rPr>
        <w:t>. I</w:t>
      </w:r>
      <w:r w:rsidR="00BA0151" w:rsidRPr="00610904">
        <w:rPr>
          <w:noProof w:val="0"/>
          <w:spacing w:val="-2"/>
          <w:szCs w:val="20"/>
          <w:lang w:val="en-US"/>
        </w:rPr>
        <w:t>t also pointed out tha</w:t>
      </w:r>
      <w:r w:rsidR="00567EC5" w:rsidRPr="00610904">
        <w:rPr>
          <w:noProof w:val="0"/>
          <w:spacing w:val="-2"/>
          <w:szCs w:val="20"/>
          <w:lang w:val="en-US"/>
        </w:rPr>
        <w:t xml:space="preserve">t the victim had not suffered </w:t>
      </w:r>
      <w:r w:rsidR="00BA0151" w:rsidRPr="00610904">
        <w:rPr>
          <w:noProof w:val="0"/>
          <w:spacing w:val="-2"/>
          <w:szCs w:val="20"/>
          <w:lang w:val="en-US"/>
        </w:rPr>
        <w:t>loss of earnings, because she had never performed any economic or work-related activity.</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7916C1" w:rsidP="00610904">
      <w:pPr>
        <w:numPr>
          <w:ilvl w:val="0"/>
          <w:numId w:val="1"/>
        </w:numPr>
        <w:contextualSpacing/>
        <w:rPr>
          <w:noProof w:val="0"/>
          <w:spacing w:val="-2"/>
          <w:szCs w:val="20"/>
          <w:lang w:val="en-US"/>
        </w:rPr>
      </w:pPr>
      <w:r w:rsidRPr="00610904">
        <w:rPr>
          <w:noProof w:val="0"/>
          <w:spacing w:val="-2"/>
          <w:szCs w:val="20"/>
          <w:lang w:val="en-US"/>
        </w:rPr>
        <w:t>Regarding</w:t>
      </w:r>
      <w:r w:rsidR="003040F7" w:rsidRPr="00610904">
        <w:rPr>
          <w:noProof w:val="0"/>
          <w:spacing w:val="-2"/>
          <w:szCs w:val="20"/>
          <w:lang w:val="en-US"/>
        </w:rPr>
        <w:t xml:space="preserve"> Teresa Lluy, </w:t>
      </w:r>
      <w:r w:rsidR="009F3D78" w:rsidRPr="00610904">
        <w:rPr>
          <w:noProof w:val="0"/>
          <w:spacing w:val="-2"/>
          <w:szCs w:val="20"/>
          <w:lang w:val="en-US"/>
        </w:rPr>
        <w:t>the State</w:t>
      </w:r>
      <w:r w:rsidR="003040F7" w:rsidRPr="00610904">
        <w:rPr>
          <w:noProof w:val="0"/>
          <w:spacing w:val="-2"/>
          <w:szCs w:val="20"/>
          <w:lang w:val="en-US"/>
        </w:rPr>
        <w:t xml:space="preserve"> </w:t>
      </w:r>
      <w:r w:rsidRPr="00610904">
        <w:rPr>
          <w:noProof w:val="0"/>
          <w:spacing w:val="-2"/>
          <w:szCs w:val="20"/>
          <w:lang w:val="en-US"/>
        </w:rPr>
        <w:t>indicated that</w:t>
      </w:r>
      <w:r w:rsidR="003040F7" w:rsidRPr="00610904">
        <w:rPr>
          <w:noProof w:val="0"/>
          <w:spacing w:val="-2"/>
          <w:szCs w:val="20"/>
          <w:lang w:val="en-US"/>
        </w:rPr>
        <w:t xml:space="preserve"> “</w:t>
      </w:r>
      <w:r w:rsidRPr="00610904">
        <w:rPr>
          <w:noProof w:val="0"/>
          <w:spacing w:val="-2"/>
          <w:szCs w:val="20"/>
          <w:lang w:val="en-US"/>
        </w:rPr>
        <w:t>there are no valid vouchers that substanti</w:t>
      </w:r>
      <w:r w:rsidR="00567EC5" w:rsidRPr="00610904">
        <w:rPr>
          <w:noProof w:val="0"/>
          <w:spacing w:val="-2"/>
          <w:szCs w:val="20"/>
          <w:lang w:val="en-US"/>
        </w:rPr>
        <w:t>a</w:t>
      </w:r>
      <w:r w:rsidRPr="00610904">
        <w:rPr>
          <w:noProof w:val="0"/>
          <w:spacing w:val="-2"/>
          <w:szCs w:val="20"/>
          <w:lang w:val="en-US"/>
        </w:rPr>
        <w:t xml:space="preserve">te the documentation” mentioned by </w:t>
      </w:r>
      <w:r w:rsidR="009F3D78" w:rsidRPr="00610904">
        <w:rPr>
          <w:noProof w:val="0"/>
          <w:spacing w:val="-2"/>
          <w:szCs w:val="20"/>
          <w:lang w:val="en-US"/>
        </w:rPr>
        <w:t>the representatives</w:t>
      </w:r>
      <w:r w:rsidR="00D350F8" w:rsidRPr="00610904">
        <w:rPr>
          <w:noProof w:val="0"/>
          <w:spacing w:val="-2"/>
          <w:szCs w:val="20"/>
          <w:lang w:val="en-US"/>
        </w:rPr>
        <w:t>;</w:t>
      </w:r>
      <w:r w:rsidR="009F3D78" w:rsidRPr="00610904">
        <w:rPr>
          <w:noProof w:val="0"/>
          <w:spacing w:val="-2"/>
          <w:szCs w:val="20"/>
          <w:lang w:val="en-US"/>
        </w:rPr>
        <w:t xml:space="preserve"> and </w:t>
      </w:r>
      <w:r w:rsidRPr="00610904">
        <w:rPr>
          <w:noProof w:val="0"/>
          <w:spacing w:val="-2"/>
          <w:szCs w:val="20"/>
          <w:lang w:val="en-US"/>
        </w:rPr>
        <w:t>that the Military Hospital had certified that the item for the medical care that had been charged was US$117.</w:t>
      </w:r>
      <w:r w:rsidR="003040F7" w:rsidRPr="00610904">
        <w:rPr>
          <w:noProof w:val="0"/>
          <w:spacing w:val="-2"/>
          <w:szCs w:val="20"/>
          <w:lang w:val="en-US"/>
        </w:rPr>
        <w:t xml:space="preserve">53 </w:t>
      </w:r>
      <w:r w:rsidR="003040F7" w:rsidRPr="00610904">
        <w:rPr>
          <w:noProof w:val="0"/>
          <w:spacing w:val="-2"/>
          <w:szCs w:val="20"/>
          <w:lang w:val="en-US"/>
        </w:rPr>
        <w:lastRenderedPageBreak/>
        <w:t>(</w:t>
      </w:r>
      <w:r w:rsidRPr="00610904">
        <w:rPr>
          <w:noProof w:val="0"/>
          <w:spacing w:val="-2"/>
          <w:szCs w:val="20"/>
          <w:lang w:val="en-US"/>
        </w:rPr>
        <w:t>one hundred and seventeen United States dollars and fifty-three cents).</w:t>
      </w:r>
      <w:r w:rsidR="003040F7" w:rsidRPr="00610904">
        <w:rPr>
          <w:noProof w:val="0"/>
          <w:spacing w:val="-2"/>
          <w:szCs w:val="20"/>
          <w:lang w:val="en-US"/>
        </w:rPr>
        <w:t xml:space="preserve"> </w:t>
      </w:r>
      <w:r w:rsidRPr="00610904">
        <w:rPr>
          <w:noProof w:val="0"/>
          <w:spacing w:val="-2"/>
          <w:szCs w:val="20"/>
          <w:lang w:val="en-US"/>
        </w:rPr>
        <w:t xml:space="preserve">It therefore affirmed that the expenses </w:t>
      </w:r>
      <w:r w:rsidR="0056398E" w:rsidRPr="00610904">
        <w:rPr>
          <w:noProof w:val="0"/>
          <w:spacing w:val="-2"/>
          <w:szCs w:val="20"/>
          <w:lang w:val="en-US"/>
        </w:rPr>
        <w:t>described</w:t>
      </w:r>
      <w:r w:rsidRPr="00610904">
        <w:rPr>
          <w:noProof w:val="0"/>
          <w:spacing w:val="-2"/>
          <w:szCs w:val="20"/>
          <w:lang w:val="en-US"/>
        </w:rPr>
        <w:t xml:space="preserve"> by </w:t>
      </w:r>
      <w:r w:rsidR="009F3D78" w:rsidRPr="00610904">
        <w:rPr>
          <w:noProof w:val="0"/>
          <w:spacing w:val="-2"/>
          <w:szCs w:val="20"/>
          <w:lang w:val="en-US"/>
        </w:rPr>
        <w:t>the representatives</w:t>
      </w:r>
      <w:r w:rsidR="003040F7" w:rsidRPr="00610904">
        <w:rPr>
          <w:noProof w:val="0"/>
          <w:spacing w:val="-2"/>
          <w:szCs w:val="20"/>
          <w:lang w:val="en-US"/>
        </w:rPr>
        <w:t xml:space="preserve"> “</w:t>
      </w:r>
      <w:r w:rsidRPr="00610904">
        <w:rPr>
          <w:noProof w:val="0"/>
          <w:spacing w:val="-2"/>
          <w:szCs w:val="20"/>
          <w:lang w:val="en-US"/>
        </w:rPr>
        <w:t xml:space="preserve">are unreal and </w:t>
      </w:r>
      <w:r w:rsidR="00BA0151" w:rsidRPr="00610904">
        <w:rPr>
          <w:noProof w:val="0"/>
          <w:spacing w:val="-2"/>
          <w:szCs w:val="20"/>
          <w:lang w:val="en-US"/>
        </w:rPr>
        <w:t>un</w:t>
      </w:r>
      <w:r w:rsidRPr="00610904">
        <w:rPr>
          <w:noProof w:val="0"/>
          <w:spacing w:val="-2"/>
          <w:szCs w:val="20"/>
          <w:lang w:val="en-US"/>
        </w:rPr>
        <w:t>support</w:t>
      </w:r>
      <w:r w:rsidR="00BA0151" w:rsidRPr="00610904">
        <w:rPr>
          <w:noProof w:val="0"/>
          <w:spacing w:val="-2"/>
          <w:szCs w:val="20"/>
          <w:lang w:val="en-US"/>
        </w:rPr>
        <w:t>ed</w:t>
      </w:r>
      <w:r w:rsidRPr="00610904">
        <w:rPr>
          <w:noProof w:val="0"/>
          <w:spacing w:val="-2"/>
          <w:szCs w:val="20"/>
          <w:lang w:val="en-US"/>
        </w:rPr>
        <w:t xml:space="preserve">.” Furthermore, it affirmed that the maximum sum justified by transportation from </w:t>
      </w:r>
      <w:r w:rsidR="003040F7" w:rsidRPr="00610904">
        <w:rPr>
          <w:noProof w:val="0"/>
          <w:spacing w:val="-2"/>
          <w:szCs w:val="20"/>
          <w:lang w:val="en-US"/>
        </w:rPr>
        <w:t xml:space="preserve">1998 </w:t>
      </w:r>
      <w:r w:rsidRPr="00610904">
        <w:rPr>
          <w:noProof w:val="0"/>
          <w:spacing w:val="-2"/>
          <w:szCs w:val="20"/>
          <w:lang w:val="en-US"/>
        </w:rPr>
        <w:t>until 2014 could not be more than US$1,056.</w:t>
      </w:r>
      <w:r w:rsidR="003040F7" w:rsidRPr="00610904">
        <w:rPr>
          <w:noProof w:val="0"/>
          <w:spacing w:val="-2"/>
          <w:szCs w:val="20"/>
          <w:lang w:val="en-US"/>
        </w:rPr>
        <w:t>00 (</w:t>
      </w:r>
      <w:r w:rsidRPr="00610904">
        <w:rPr>
          <w:noProof w:val="0"/>
          <w:spacing w:val="-2"/>
          <w:szCs w:val="20"/>
          <w:lang w:val="en-US"/>
        </w:rPr>
        <w:t>one thousand and fifty-six United States dollars</w:t>
      </w:r>
      <w:r w:rsidR="003040F7" w:rsidRPr="00610904">
        <w:rPr>
          <w:noProof w:val="0"/>
          <w:spacing w:val="-2"/>
          <w:szCs w:val="20"/>
          <w:lang w:val="en-US"/>
        </w:rPr>
        <w:t>). R</w:t>
      </w:r>
      <w:r w:rsidRPr="00610904">
        <w:rPr>
          <w:noProof w:val="0"/>
          <w:spacing w:val="-2"/>
          <w:szCs w:val="20"/>
          <w:lang w:val="en-US"/>
        </w:rPr>
        <w:t>egarding the purchase of vitamin supplements, the State indicated that it is only possible to verify the disbursement of US$2,295.</w:t>
      </w:r>
      <w:r w:rsidR="003040F7" w:rsidRPr="00610904">
        <w:rPr>
          <w:noProof w:val="0"/>
          <w:spacing w:val="-2"/>
          <w:szCs w:val="20"/>
          <w:lang w:val="en-US"/>
        </w:rPr>
        <w:t>81 (</w:t>
      </w:r>
      <w:r w:rsidRPr="00610904">
        <w:rPr>
          <w:noProof w:val="0"/>
          <w:spacing w:val="-2"/>
          <w:szCs w:val="20"/>
          <w:lang w:val="en-US"/>
        </w:rPr>
        <w:t>two thousand two hundred and ninety-five United States dollars and eight-one cents</w:t>
      </w:r>
      <w:r w:rsidR="003040F7"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noProof w:val="0"/>
          <w:spacing w:val="-2"/>
          <w:szCs w:val="20"/>
          <w:lang w:val="en-US"/>
        </w:rPr>
        <w:t>Ecuador</w:t>
      </w:r>
      <w:r w:rsidR="003040F7" w:rsidRPr="00610904">
        <w:rPr>
          <w:noProof w:val="0"/>
          <w:spacing w:val="-2"/>
          <w:szCs w:val="20"/>
          <w:lang w:val="en-US"/>
        </w:rPr>
        <w:t xml:space="preserve"> </w:t>
      </w:r>
      <w:r w:rsidR="00BA0151" w:rsidRPr="00610904">
        <w:rPr>
          <w:noProof w:val="0"/>
          <w:spacing w:val="-2"/>
          <w:szCs w:val="20"/>
          <w:lang w:val="en-US"/>
        </w:rPr>
        <w:t xml:space="preserve">also indicated that the test performed in Belgium cost </w:t>
      </w:r>
      <w:r w:rsidR="007916C1" w:rsidRPr="00610904">
        <w:rPr>
          <w:noProof w:val="0"/>
          <w:spacing w:val="-2"/>
          <w:szCs w:val="20"/>
          <w:lang w:val="en-US"/>
        </w:rPr>
        <w:t>US$ 3.</w:t>
      </w:r>
      <w:r w:rsidR="003040F7" w:rsidRPr="00610904">
        <w:rPr>
          <w:noProof w:val="0"/>
          <w:spacing w:val="-2"/>
          <w:szCs w:val="20"/>
          <w:lang w:val="en-US"/>
        </w:rPr>
        <w:t>20 (</w:t>
      </w:r>
      <w:r w:rsidR="007916C1" w:rsidRPr="00610904">
        <w:rPr>
          <w:noProof w:val="0"/>
          <w:spacing w:val="-2"/>
          <w:szCs w:val="20"/>
          <w:lang w:val="en-US"/>
        </w:rPr>
        <w:t xml:space="preserve">three </w:t>
      </w:r>
      <w:r w:rsidR="00BA0151" w:rsidRPr="00610904">
        <w:rPr>
          <w:noProof w:val="0"/>
          <w:spacing w:val="-2"/>
          <w:szCs w:val="20"/>
          <w:lang w:val="en-US"/>
        </w:rPr>
        <w:t>United</w:t>
      </w:r>
      <w:r w:rsidR="007916C1" w:rsidRPr="00610904">
        <w:rPr>
          <w:noProof w:val="0"/>
          <w:spacing w:val="-2"/>
          <w:szCs w:val="20"/>
          <w:lang w:val="en-US"/>
        </w:rPr>
        <w:t xml:space="preserve"> States dollars and twenty cents</w:t>
      </w:r>
      <w:r w:rsidR="003040F7" w:rsidRPr="00610904">
        <w:rPr>
          <w:noProof w:val="0"/>
          <w:spacing w:val="-2"/>
          <w:szCs w:val="20"/>
          <w:lang w:val="en-US"/>
        </w:rPr>
        <w:t>);</w:t>
      </w:r>
      <w:r w:rsidR="009F3D78" w:rsidRPr="00610904">
        <w:rPr>
          <w:noProof w:val="0"/>
          <w:spacing w:val="-2"/>
          <w:szCs w:val="20"/>
          <w:lang w:val="en-US"/>
        </w:rPr>
        <w:t xml:space="preserve"> and </w:t>
      </w:r>
      <w:r w:rsidR="00BA0151" w:rsidRPr="00610904">
        <w:rPr>
          <w:noProof w:val="0"/>
          <w:spacing w:val="-2"/>
          <w:szCs w:val="20"/>
          <w:lang w:val="en-US"/>
        </w:rPr>
        <w:t xml:space="preserve">that it is not possible to assess the amount indicated for rental expenses because there was no evidence in this regard. Regarding the loans listed by </w:t>
      </w:r>
      <w:r w:rsidR="009F3D78" w:rsidRPr="00610904">
        <w:rPr>
          <w:noProof w:val="0"/>
          <w:spacing w:val="-2"/>
          <w:szCs w:val="20"/>
          <w:lang w:val="en-US"/>
        </w:rPr>
        <w:t>the representatives</w:t>
      </w:r>
      <w:r w:rsidR="003040F7" w:rsidRPr="00610904">
        <w:rPr>
          <w:noProof w:val="0"/>
          <w:spacing w:val="-2"/>
          <w:szCs w:val="20"/>
          <w:lang w:val="en-US"/>
        </w:rPr>
        <w:t xml:space="preserve">, </w:t>
      </w:r>
      <w:r w:rsidR="009F3D78" w:rsidRPr="00610904">
        <w:rPr>
          <w:noProof w:val="0"/>
          <w:spacing w:val="-2"/>
          <w:szCs w:val="20"/>
          <w:lang w:val="en-US"/>
        </w:rPr>
        <w:t>the State</w:t>
      </w:r>
      <w:r w:rsidR="003040F7" w:rsidRPr="00610904">
        <w:rPr>
          <w:noProof w:val="0"/>
          <w:spacing w:val="-2"/>
          <w:szCs w:val="20"/>
          <w:lang w:val="en-US"/>
        </w:rPr>
        <w:t xml:space="preserve"> a</w:t>
      </w:r>
      <w:r w:rsidR="00567EC5" w:rsidRPr="00610904">
        <w:rPr>
          <w:noProof w:val="0"/>
          <w:spacing w:val="-2"/>
          <w:szCs w:val="20"/>
          <w:lang w:val="en-US"/>
        </w:rPr>
        <w:t>rgued that “it is im</w:t>
      </w:r>
      <w:r w:rsidR="00BA0151" w:rsidRPr="00610904">
        <w:rPr>
          <w:noProof w:val="0"/>
          <w:spacing w:val="-2"/>
          <w:szCs w:val="20"/>
          <w:lang w:val="en-US"/>
        </w:rPr>
        <w:t xml:space="preserve">possible to be sure that the amounts </w:t>
      </w:r>
      <w:r w:rsidR="0056398E" w:rsidRPr="00610904">
        <w:rPr>
          <w:noProof w:val="0"/>
          <w:spacing w:val="-2"/>
          <w:szCs w:val="20"/>
          <w:lang w:val="en-US"/>
        </w:rPr>
        <w:t>described</w:t>
      </w:r>
      <w:r w:rsidR="00BA0151" w:rsidRPr="00610904">
        <w:rPr>
          <w:noProof w:val="0"/>
          <w:spacing w:val="-2"/>
          <w:szCs w:val="20"/>
          <w:lang w:val="en-US"/>
        </w:rPr>
        <w:t xml:space="preserve"> have been used directly on Talía, owing to the inexistence of probative documentation; therefore, this claim should be rejected.” It also indicated that there was “no probative evidence” for the affirmation about </w:t>
      </w:r>
      <w:r w:rsidR="003040F7" w:rsidRPr="00610904">
        <w:rPr>
          <w:noProof w:val="0"/>
          <w:spacing w:val="-2"/>
          <w:szCs w:val="20"/>
          <w:lang w:val="en-US"/>
        </w:rPr>
        <w:t>Teresa Lluy</w:t>
      </w:r>
      <w:r w:rsidR="00BA0151" w:rsidRPr="00610904">
        <w:rPr>
          <w:noProof w:val="0"/>
          <w:spacing w:val="-2"/>
          <w:szCs w:val="20"/>
          <w:lang w:val="en-US"/>
        </w:rPr>
        <w:t>’s monthly income when she worked in Yambal.</w:t>
      </w:r>
    </w:p>
    <w:p w:rsidR="003040F7" w:rsidRPr="00610904" w:rsidRDefault="003040F7" w:rsidP="00610904">
      <w:pPr>
        <w:contextualSpacing/>
        <w:rPr>
          <w:noProof w:val="0"/>
          <w:spacing w:val="-2"/>
          <w:szCs w:val="20"/>
          <w:lang w:val="en-US"/>
        </w:rPr>
      </w:pPr>
    </w:p>
    <w:p w:rsidR="003040F7" w:rsidRPr="00610904" w:rsidRDefault="00BA0151" w:rsidP="00610904">
      <w:pPr>
        <w:numPr>
          <w:ilvl w:val="0"/>
          <w:numId w:val="1"/>
        </w:numPr>
        <w:contextualSpacing/>
        <w:rPr>
          <w:noProof w:val="0"/>
          <w:spacing w:val="-2"/>
          <w:szCs w:val="20"/>
          <w:lang w:val="en-US"/>
        </w:rPr>
      </w:pPr>
      <w:r w:rsidRPr="00610904">
        <w:rPr>
          <w:noProof w:val="0"/>
          <w:spacing w:val="-2"/>
          <w:szCs w:val="20"/>
          <w:lang w:val="en-US"/>
        </w:rPr>
        <w:t>Regarding the</w:t>
      </w:r>
      <w:r w:rsidR="003040F7" w:rsidRPr="00610904">
        <w:rPr>
          <w:noProof w:val="0"/>
          <w:spacing w:val="-2"/>
          <w:szCs w:val="20"/>
          <w:lang w:val="en-US"/>
        </w:rPr>
        <w:t xml:space="preserve"> </w:t>
      </w:r>
      <w:r w:rsidR="00830022" w:rsidRPr="00610904">
        <w:rPr>
          <w:noProof w:val="0"/>
          <w:spacing w:val="-2"/>
          <w:szCs w:val="20"/>
          <w:lang w:val="en-US"/>
        </w:rPr>
        <w:t>pecuniary damage</w:t>
      </w:r>
      <w:r w:rsidR="003040F7" w:rsidRPr="00610904">
        <w:rPr>
          <w:noProof w:val="0"/>
          <w:spacing w:val="-2"/>
          <w:szCs w:val="20"/>
          <w:lang w:val="en-US"/>
        </w:rPr>
        <w:t xml:space="preserve"> </w:t>
      </w:r>
      <w:r w:rsidRPr="00610904">
        <w:rPr>
          <w:noProof w:val="0"/>
          <w:spacing w:val="-2"/>
          <w:szCs w:val="20"/>
          <w:lang w:val="en-US"/>
        </w:rPr>
        <w:t>requested for</w:t>
      </w:r>
      <w:r w:rsidR="003040F7" w:rsidRPr="00610904">
        <w:rPr>
          <w:noProof w:val="0"/>
          <w:spacing w:val="-2"/>
          <w:szCs w:val="20"/>
          <w:lang w:val="en-US"/>
        </w:rPr>
        <w:t xml:space="preserve"> Iván Lluy, </w:t>
      </w:r>
      <w:r w:rsidR="009F3D78" w:rsidRPr="00610904">
        <w:rPr>
          <w:noProof w:val="0"/>
          <w:spacing w:val="-2"/>
          <w:szCs w:val="20"/>
          <w:lang w:val="en-US"/>
        </w:rPr>
        <w:t>the State</w:t>
      </w:r>
      <w:r w:rsidR="003040F7" w:rsidRPr="00610904">
        <w:rPr>
          <w:noProof w:val="0"/>
          <w:spacing w:val="-2"/>
          <w:szCs w:val="20"/>
          <w:lang w:val="en-US"/>
        </w:rPr>
        <w:t xml:space="preserve"> </w:t>
      </w:r>
      <w:r w:rsidRPr="00610904">
        <w:rPr>
          <w:noProof w:val="0"/>
          <w:spacing w:val="-2"/>
          <w:szCs w:val="20"/>
          <w:lang w:val="en-US"/>
        </w:rPr>
        <w:t>asked the Court to reject this claim because</w:t>
      </w:r>
      <w:r w:rsidR="00A8072E" w:rsidRPr="00610904">
        <w:rPr>
          <w:noProof w:val="0"/>
          <w:spacing w:val="-2"/>
          <w:szCs w:val="20"/>
          <w:lang w:val="en-US"/>
        </w:rPr>
        <w:t xml:space="preserve"> the Merits</w:t>
      </w:r>
      <w:r w:rsidR="006E502B" w:rsidRPr="00610904">
        <w:rPr>
          <w:noProof w:val="0"/>
          <w:spacing w:val="-2"/>
          <w:szCs w:val="20"/>
          <w:lang w:val="en-US"/>
        </w:rPr>
        <w:t xml:space="preserve"> Report</w:t>
      </w:r>
      <w:r w:rsidR="003040F7" w:rsidRPr="00610904">
        <w:rPr>
          <w:noProof w:val="0"/>
          <w:spacing w:val="-2"/>
          <w:szCs w:val="20"/>
          <w:lang w:val="en-US"/>
        </w:rPr>
        <w:t xml:space="preserve"> </w:t>
      </w:r>
      <w:r w:rsidRPr="00610904">
        <w:rPr>
          <w:noProof w:val="0"/>
          <w:spacing w:val="-2"/>
          <w:szCs w:val="20"/>
          <w:lang w:val="en-US"/>
        </w:rPr>
        <w:t xml:space="preserve">had not included any reparation </w:t>
      </w:r>
      <w:r w:rsidR="008553D8" w:rsidRPr="00610904">
        <w:rPr>
          <w:noProof w:val="0"/>
          <w:spacing w:val="-2"/>
          <w:szCs w:val="20"/>
          <w:lang w:val="en-US"/>
        </w:rPr>
        <w:t xml:space="preserve">in his favor. Furthermore, it stressed that no documentation had been provided to substantiate that, when he was 16 years old, Iván had to work to help his mother and sister. The State indicated that, according to information from </w:t>
      </w:r>
      <w:r w:rsidR="00D80BC2" w:rsidRPr="00610904">
        <w:rPr>
          <w:noProof w:val="0"/>
          <w:spacing w:val="-2"/>
          <w:szCs w:val="20"/>
          <w:lang w:val="en-US"/>
        </w:rPr>
        <w:t xml:space="preserve">the </w:t>
      </w:r>
      <w:r w:rsidR="004016D9" w:rsidRPr="00610904">
        <w:rPr>
          <w:noProof w:val="0"/>
          <w:spacing w:val="-2"/>
          <w:szCs w:val="20"/>
          <w:lang w:val="en-US"/>
        </w:rPr>
        <w:t>Ecuadorian Social Security Institute</w:t>
      </w:r>
      <w:r w:rsidR="009F3D78" w:rsidRPr="00610904">
        <w:rPr>
          <w:noProof w:val="0"/>
          <w:spacing w:val="-2"/>
          <w:szCs w:val="20"/>
          <w:lang w:val="en-US"/>
        </w:rPr>
        <w:t xml:space="preserve"> and </w:t>
      </w:r>
      <w:r w:rsidR="008553D8" w:rsidRPr="00610904">
        <w:rPr>
          <w:noProof w:val="0"/>
          <w:spacing w:val="-2"/>
          <w:szCs w:val="20"/>
          <w:lang w:val="en-US"/>
        </w:rPr>
        <w:t>the Internal Revenue Service, Iván had not begun to work until he was 18 years of age. In addition</w:t>
      </w:r>
      <w:r w:rsidR="00567EC5" w:rsidRPr="00610904">
        <w:rPr>
          <w:noProof w:val="0"/>
          <w:spacing w:val="-2"/>
          <w:szCs w:val="20"/>
          <w:lang w:val="en-US"/>
        </w:rPr>
        <w:t>, the State advised that Iván “has</w:t>
      </w:r>
      <w:r w:rsidR="008553D8" w:rsidRPr="00610904">
        <w:rPr>
          <w:noProof w:val="0"/>
          <w:spacing w:val="-2"/>
          <w:szCs w:val="20"/>
          <w:lang w:val="en-US"/>
        </w:rPr>
        <w:t xml:space="preserve"> assets”; hence, “he has not been affected economically; to the contrary, […] with his own efforts, he has been able to accumulate assets.” </w:t>
      </w:r>
    </w:p>
    <w:p w:rsidR="003040F7" w:rsidRPr="00610904" w:rsidRDefault="003040F7" w:rsidP="00610904">
      <w:pPr>
        <w:contextualSpacing/>
        <w:rPr>
          <w:noProof w:val="0"/>
          <w:spacing w:val="-2"/>
          <w:szCs w:val="20"/>
          <w:lang w:val="en-US"/>
        </w:rPr>
      </w:pPr>
    </w:p>
    <w:p w:rsidR="003040F7" w:rsidRPr="00610904" w:rsidRDefault="008553D8" w:rsidP="00610904">
      <w:pPr>
        <w:numPr>
          <w:ilvl w:val="0"/>
          <w:numId w:val="1"/>
        </w:numPr>
        <w:contextualSpacing/>
        <w:rPr>
          <w:noProof w:val="0"/>
          <w:spacing w:val="-2"/>
          <w:szCs w:val="20"/>
          <w:lang w:val="en-US"/>
        </w:rPr>
      </w:pPr>
      <w:r w:rsidRPr="00610904">
        <w:rPr>
          <w:noProof w:val="0"/>
          <w:spacing w:val="-2"/>
          <w:szCs w:val="20"/>
          <w:lang w:val="en-US"/>
        </w:rPr>
        <w:t xml:space="preserve">Lastly, the State concluded that, “since no evidence exists, it is not possible to assess specific amounts in relation to the supposed </w:t>
      </w:r>
      <w:r w:rsidR="00830022" w:rsidRPr="00610904">
        <w:rPr>
          <w:noProof w:val="0"/>
          <w:spacing w:val="-2"/>
          <w:szCs w:val="20"/>
          <w:lang w:val="en-US"/>
        </w:rPr>
        <w:t>pecuniary damage</w:t>
      </w:r>
      <w:r w:rsidR="003040F7" w:rsidRPr="00610904">
        <w:rPr>
          <w:noProof w:val="0"/>
          <w:spacing w:val="-2"/>
          <w:szCs w:val="20"/>
          <w:lang w:val="en-US"/>
        </w:rPr>
        <w:t xml:space="preserve"> in</w:t>
      </w:r>
      <w:r w:rsidRPr="00610904">
        <w:rPr>
          <w:noProof w:val="0"/>
          <w:spacing w:val="-2"/>
          <w:szCs w:val="20"/>
          <w:lang w:val="en-US"/>
        </w:rPr>
        <w:t>flicted” on the victims in this case, so that the Court should use the parameter of equity if it establishes international responsibility. In this regard, it indicated that, compared to similar cases in which the responsibility of the Ecuadorian State had been determined,  the amount for</w:t>
      </w:r>
      <w:r w:rsidR="003040F7" w:rsidRPr="00610904">
        <w:rPr>
          <w:noProof w:val="0"/>
          <w:spacing w:val="-2"/>
          <w:szCs w:val="20"/>
          <w:lang w:val="en-US"/>
        </w:rPr>
        <w:t xml:space="preserve"> </w:t>
      </w:r>
      <w:r w:rsidR="00830022" w:rsidRPr="00610904">
        <w:rPr>
          <w:noProof w:val="0"/>
          <w:spacing w:val="-2"/>
          <w:szCs w:val="20"/>
          <w:lang w:val="en-US"/>
        </w:rPr>
        <w:t>pecuniary damage</w:t>
      </w:r>
      <w:r w:rsidR="007916C1" w:rsidRPr="00610904">
        <w:rPr>
          <w:noProof w:val="0"/>
          <w:spacing w:val="-2"/>
          <w:szCs w:val="20"/>
          <w:lang w:val="en-US"/>
        </w:rPr>
        <w:t xml:space="preserve"> </w:t>
      </w:r>
      <w:r w:rsidRPr="00610904">
        <w:rPr>
          <w:noProof w:val="0"/>
          <w:spacing w:val="-2"/>
          <w:szCs w:val="20"/>
          <w:lang w:val="en-US"/>
        </w:rPr>
        <w:t>could not exceed</w:t>
      </w:r>
      <w:r w:rsidR="007916C1" w:rsidRPr="00610904">
        <w:rPr>
          <w:noProof w:val="0"/>
          <w:spacing w:val="-2"/>
          <w:szCs w:val="20"/>
          <w:lang w:val="en-US"/>
        </w:rPr>
        <w:t xml:space="preserve"> US$52,500.</w:t>
      </w:r>
      <w:r w:rsidR="003040F7" w:rsidRPr="00610904">
        <w:rPr>
          <w:noProof w:val="0"/>
          <w:spacing w:val="-2"/>
          <w:szCs w:val="20"/>
          <w:lang w:val="en-US"/>
        </w:rPr>
        <w:t>00 (</w:t>
      </w:r>
      <w:r w:rsidR="007916C1" w:rsidRPr="00610904">
        <w:rPr>
          <w:noProof w:val="0"/>
          <w:spacing w:val="-2"/>
          <w:szCs w:val="20"/>
          <w:lang w:val="en-US"/>
        </w:rPr>
        <w:t>fifty-two thousand five hundred United States dollars</w:t>
      </w:r>
      <w:r w:rsidR="003040F7" w:rsidRPr="00610904">
        <w:rPr>
          <w:noProof w:val="0"/>
          <w:spacing w:val="-2"/>
          <w:szCs w:val="20"/>
          <w:lang w:val="en-US"/>
        </w:rPr>
        <w:t>)</w:t>
      </w:r>
      <w:r w:rsidR="007916C1" w:rsidRPr="00610904">
        <w:rPr>
          <w:noProof w:val="0"/>
          <w:spacing w:val="-2"/>
          <w:szCs w:val="20"/>
          <w:lang w:val="en-US"/>
        </w:rPr>
        <w:t xml:space="preserve"> for the direct victim and US$9,</w:t>
      </w:r>
      <w:r w:rsidR="003040F7" w:rsidRPr="00610904">
        <w:rPr>
          <w:noProof w:val="0"/>
          <w:spacing w:val="-2"/>
          <w:szCs w:val="20"/>
          <w:lang w:val="en-US"/>
        </w:rPr>
        <w:t>8</w:t>
      </w:r>
      <w:r w:rsidR="007916C1" w:rsidRPr="00610904">
        <w:rPr>
          <w:noProof w:val="0"/>
          <w:spacing w:val="-2"/>
          <w:szCs w:val="20"/>
          <w:lang w:val="en-US"/>
        </w:rPr>
        <w:t>33.</w:t>
      </w:r>
      <w:r w:rsidR="003040F7" w:rsidRPr="00610904">
        <w:rPr>
          <w:noProof w:val="0"/>
          <w:spacing w:val="-2"/>
          <w:szCs w:val="20"/>
          <w:lang w:val="en-US"/>
        </w:rPr>
        <w:t>00 (</w:t>
      </w:r>
      <w:r w:rsidR="007916C1" w:rsidRPr="00610904">
        <w:rPr>
          <w:noProof w:val="0"/>
          <w:spacing w:val="-2"/>
          <w:szCs w:val="20"/>
          <w:lang w:val="en-US"/>
        </w:rPr>
        <w:t>nine thousand eight hundred and thirty-three United States dollars</w:t>
      </w:r>
      <w:r w:rsidR="003040F7" w:rsidRPr="00610904">
        <w:rPr>
          <w:noProof w:val="0"/>
          <w:spacing w:val="-2"/>
          <w:szCs w:val="20"/>
          <w:lang w:val="en-US"/>
        </w:rPr>
        <w:t xml:space="preserve">) </w:t>
      </w:r>
      <w:r w:rsidR="007916C1" w:rsidRPr="00610904">
        <w:rPr>
          <w:noProof w:val="0"/>
          <w:spacing w:val="-2"/>
          <w:szCs w:val="20"/>
          <w:lang w:val="en-US"/>
        </w:rPr>
        <w:t>for the indirect victims</w:t>
      </w:r>
      <w:r w:rsidR="003040F7" w:rsidRPr="00610904">
        <w:rPr>
          <w:noProof w:val="0"/>
          <w:spacing w:val="-2"/>
          <w:szCs w:val="20"/>
          <w:lang w:val="en-US"/>
        </w:rPr>
        <w:t xml:space="preserve">. </w:t>
      </w:r>
    </w:p>
    <w:p w:rsidR="003040F7" w:rsidRPr="00610904" w:rsidRDefault="003040F7" w:rsidP="00610904">
      <w:pPr>
        <w:ind w:left="720"/>
        <w:contextualSpacing/>
        <w:rPr>
          <w:i/>
          <w:noProof w:val="0"/>
          <w:lang w:val="en-US"/>
        </w:rPr>
      </w:pPr>
    </w:p>
    <w:p w:rsidR="003040F7" w:rsidRPr="00610904" w:rsidRDefault="00A8072E" w:rsidP="00610904">
      <w:pPr>
        <w:ind w:left="720"/>
        <w:contextualSpacing/>
        <w:rPr>
          <w:i/>
          <w:noProof w:val="0"/>
          <w:lang w:val="en-US"/>
        </w:rPr>
      </w:pPr>
      <w:r w:rsidRPr="00610904">
        <w:rPr>
          <w:i/>
          <w:noProof w:val="0"/>
          <w:lang w:val="en-US"/>
        </w:rPr>
        <w:t>Considerations</w:t>
      </w:r>
      <w:r w:rsidR="009F3D78" w:rsidRPr="00610904">
        <w:rPr>
          <w:i/>
          <w:noProof w:val="0"/>
          <w:lang w:val="en-US"/>
        </w:rPr>
        <w:t xml:space="preserve"> of the Court</w:t>
      </w:r>
    </w:p>
    <w:p w:rsidR="003040F7" w:rsidRPr="00610904" w:rsidRDefault="003040F7" w:rsidP="00610904">
      <w:pPr>
        <w:rPr>
          <w:i/>
          <w:noProof w:val="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ha</w:t>
      </w:r>
      <w:r w:rsidR="008553D8" w:rsidRPr="00610904">
        <w:rPr>
          <w:noProof w:val="0"/>
          <w:spacing w:val="-2"/>
          <w:szCs w:val="20"/>
          <w:lang w:val="en-US"/>
        </w:rPr>
        <w:t>s developed its case law on</w:t>
      </w:r>
      <w:r w:rsidR="003040F7" w:rsidRPr="00610904">
        <w:rPr>
          <w:noProof w:val="0"/>
          <w:spacing w:val="-2"/>
          <w:szCs w:val="20"/>
          <w:lang w:val="en-US"/>
        </w:rPr>
        <w:t xml:space="preserve"> </w:t>
      </w:r>
      <w:r w:rsidR="00830022" w:rsidRPr="00610904">
        <w:rPr>
          <w:noProof w:val="0"/>
          <w:spacing w:val="-2"/>
          <w:szCs w:val="20"/>
          <w:lang w:val="en-US"/>
        </w:rPr>
        <w:t>pecuniary damage</w:t>
      </w:r>
      <w:r w:rsidRPr="00610904">
        <w:rPr>
          <w:noProof w:val="0"/>
          <w:spacing w:val="-2"/>
          <w:szCs w:val="20"/>
          <w:lang w:val="en-US"/>
        </w:rPr>
        <w:t xml:space="preserve"> and</w:t>
      </w:r>
      <w:r w:rsidR="008553D8" w:rsidRPr="00610904">
        <w:rPr>
          <w:noProof w:val="0"/>
          <w:spacing w:val="-2"/>
          <w:szCs w:val="20"/>
          <w:lang w:val="en-US"/>
        </w:rPr>
        <w:t xml:space="preserve"> the situations in which it should be compensated.</w:t>
      </w:r>
      <w:r w:rsidR="003040F7" w:rsidRPr="00610904">
        <w:rPr>
          <w:rFonts w:cs="Times New Roman"/>
          <w:noProof w:val="0"/>
          <w:spacing w:val="-2"/>
          <w:szCs w:val="20"/>
          <w:vertAlign w:val="superscript"/>
          <w:lang w:val="en-US"/>
        </w:rPr>
        <w:footnoteReference w:id="421"/>
      </w:r>
      <w:r w:rsidR="003040F7" w:rsidRPr="00610904">
        <w:rPr>
          <w:noProof w:val="0"/>
          <w:spacing w:val="-2"/>
          <w:szCs w:val="20"/>
          <w:lang w:val="en-US"/>
        </w:rPr>
        <w:t xml:space="preserve"> </w:t>
      </w:r>
      <w:r w:rsidR="008553D8" w:rsidRPr="00610904">
        <w:rPr>
          <w:noProof w:val="0"/>
          <w:spacing w:val="-2"/>
          <w:szCs w:val="20"/>
          <w:lang w:val="en-US"/>
        </w:rPr>
        <w:t>The</w:t>
      </w:r>
      <w:r w:rsidR="00A8072E" w:rsidRPr="00610904">
        <w:rPr>
          <w:noProof w:val="0"/>
          <w:spacing w:val="-2"/>
          <w:szCs w:val="20"/>
          <w:lang w:val="en-US"/>
        </w:rPr>
        <w:t xml:space="preserve"> Court</w:t>
      </w:r>
      <w:r w:rsidR="003040F7" w:rsidRPr="00610904">
        <w:rPr>
          <w:noProof w:val="0"/>
          <w:spacing w:val="-2"/>
          <w:szCs w:val="20"/>
          <w:lang w:val="en-US"/>
        </w:rPr>
        <w:t xml:space="preserve"> ha</w:t>
      </w:r>
      <w:r w:rsidR="008553D8" w:rsidRPr="00610904">
        <w:rPr>
          <w:noProof w:val="0"/>
          <w:spacing w:val="-2"/>
          <w:szCs w:val="20"/>
          <w:lang w:val="en-US"/>
        </w:rPr>
        <w:t xml:space="preserve">s established that </w:t>
      </w:r>
      <w:r w:rsidR="00830022" w:rsidRPr="00610904">
        <w:rPr>
          <w:noProof w:val="0"/>
          <w:spacing w:val="-2"/>
          <w:szCs w:val="20"/>
          <w:lang w:val="en-US"/>
        </w:rPr>
        <w:t>pecuniary damage</w:t>
      </w:r>
      <w:r w:rsidR="003040F7" w:rsidRPr="00610904">
        <w:rPr>
          <w:noProof w:val="0"/>
          <w:spacing w:val="-2"/>
          <w:szCs w:val="20"/>
          <w:lang w:val="en-US"/>
        </w:rPr>
        <w:t xml:space="preserve"> </w:t>
      </w:r>
      <w:r w:rsidR="008553D8" w:rsidRPr="00610904">
        <w:rPr>
          <w:noProof w:val="0"/>
          <w:spacing w:val="-2"/>
          <w:szCs w:val="20"/>
          <w:lang w:val="en-US"/>
        </w:rPr>
        <w:t>covers</w:t>
      </w:r>
      <w:r w:rsidR="003040F7" w:rsidRPr="00610904">
        <w:rPr>
          <w:noProof w:val="0"/>
          <w:spacing w:val="-2"/>
          <w:szCs w:val="20"/>
          <w:lang w:val="en-US"/>
        </w:rPr>
        <w:t xml:space="preserve"> “</w:t>
      </w:r>
      <w:r w:rsidR="008553D8" w:rsidRPr="00610904">
        <w:rPr>
          <w:noProof w:val="0"/>
          <w:spacing w:val="-2"/>
          <w:szCs w:val="20"/>
          <w:lang w:val="en-US"/>
        </w:rPr>
        <w:t>the loss of, or detriment to, the victims’ income, the expenses incurred due to th</w:t>
      </w:r>
      <w:r w:rsidR="00A858AE" w:rsidRPr="00610904">
        <w:rPr>
          <w:noProof w:val="0"/>
          <w:spacing w:val="-2"/>
          <w:szCs w:val="20"/>
          <w:lang w:val="en-US"/>
        </w:rPr>
        <w:t>e</w:t>
      </w:r>
      <w:r w:rsidR="008553D8" w:rsidRPr="00610904">
        <w:rPr>
          <w:noProof w:val="0"/>
          <w:spacing w:val="-2"/>
          <w:szCs w:val="20"/>
          <w:lang w:val="en-US"/>
        </w:rPr>
        <w:t xml:space="preserve"> facts, and the consequences of a pecuniary nature that have a causal nexus with the facts of the case.</w:t>
      </w:r>
      <w:r w:rsidR="003040F7" w:rsidRPr="00610904">
        <w:rPr>
          <w:rFonts w:cs="Times New Roman"/>
          <w:noProof w:val="0"/>
          <w:spacing w:val="-2"/>
          <w:szCs w:val="20"/>
          <w:vertAlign w:val="superscript"/>
          <w:lang w:val="en-US"/>
        </w:rPr>
        <w:footnoteReference w:id="422"/>
      </w:r>
    </w:p>
    <w:p w:rsidR="003040F7" w:rsidRPr="00610904" w:rsidRDefault="003040F7" w:rsidP="00610904">
      <w:pPr>
        <w:contextualSpacing/>
        <w:rPr>
          <w:noProof w:val="0"/>
          <w:spacing w:val="-2"/>
          <w:szCs w:val="20"/>
          <w:lang w:val="en-US"/>
        </w:rPr>
      </w:pPr>
    </w:p>
    <w:p w:rsidR="008553D8" w:rsidRPr="00610904" w:rsidRDefault="008553D8" w:rsidP="00610904">
      <w:pPr>
        <w:numPr>
          <w:ilvl w:val="0"/>
          <w:numId w:val="1"/>
        </w:numPr>
        <w:contextualSpacing/>
        <w:rPr>
          <w:noProof w:val="0"/>
          <w:spacing w:val="-2"/>
          <w:szCs w:val="20"/>
          <w:lang w:val="en-US"/>
        </w:rPr>
      </w:pPr>
      <w:r w:rsidRPr="00610904">
        <w:rPr>
          <w:noProof w:val="0"/>
          <w:spacing w:val="-2"/>
          <w:szCs w:val="20"/>
          <w:lang w:val="en-US"/>
        </w:rPr>
        <w:t>From the documentation provided, the Court notes that, in the affidavits</w:t>
      </w:r>
      <w:r w:rsidR="003040F7" w:rsidRPr="00610904">
        <w:rPr>
          <w:noProof w:val="0"/>
          <w:spacing w:val="-2"/>
          <w:szCs w:val="20"/>
          <w:lang w:val="en-US"/>
        </w:rPr>
        <w:t xml:space="preserve">, Teresa Lluy </w:t>
      </w:r>
      <w:r w:rsidRPr="00610904">
        <w:rPr>
          <w:noProof w:val="0"/>
          <w:spacing w:val="-2"/>
          <w:szCs w:val="20"/>
          <w:lang w:val="en-US"/>
        </w:rPr>
        <w:t>indicated that she “lost everything in order to cover the expenses and respond to the need</w:t>
      </w:r>
      <w:r w:rsidR="00567EC5" w:rsidRPr="00610904">
        <w:rPr>
          <w:noProof w:val="0"/>
          <w:spacing w:val="-2"/>
          <w:szCs w:val="20"/>
          <w:lang w:val="en-US"/>
        </w:rPr>
        <w:t>s</w:t>
      </w:r>
      <w:r w:rsidRPr="00610904">
        <w:rPr>
          <w:noProof w:val="0"/>
          <w:spacing w:val="-2"/>
          <w:szCs w:val="20"/>
          <w:lang w:val="en-US"/>
        </w:rPr>
        <w:t xml:space="preserve"> of Talía owing to </w:t>
      </w:r>
      <w:r w:rsidR="00A8072E" w:rsidRPr="00610904">
        <w:rPr>
          <w:noProof w:val="0"/>
          <w:spacing w:val="-2"/>
          <w:szCs w:val="20"/>
          <w:lang w:val="en-US"/>
        </w:rPr>
        <w:t>HIV</w:t>
      </w:r>
      <w:r w:rsidR="003040F7" w:rsidRPr="00610904">
        <w:rPr>
          <w:noProof w:val="0"/>
          <w:spacing w:val="-2"/>
          <w:szCs w:val="20"/>
          <w:lang w:val="en-US"/>
        </w:rPr>
        <w:t xml:space="preserve">: </w:t>
      </w:r>
      <w:r w:rsidRPr="00610904">
        <w:rPr>
          <w:noProof w:val="0"/>
          <w:spacing w:val="-2"/>
          <w:szCs w:val="20"/>
          <w:lang w:val="en-US"/>
        </w:rPr>
        <w:t>doctors’ appointments, travel for medical controls, special food [and] medicines. [She] spent around $500 to</w:t>
      </w:r>
      <w:r w:rsidR="00CF7B4D" w:rsidRPr="00610904">
        <w:rPr>
          <w:noProof w:val="0"/>
          <w:spacing w:val="-2"/>
          <w:szCs w:val="20"/>
          <w:lang w:val="en-US"/>
        </w:rPr>
        <w:t xml:space="preserve"> </w:t>
      </w:r>
      <w:r w:rsidRPr="00610904">
        <w:rPr>
          <w:noProof w:val="0"/>
          <w:spacing w:val="-2"/>
          <w:szCs w:val="20"/>
          <w:lang w:val="en-US"/>
        </w:rPr>
        <w:t>$1,</w:t>
      </w:r>
      <w:r w:rsidR="003040F7" w:rsidRPr="00610904">
        <w:rPr>
          <w:noProof w:val="0"/>
          <w:spacing w:val="-2"/>
          <w:szCs w:val="20"/>
          <w:lang w:val="en-US"/>
        </w:rPr>
        <w:t xml:space="preserve">500 </w:t>
      </w:r>
      <w:r w:rsidRPr="00610904">
        <w:rPr>
          <w:noProof w:val="0"/>
          <w:spacing w:val="-2"/>
          <w:szCs w:val="20"/>
          <w:lang w:val="en-US"/>
        </w:rPr>
        <w:t xml:space="preserve">every month. She also alleged that </w:t>
      </w:r>
      <w:r w:rsidR="00567EC5" w:rsidRPr="00610904">
        <w:rPr>
          <w:noProof w:val="0"/>
          <w:spacing w:val="-2"/>
          <w:szCs w:val="20"/>
          <w:lang w:val="en-US"/>
        </w:rPr>
        <w:t xml:space="preserve">it was </w:t>
      </w:r>
      <w:r w:rsidRPr="00610904">
        <w:rPr>
          <w:noProof w:val="0"/>
          <w:spacing w:val="-2"/>
          <w:szCs w:val="20"/>
          <w:lang w:val="en-US"/>
        </w:rPr>
        <w:t xml:space="preserve">she </w:t>
      </w:r>
      <w:r w:rsidR="00567EC5" w:rsidRPr="00610904">
        <w:rPr>
          <w:noProof w:val="0"/>
          <w:spacing w:val="-2"/>
          <w:szCs w:val="20"/>
          <w:lang w:val="en-US"/>
        </w:rPr>
        <w:t>who had</w:t>
      </w:r>
      <w:r w:rsidRPr="00610904">
        <w:rPr>
          <w:noProof w:val="0"/>
          <w:spacing w:val="-2"/>
          <w:szCs w:val="20"/>
          <w:lang w:val="en-US"/>
        </w:rPr>
        <w:t xml:space="preserve"> paid all the expenses</w:t>
      </w:r>
      <w:r w:rsidR="00567EC5" w:rsidRPr="00610904">
        <w:rPr>
          <w:noProof w:val="0"/>
          <w:spacing w:val="-2"/>
          <w:szCs w:val="20"/>
          <w:lang w:val="en-US"/>
        </w:rPr>
        <w:t>;</w:t>
      </w:r>
      <w:r w:rsidRPr="00610904">
        <w:rPr>
          <w:noProof w:val="0"/>
          <w:spacing w:val="-2"/>
          <w:szCs w:val="20"/>
          <w:lang w:val="en-US"/>
        </w:rPr>
        <w:t xml:space="preserve"> that she has lawsuits pending owing to her debts, and “threats </w:t>
      </w:r>
      <w:r w:rsidRPr="00610904">
        <w:rPr>
          <w:noProof w:val="0"/>
          <w:spacing w:val="-2"/>
          <w:szCs w:val="20"/>
          <w:lang w:val="en-US"/>
        </w:rPr>
        <w:lastRenderedPageBreak/>
        <w:t xml:space="preserve">from the moneylenders” insisting she pay </w:t>
      </w:r>
      <w:r w:rsidR="00567EC5" w:rsidRPr="00610904">
        <w:rPr>
          <w:noProof w:val="0"/>
          <w:spacing w:val="-2"/>
          <w:szCs w:val="20"/>
          <w:lang w:val="en-US"/>
        </w:rPr>
        <w:t>what she owed</w:t>
      </w:r>
      <w:r w:rsidRPr="00610904">
        <w:rPr>
          <w:noProof w:val="0"/>
          <w:spacing w:val="-2"/>
          <w:szCs w:val="20"/>
          <w:lang w:val="en-US"/>
        </w:rPr>
        <w:t xml:space="preserve">. She also stated that, at the present time, she earns around US$100.00 a month from the informal sale of food on the </w:t>
      </w:r>
      <w:r w:rsidR="00856968" w:rsidRPr="00610904">
        <w:rPr>
          <w:noProof w:val="0"/>
          <w:spacing w:val="-2"/>
          <w:szCs w:val="20"/>
          <w:lang w:val="en-US"/>
        </w:rPr>
        <w:t>street</w:t>
      </w:r>
      <w:r w:rsidRPr="00610904">
        <w:rPr>
          <w:noProof w:val="0"/>
          <w:spacing w:val="-2"/>
          <w:szCs w:val="20"/>
          <w:lang w:val="en-US"/>
        </w:rPr>
        <w:t xml:space="preserve">, and that she needs the financial support of her son, Iván. Meanwhile, Iván Lluy stated that, in order to help cover his family’s expenses, he had to abandon the university and work as a messenger, cleaning offices, and as a waiter, because “[t]heir needs were urgent and no State authority took them into account.” He also indicated that he had to assume all the expenses to provide his sister with nutritious food and appropriate treatment. Lastly, Talía stated that her mother and brother “went into debt and sacrificed a great deal to </w:t>
      </w:r>
      <w:r w:rsidR="00567EC5" w:rsidRPr="00610904">
        <w:rPr>
          <w:noProof w:val="0"/>
          <w:spacing w:val="-2"/>
          <w:szCs w:val="20"/>
          <w:lang w:val="en-US"/>
        </w:rPr>
        <w:t>give [her] what she needed to stay</w:t>
      </w:r>
      <w:r w:rsidRPr="00610904">
        <w:rPr>
          <w:noProof w:val="0"/>
          <w:spacing w:val="-2"/>
          <w:szCs w:val="20"/>
          <w:lang w:val="en-US"/>
        </w:rPr>
        <w:t xml:space="preserve"> alive.”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w:t>
      </w:r>
      <w:r w:rsidR="008553D8" w:rsidRPr="00610904">
        <w:rPr>
          <w:noProof w:val="0"/>
          <w:spacing w:val="-2"/>
          <w:szCs w:val="20"/>
          <w:lang w:val="en-US"/>
        </w:rPr>
        <w:t>notes that</w:t>
      </w:r>
      <w:r w:rsidR="003040F7" w:rsidRPr="00610904">
        <w:rPr>
          <w:noProof w:val="0"/>
          <w:spacing w:val="-2"/>
          <w:szCs w:val="20"/>
          <w:lang w:val="en-US"/>
        </w:rPr>
        <w:t xml:space="preserve"> </w:t>
      </w:r>
      <w:r w:rsidRPr="00610904">
        <w:rPr>
          <w:noProof w:val="0"/>
          <w:spacing w:val="-2"/>
          <w:szCs w:val="20"/>
          <w:lang w:val="en-US"/>
        </w:rPr>
        <w:t>the representatives</w:t>
      </w:r>
      <w:r w:rsidR="003040F7" w:rsidRPr="00610904">
        <w:rPr>
          <w:noProof w:val="0"/>
          <w:spacing w:val="-2"/>
          <w:szCs w:val="20"/>
          <w:lang w:val="en-US"/>
        </w:rPr>
        <w:t xml:space="preserve"> </w:t>
      </w:r>
      <w:r w:rsidR="008553D8" w:rsidRPr="00610904">
        <w:rPr>
          <w:noProof w:val="0"/>
          <w:spacing w:val="-2"/>
          <w:szCs w:val="20"/>
          <w:lang w:val="en-US"/>
        </w:rPr>
        <w:t xml:space="preserve">provided evidence of several debts in the name of </w:t>
      </w:r>
      <w:r w:rsidR="005550B0" w:rsidRPr="00610904">
        <w:rPr>
          <w:noProof w:val="0"/>
          <w:spacing w:val="-2"/>
          <w:szCs w:val="20"/>
          <w:lang w:val="en-US"/>
        </w:rPr>
        <w:t>Iván</w:t>
      </w:r>
      <w:r w:rsidRPr="00610904">
        <w:rPr>
          <w:noProof w:val="0"/>
          <w:spacing w:val="-2"/>
          <w:szCs w:val="20"/>
          <w:lang w:val="en-US"/>
        </w:rPr>
        <w:t xml:space="preserve"> and </w:t>
      </w:r>
      <w:r w:rsidR="003040F7" w:rsidRPr="00610904">
        <w:rPr>
          <w:noProof w:val="0"/>
          <w:spacing w:val="-2"/>
          <w:szCs w:val="20"/>
          <w:lang w:val="en-US"/>
        </w:rPr>
        <w:t>Teresa Lluy</w:t>
      </w:r>
      <w:r w:rsidR="008553D8" w:rsidRPr="00610904">
        <w:rPr>
          <w:noProof w:val="0"/>
          <w:spacing w:val="-2"/>
          <w:szCs w:val="20"/>
          <w:lang w:val="en-US"/>
        </w:rPr>
        <w:t>,</w:t>
      </w:r>
      <w:r w:rsidR="003040F7" w:rsidRPr="00610904">
        <w:rPr>
          <w:rFonts w:cs="Times New Roman"/>
          <w:noProof w:val="0"/>
          <w:spacing w:val="-2"/>
          <w:szCs w:val="20"/>
          <w:vertAlign w:val="superscript"/>
          <w:lang w:val="en-US"/>
        </w:rPr>
        <w:footnoteReference w:id="423"/>
      </w:r>
      <w:r w:rsidR="008553D8" w:rsidRPr="00610904">
        <w:rPr>
          <w:noProof w:val="0"/>
          <w:spacing w:val="-2"/>
          <w:szCs w:val="20"/>
          <w:lang w:val="en-US"/>
        </w:rPr>
        <w:t xml:space="preserve"> as well as the lawsuit filed by the La Merced Savings and Loan </w:t>
      </w:r>
      <w:r w:rsidR="00856968" w:rsidRPr="00610904">
        <w:rPr>
          <w:noProof w:val="0"/>
          <w:spacing w:val="-2"/>
          <w:szCs w:val="20"/>
          <w:lang w:val="en-US"/>
        </w:rPr>
        <w:t>Cooperative before</w:t>
      </w:r>
      <w:r w:rsidR="008553D8" w:rsidRPr="00610904">
        <w:rPr>
          <w:noProof w:val="0"/>
          <w:spacing w:val="-2"/>
          <w:szCs w:val="20"/>
          <w:lang w:val="en-US"/>
        </w:rPr>
        <w:t xml:space="preserve"> the Civil </w:t>
      </w:r>
      <w:r w:rsidR="00856968" w:rsidRPr="00610904">
        <w:rPr>
          <w:noProof w:val="0"/>
          <w:spacing w:val="-2"/>
          <w:szCs w:val="20"/>
          <w:lang w:val="en-US"/>
        </w:rPr>
        <w:t>Court of</w:t>
      </w:r>
      <w:r w:rsidR="0088750E" w:rsidRPr="00610904">
        <w:rPr>
          <w:noProof w:val="0"/>
          <w:spacing w:val="-2"/>
          <w:szCs w:val="20"/>
          <w:lang w:val="en-US"/>
        </w:rPr>
        <w:t xml:space="preserve"> Cuenca</w:t>
      </w:r>
      <w:r w:rsidR="008553D8" w:rsidRPr="00610904">
        <w:rPr>
          <w:noProof w:val="0"/>
          <w:spacing w:val="-2"/>
          <w:szCs w:val="20"/>
          <w:lang w:val="en-US"/>
        </w:rPr>
        <w:t>.</w:t>
      </w:r>
      <w:r w:rsidR="003040F7" w:rsidRPr="00610904">
        <w:rPr>
          <w:rFonts w:cs="Times New Roman"/>
          <w:noProof w:val="0"/>
          <w:spacing w:val="-2"/>
          <w:szCs w:val="20"/>
          <w:vertAlign w:val="superscript"/>
          <w:lang w:val="en-US"/>
        </w:rPr>
        <w:footnoteReference w:id="424"/>
      </w:r>
      <w:r w:rsidR="008553D8" w:rsidRPr="00610904">
        <w:rPr>
          <w:noProof w:val="0"/>
          <w:spacing w:val="-2"/>
          <w:szCs w:val="20"/>
          <w:lang w:val="en-US"/>
        </w:rPr>
        <w:t xml:space="preserve"> In addition, the case file contains receipts for medical </w:t>
      </w:r>
      <w:r w:rsidR="00856968" w:rsidRPr="00610904">
        <w:rPr>
          <w:noProof w:val="0"/>
          <w:spacing w:val="-2"/>
          <w:szCs w:val="20"/>
          <w:lang w:val="en-US"/>
        </w:rPr>
        <w:t>examinations</w:t>
      </w:r>
      <w:r w:rsidR="008553D8" w:rsidRPr="00610904">
        <w:rPr>
          <w:noProof w:val="0"/>
          <w:spacing w:val="-2"/>
          <w:szCs w:val="20"/>
          <w:lang w:val="en-US"/>
        </w:rPr>
        <w:t>, food supplements, and transport.</w:t>
      </w:r>
      <w:r w:rsidR="003040F7" w:rsidRPr="00610904">
        <w:rPr>
          <w:rFonts w:cs="Times New Roman"/>
          <w:noProof w:val="0"/>
          <w:spacing w:val="-2"/>
          <w:szCs w:val="20"/>
          <w:vertAlign w:val="superscript"/>
          <w:lang w:val="en-US"/>
        </w:rPr>
        <w:footnoteReference w:id="425"/>
      </w:r>
      <w:r w:rsidR="008553D8" w:rsidRPr="00610904">
        <w:rPr>
          <w:noProof w:val="0"/>
          <w:spacing w:val="-2"/>
          <w:szCs w:val="20"/>
          <w:lang w:val="en-US"/>
        </w:rPr>
        <w:t xml:space="preserve"> However, based on the evidence in the case file, the Court is unable to quantify precisely the amount that the Lluy family disbursed due to the facts, since it is unable to determine clearly the justification for each expense and debt </w:t>
      </w:r>
      <w:r w:rsidR="0056398E" w:rsidRPr="00610904">
        <w:rPr>
          <w:noProof w:val="0"/>
          <w:spacing w:val="-2"/>
          <w:szCs w:val="20"/>
          <w:lang w:val="en-US"/>
        </w:rPr>
        <w:t>described</w:t>
      </w:r>
      <w:r w:rsidR="008553D8" w:rsidRPr="00610904">
        <w:rPr>
          <w:noProof w:val="0"/>
          <w:spacing w:val="-2"/>
          <w:szCs w:val="20"/>
          <w:lang w:val="en-US"/>
        </w:rPr>
        <w:t xml:space="preserve">. However, the Court recognizes that the victims have incurred diverse expenses for the medical treatment and care that </w:t>
      </w:r>
      <w:r w:rsidR="00CD3738" w:rsidRPr="00610904">
        <w:rPr>
          <w:noProof w:val="0"/>
          <w:spacing w:val="-2"/>
          <w:szCs w:val="20"/>
          <w:lang w:val="en-US"/>
        </w:rPr>
        <w:t>Talía</w:t>
      </w:r>
      <w:r w:rsidR="003040F7" w:rsidRPr="00610904">
        <w:rPr>
          <w:noProof w:val="0"/>
          <w:spacing w:val="-2"/>
          <w:szCs w:val="20"/>
          <w:lang w:val="en-US"/>
        </w:rPr>
        <w:t xml:space="preserve"> Gonzales Lluy</w:t>
      </w:r>
      <w:r w:rsidR="008553D8" w:rsidRPr="00610904">
        <w:rPr>
          <w:noProof w:val="0"/>
          <w:spacing w:val="-2"/>
          <w:szCs w:val="20"/>
          <w:lang w:val="en-US"/>
        </w:rPr>
        <w:t xml:space="preserve"> </w:t>
      </w:r>
      <w:r w:rsidR="00567EC5" w:rsidRPr="00610904">
        <w:rPr>
          <w:noProof w:val="0"/>
          <w:spacing w:val="-2"/>
          <w:szCs w:val="20"/>
          <w:lang w:val="en-US"/>
        </w:rPr>
        <w:t>required</w:t>
      </w:r>
      <w:r w:rsidR="008553D8" w:rsidRPr="00610904">
        <w:rPr>
          <w:noProof w:val="0"/>
          <w:spacing w:val="-2"/>
          <w:szCs w:val="20"/>
          <w:lang w:val="en-US"/>
        </w:rPr>
        <w:t xml:space="preserve">, and therefore establishes, in equity, in favor of </w:t>
      </w:r>
      <w:r w:rsidR="00ED58CB" w:rsidRPr="00610904">
        <w:rPr>
          <w:noProof w:val="0"/>
          <w:spacing w:val="-2"/>
          <w:szCs w:val="20"/>
          <w:lang w:val="en-US"/>
        </w:rPr>
        <w:t xml:space="preserve">Teresa </w:t>
      </w:r>
      <w:r w:rsidR="005550B0" w:rsidRPr="00610904">
        <w:rPr>
          <w:noProof w:val="0"/>
          <w:spacing w:val="-2"/>
          <w:szCs w:val="20"/>
          <w:lang w:val="en-US"/>
        </w:rPr>
        <w:t>and Iván</w:t>
      </w:r>
      <w:r w:rsidR="00ED58CB" w:rsidRPr="00610904">
        <w:rPr>
          <w:noProof w:val="0"/>
          <w:spacing w:val="-2"/>
          <w:szCs w:val="20"/>
          <w:lang w:val="en-US"/>
        </w:rPr>
        <w:t xml:space="preserve"> Lluy,</w:t>
      </w:r>
      <w:r w:rsidR="003040F7" w:rsidRPr="00610904">
        <w:rPr>
          <w:noProof w:val="0"/>
          <w:spacing w:val="-2"/>
          <w:szCs w:val="20"/>
          <w:lang w:val="en-US"/>
        </w:rPr>
        <w:t xml:space="preserve"> </w:t>
      </w:r>
      <w:r w:rsidR="008553D8" w:rsidRPr="00610904">
        <w:rPr>
          <w:noProof w:val="0"/>
          <w:spacing w:val="-2"/>
          <w:szCs w:val="20"/>
          <w:lang w:val="en-US"/>
        </w:rPr>
        <w:t>the sum of US$</w:t>
      </w:r>
      <w:r w:rsidR="003040F7" w:rsidRPr="00610904">
        <w:rPr>
          <w:noProof w:val="0"/>
          <w:spacing w:val="-2"/>
          <w:szCs w:val="20"/>
          <w:lang w:val="en-US"/>
        </w:rPr>
        <w:t>50</w:t>
      </w:r>
      <w:r w:rsidR="007916C1" w:rsidRPr="00610904">
        <w:rPr>
          <w:noProof w:val="0"/>
          <w:spacing w:val="-2"/>
          <w:szCs w:val="20"/>
          <w:lang w:val="en-US"/>
        </w:rPr>
        <w:t>,000.00</w:t>
      </w:r>
      <w:r w:rsidR="003040F7" w:rsidRPr="00610904">
        <w:rPr>
          <w:noProof w:val="0"/>
          <w:spacing w:val="-2"/>
          <w:szCs w:val="20"/>
          <w:lang w:val="en-US"/>
        </w:rPr>
        <w:t xml:space="preserve"> (</w:t>
      </w:r>
      <w:r w:rsidR="008553D8" w:rsidRPr="00610904">
        <w:rPr>
          <w:noProof w:val="0"/>
          <w:spacing w:val="-2"/>
          <w:szCs w:val="20"/>
          <w:lang w:val="en-US"/>
        </w:rPr>
        <w:t>fifty</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008553D8" w:rsidRPr="00610904">
        <w:rPr>
          <w:noProof w:val="0"/>
          <w:spacing w:val="-2"/>
          <w:szCs w:val="20"/>
          <w:lang w:val="en-US"/>
        </w:rPr>
        <w:t>each, for</w:t>
      </w:r>
      <w:r w:rsidR="003040F7" w:rsidRPr="00610904">
        <w:rPr>
          <w:noProof w:val="0"/>
          <w:spacing w:val="-2"/>
          <w:szCs w:val="20"/>
          <w:lang w:val="en-US"/>
        </w:rPr>
        <w:t xml:space="preserve"> </w:t>
      </w:r>
      <w:r w:rsidR="00830022" w:rsidRPr="00610904">
        <w:rPr>
          <w:noProof w:val="0"/>
          <w:spacing w:val="-2"/>
          <w:szCs w:val="20"/>
          <w:lang w:val="en-US"/>
        </w:rPr>
        <w:t>pecuniary damage</w:t>
      </w:r>
      <w:r w:rsidR="003040F7" w:rsidRPr="00610904">
        <w:rPr>
          <w:noProof w:val="0"/>
          <w:spacing w:val="-2"/>
          <w:szCs w:val="20"/>
          <w:lang w:val="en-US"/>
        </w:rPr>
        <w:t xml:space="preserve">.  </w:t>
      </w:r>
    </w:p>
    <w:p w:rsidR="003040F7" w:rsidRPr="00610904" w:rsidRDefault="003040F7" w:rsidP="00610904">
      <w:pPr>
        <w:pStyle w:val="MediumGrid1-Accent21"/>
        <w:rPr>
          <w:noProof w:val="0"/>
          <w:spacing w:val="-2"/>
          <w:szCs w:val="20"/>
          <w:lang w:val="en-US"/>
        </w:rPr>
      </w:pPr>
    </w:p>
    <w:p w:rsidR="00802855" w:rsidRPr="00610904" w:rsidRDefault="00802855" w:rsidP="00610904">
      <w:pPr>
        <w:pStyle w:val="Heading3"/>
        <w:rPr>
          <w:noProof w:val="0"/>
          <w:lang w:val="en-US"/>
        </w:rPr>
      </w:pPr>
      <w:bookmarkStart w:id="183" w:name="_Toc443399134"/>
      <w:r w:rsidRPr="00610904">
        <w:rPr>
          <w:noProof w:val="0"/>
          <w:lang w:val="en-US"/>
        </w:rPr>
        <w:t>D.2)</w:t>
      </w:r>
      <w:r w:rsidRPr="00610904">
        <w:rPr>
          <w:noProof w:val="0"/>
          <w:lang w:val="en-US"/>
        </w:rPr>
        <w:tab/>
      </w:r>
      <w:r w:rsidR="00830022" w:rsidRPr="00610904">
        <w:rPr>
          <w:noProof w:val="0"/>
          <w:lang w:val="en-US"/>
        </w:rPr>
        <w:t>Non-pecuniary damage</w:t>
      </w:r>
      <w:bookmarkEnd w:id="183"/>
    </w:p>
    <w:p w:rsidR="003040F7" w:rsidRPr="00610904" w:rsidRDefault="003040F7" w:rsidP="00610904">
      <w:pPr>
        <w:contextualSpacing/>
        <w:rPr>
          <w:noProof w:val="0"/>
          <w:spacing w:val="-2"/>
          <w:szCs w:val="20"/>
          <w:lang w:val="en-US"/>
        </w:rPr>
      </w:pPr>
    </w:p>
    <w:p w:rsidR="003040F7" w:rsidRPr="00610904" w:rsidRDefault="00882CCC" w:rsidP="00610904">
      <w:pPr>
        <w:pStyle w:val="MediumGrid1-Accent21"/>
        <w:rPr>
          <w:i/>
          <w:noProof w:val="0"/>
          <w:lang w:val="en-US"/>
        </w:rPr>
      </w:pPr>
      <w:r w:rsidRPr="00610904">
        <w:rPr>
          <w:i/>
          <w:noProof w:val="0"/>
          <w:lang w:val="en-US"/>
        </w:rPr>
        <w:t>Arguments</w:t>
      </w:r>
      <w:r w:rsidR="003040F7" w:rsidRPr="00610904">
        <w:rPr>
          <w:i/>
          <w:noProof w:val="0"/>
          <w:lang w:val="en-US"/>
        </w:rPr>
        <w:t xml:space="preserve"> </w:t>
      </w:r>
      <w:r w:rsidR="00B45E43" w:rsidRPr="00610904">
        <w:rPr>
          <w:i/>
          <w:noProof w:val="0"/>
          <w:lang w:val="en-US"/>
        </w:rPr>
        <w:t>of the parties</w:t>
      </w:r>
      <w:r w:rsidR="009F3D78" w:rsidRPr="00610904">
        <w:rPr>
          <w:i/>
          <w:noProof w:val="0"/>
          <w:lang w:val="en-US"/>
        </w:rPr>
        <w:t xml:space="preserve"> and</w:t>
      </w:r>
      <w:r w:rsidR="003309BE" w:rsidRPr="00610904">
        <w:rPr>
          <w:i/>
          <w:noProof w:val="0"/>
          <w:lang w:val="en-US"/>
        </w:rPr>
        <w:t xml:space="preserve"> of the </w:t>
      </w:r>
      <w:r w:rsidR="002F5BBA" w:rsidRPr="00610904">
        <w:rPr>
          <w:i/>
          <w:noProof w:val="0"/>
          <w:lang w:val="en-US"/>
        </w:rPr>
        <w:t>Commission</w:t>
      </w:r>
    </w:p>
    <w:p w:rsidR="003040F7" w:rsidRPr="00610904" w:rsidRDefault="003040F7" w:rsidP="00610904">
      <w:pPr>
        <w:pStyle w:val="MediumGrid1-Accent21"/>
        <w:rPr>
          <w:noProof w:val="0"/>
          <w:spacing w:val="-2"/>
          <w:szCs w:val="20"/>
          <w:lang w:val="en-US"/>
        </w:rPr>
      </w:pPr>
    </w:p>
    <w:p w:rsidR="00D23445"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b/>
          <w:i/>
          <w:noProof w:val="0"/>
          <w:spacing w:val="-2"/>
          <w:szCs w:val="20"/>
          <w:lang w:val="en-US"/>
        </w:rPr>
        <w:t xml:space="preserve"> </w:t>
      </w:r>
      <w:r w:rsidR="003040F7" w:rsidRPr="00610904">
        <w:rPr>
          <w:noProof w:val="0"/>
          <w:spacing w:val="-2"/>
          <w:szCs w:val="20"/>
          <w:lang w:val="en-US"/>
        </w:rPr>
        <w:t>a</w:t>
      </w:r>
      <w:r w:rsidR="00A858AE" w:rsidRPr="00610904">
        <w:rPr>
          <w:noProof w:val="0"/>
          <w:spacing w:val="-2"/>
          <w:szCs w:val="20"/>
          <w:lang w:val="en-US"/>
        </w:rPr>
        <w:t xml:space="preserve">rgued that, considering the suffering for the persistent and incalculable violation of human rights of three individuals who were particularly vulnerable and </w:t>
      </w:r>
      <w:r w:rsidR="00A858AE" w:rsidRPr="00610904">
        <w:rPr>
          <w:noProof w:val="0"/>
          <w:spacing w:val="-2"/>
          <w:szCs w:val="20"/>
          <w:lang w:val="en-US"/>
        </w:rPr>
        <w:lastRenderedPageBreak/>
        <w:t xml:space="preserve">required special protection, the amount for non-pecuniary damage could not be less than </w:t>
      </w:r>
      <w:r w:rsidR="00A06F0C" w:rsidRPr="00610904">
        <w:rPr>
          <w:noProof w:val="0"/>
          <w:spacing w:val="-2"/>
          <w:szCs w:val="20"/>
          <w:lang w:val="en-US"/>
        </w:rPr>
        <w:t>US$1,</w:t>
      </w:r>
      <w:r w:rsidR="003040F7" w:rsidRPr="00610904">
        <w:rPr>
          <w:noProof w:val="0"/>
          <w:spacing w:val="-2"/>
          <w:szCs w:val="20"/>
          <w:lang w:val="en-US"/>
        </w:rPr>
        <w:t>000</w:t>
      </w:r>
      <w:r w:rsidR="007916C1" w:rsidRPr="00610904">
        <w:rPr>
          <w:noProof w:val="0"/>
          <w:spacing w:val="-2"/>
          <w:szCs w:val="20"/>
          <w:lang w:val="en-US"/>
        </w:rPr>
        <w:t>,000.00</w:t>
      </w:r>
      <w:r w:rsidR="003040F7" w:rsidRPr="00610904">
        <w:rPr>
          <w:noProof w:val="0"/>
          <w:spacing w:val="-2"/>
          <w:szCs w:val="20"/>
          <w:lang w:val="en-US"/>
        </w:rPr>
        <w:t xml:space="preserve"> (</w:t>
      </w:r>
      <w:r w:rsidR="00A06F0C" w:rsidRPr="00610904">
        <w:rPr>
          <w:noProof w:val="0"/>
          <w:spacing w:val="-2"/>
          <w:szCs w:val="20"/>
          <w:lang w:val="en-US"/>
        </w:rPr>
        <w:t>one million</w:t>
      </w:r>
      <w:r w:rsidR="003040F7" w:rsidRPr="00610904">
        <w:rPr>
          <w:noProof w:val="0"/>
          <w:spacing w:val="-2"/>
          <w:szCs w:val="20"/>
          <w:lang w:val="en-US"/>
        </w:rPr>
        <w:t xml:space="preserve"> </w:t>
      </w:r>
      <w:r w:rsidR="007916C1" w:rsidRPr="00610904">
        <w:rPr>
          <w:noProof w:val="0"/>
          <w:spacing w:val="-2"/>
          <w:szCs w:val="20"/>
          <w:lang w:val="en-US"/>
        </w:rPr>
        <w:t>United States dollars</w:t>
      </w:r>
      <w:r w:rsidR="003040F7" w:rsidRPr="00610904">
        <w:rPr>
          <w:noProof w:val="0"/>
          <w:spacing w:val="-2"/>
          <w:szCs w:val="20"/>
          <w:lang w:val="en-US"/>
        </w:rPr>
        <w:t xml:space="preserve">). </w:t>
      </w:r>
      <w:r w:rsidR="00D23445" w:rsidRPr="00610904">
        <w:rPr>
          <w:noProof w:val="0"/>
          <w:spacing w:val="-2"/>
          <w:szCs w:val="20"/>
          <w:lang w:val="en-US"/>
        </w:rPr>
        <w:t>In addition, the</w:t>
      </w:r>
      <w:r w:rsidRPr="00610904">
        <w:rPr>
          <w:noProof w:val="0"/>
          <w:spacing w:val="-2"/>
          <w:szCs w:val="20"/>
          <w:lang w:val="en-US"/>
        </w:rPr>
        <w:t xml:space="preserve"> representatives</w:t>
      </w:r>
      <w:r w:rsidR="003040F7" w:rsidRPr="00610904">
        <w:rPr>
          <w:noProof w:val="0"/>
          <w:spacing w:val="-2"/>
          <w:szCs w:val="20"/>
          <w:lang w:val="en-US"/>
        </w:rPr>
        <w:t xml:space="preserve"> men</w:t>
      </w:r>
      <w:r w:rsidR="00D23445" w:rsidRPr="00610904">
        <w:rPr>
          <w:noProof w:val="0"/>
          <w:spacing w:val="-2"/>
          <w:szCs w:val="20"/>
          <w:lang w:val="en-US"/>
        </w:rPr>
        <w:t xml:space="preserve">tioned that, in the Ecuadorian context, in which Ecuadorian justice has compensated the President of the </w:t>
      </w:r>
      <w:r w:rsidR="00856968" w:rsidRPr="00610904">
        <w:rPr>
          <w:noProof w:val="0"/>
          <w:spacing w:val="-2"/>
          <w:szCs w:val="20"/>
          <w:lang w:val="en-US"/>
        </w:rPr>
        <w:t>Republic</w:t>
      </w:r>
      <w:r w:rsidR="00D23445" w:rsidRPr="00610904">
        <w:rPr>
          <w:noProof w:val="0"/>
          <w:spacing w:val="-2"/>
          <w:szCs w:val="20"/>
          <w:lang w:val="en-US"/>
        </w:rPr>
        <w:t xml:space="preserve"> with “judgments worth millions,” the claim of the victims in this case is not “farfetched.” Nevertheless, they indicated that “in the worst case,” the opinion of expert witness Marcelo Pazmiño should be taken into consideration, who proposed taking the life expectancy of Ecuadorian women, which is 72 years, and calculating the number of months multi</w:t>
      </w:r>
      <w:r w:rsidR="00567EC5" w:rsidRPr="00610904">
        <w:rPr>
          <w:noProof w:val="0"/>
          <w:spacing w:val="-2"/>
          <w:szCs w:val="20"/>
          <w:lang w:val="en-US"/>
        </w:rPr>
        <w:t>plied by a family’s basic basket</w:t>
      </w:r>
      <w:r w:rsidR="00D23445" w:rsidRPr="00610904">
        <w:rPr>
          <w:noProof w:val="0"/>
          <w:spacing w:val="-2"/>
          <w:szCs w:val="20"/>
          <w:lang w:val="en-US"/>
        </w:rPr>
        <w:t xml:space="preserve"> of food products.</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b/>
          <w:i/>
          <w:noProof w:val="0"/>
          <w:spacing w:val="-2"/>
          <w:szCs w:val="20"/>
          <w:lang w:val="en-US"/>
        </w:rPr>
        <w:t xml:space="preserve"> </w:t>
      </w:r>
      <w:r w:rsidR="00F311EC" w:rsidRPr="00610904">
        <w:rPr>
          <w:noProof w:val="0"/>
          <w:spacing w:val="-2"/>
          <w:szCs w:val="20"/>
          <w:lang w:val="en-US"/>
        </w:rPr>
        <w:t>asked</w:t>
      </w:r>
      <w:r w:rsidR="003040F7" w:rsidRPr="00610904">
        <w:rPr>
          <w:noProof w:val="0"/>
          <w:spacing w:val="-2"/>
          <w:szCs w:val="20"/>
          <w:lang w:val="en-US"/>
        </w:rPr>
        <w:t xml:space="preserve"> </w:t>
      </w:r>
      <w:r w:rsidRPr="00610904">
        <w:rPr>
          <w:noProof w:val="0"/>
          <w:spacing w:val="-2"/>
          <w:szCs w:val="20"/>
          <w:lang w:val="en-US"/>
        </w:rPr>
        <w:t>the Court</w:t>
      </w:r>
      <w:r w:rsidR="00F311EC" w:rsidRPr="00610904">
        <w:rPr>
          <w:noProof w:val="0"/>
          <w:spacing w:val="-2"/>
          <w:szCs w:val="20"/>
          <w:lang w:val="en-US"/>
        </w:rPr>
        <w:t xml:space="preserve">, </w:t>
      </w:r>
      <w:r w:rsidR="00D23445" w:rsidRPr="00610904">
        <w:rPr>
          <w:noProof w:val="0"/>
          <w:spacing w:val="-2"/>
          <w:szCs w:val="20"/>
          <w:lang w:val="en-US"/>
        </w:rPr>
        <w:t>if it decided</w:t>
      </w:r>
      <w:r w:rsidR="00F311EC" w:rsidRPr="00610904">
        <w:rPr>
          <w:noProof w:val="0"/>
          <w:spacing w:val="-2"/>
          <w:szCs w:val="20"/>
          <w:lang w:val="en-US"/>
        </w:rPr>
        <w:t xml:space="preserve"> that </w:t>
      </w:r>
      <w:r w:rsidRPr="00610904">
        <w:rPr>
          <w:noProof w:val="0"/>
          <w:spacing w:val="-2"/>
          <w:szCs w:val="20"/>
          <w:lang w:val="en-US"/>
        </w:rPr>
        <w:t>the State</w:t>
      </w:r>
      <w:r w:rsidR="00D23445" w:rsidRPr="00610904">
        <w:rPr>
          <w:noProof w:val="0"/>
          <w:spacing w:val="-2"/>
          <w:szCs w:val="20"/>
          <w:lang w:val="en-US"/>
        </w:rPr>
        <w:t xml:space="preserve"> wa</w:t>
      </w:r>
      <w:r w:rsidR="00F311EC" w:rsidRPr="00610904">
        <w:rPr>
          <w:noProof w:val="0"/>
          <w:spacing w:val="-2"/>
          <w:szCs w:val="20"/>
          <w:lang w:val="en-US"/>
        </w:rPr>
        <w:t>s responsi</w:t>
      </w:r>
      <w:r w:rsidR="003040F7" w:rsidRPr="00610904">
        <w:rPr>
          <w:noProof w:val="0"/>
          <w:spacing w:val="-2"/>
          <w:szCs w:val="20"/>
          <w:lang w:val="en-US"/>
        </w:rPr>
        <w:t xml:space="preserve">ble </w:t>
      </w:r>
      <w:r w:rsidR="00F311EC" w:rsidRPr="00610904">
        <w:rPr>
          <w:noProof w:val="0"/>
          <w:spacing w:val="-2"/>
          <w:szCs w:val="20"/>
          <w:lang w:val="en-US"/>
        </w:rPr>
        <w:t>in this case</w:t>
      </w:r>
      <w:r w:rsidR="003040F7" w:rsidRPr="00610904">
        <w:rPr>
          <w:noProof w:val="0"/>
          <w:spacing w:val="-2"/>
          <w:szCs w:val="20"/>
          <w:lang w:val="en-US"/>
        </w:rPr>
        <w:t>, “</w:t>
      </w:r>
      <w:r w:rsidR="00F311EC" w:rsidRPr="00610904">
        <w:rPr>
          <w:noProof w:val="0"/>
          <w:spacing w:val="-2"/>
          <w:szCs w:val="20"/>
          <w:lang w:val="en-US"/>
        </w:rPr>
        <w:t>in application of inter-American case law, to calculate the non-pecuniary damage</w:t>
      </w:r>
      <w:r w:rsidR="00567EC5" w:rsidRPr="00610904">
        <w:rPr>
          <w:noProof w:val="0"/>
          <w:spacing w:val="-2"/>
          <w:szCs w:val="20"/>
          <w:lang w:val="en-US"/>
        </w:rPr>
        <w:t>s</w:t>
      </w:r>
      <w:r w:rsidR="00F311EC" w:rsidRPr="00610904">
        <w:rPr>
          <w:noProof w:val="0"/>
          <w:spacing w:val="-2"/>
          <w:szCs w:val="20"/>
          <w:lang w:val="en-US"/>
        </w:rPr>
        <w:t xml:space="preserve"> based on the equity principle,” taking into account the judgments related to t</w:t>
      </w:r>
      <w:r w:rsidR="00567EC5" w:rsidRPr="00610904">
        <w:rPr>
          <w:noProof w:val="0"/>
          <w:spacing w:val="-2"/>
          <w:szCs w:val="20"/>
          <w:lang w:val="en-US"/>
        </w:rPr>
        <w:t>h</w:t>
      </w:r>
      <w:r w:rsidR="00F311EC" w:rsidRPr="00610904">
        <w:rPr>
          <w:noProof w:val="0"/>
          <w:spacing w:val="-2"/>
          <w:szCs w:val="20"/>
          <w:lang w:val="en-US"/>
        </w:rPr>
        <w:t>e right to health in w</w:t>
      </w:r>
      <w:r w:rsidR="00567EC5" w:rsidRPr="00610904">
        <w:rPr>
          <w:noProof w:val="0"/>
          <w:spacing w:val="-2"/>
          <w:szCs w:val="20"/>
          <w:lang w:val="en-US"/>
        </w:rPr>
        <w:t>h</w:t>
      </w:r>
      <w:r w:rsidR="00F311EC" w:rsidRPr="00610904">
        <w:rPr>
          <w:noProof w:val="0"/>
          <w:spacing w:val="-2"/>
          <w:szCs w:val="20"/>
          <w:lang w:val="en-US"/>
        </w:rPr>
        <w:t xml:space="preserve">ich Ecuador has been </w:t>
      </w:r>
      <w:r w:rsidR="00567EC5" w:rsidRPr="00610904">
        <w:rPr>
          <w:noProof w:val="0"/>
          <w:spacing w:val="-2"/>
          <w:szCs w:val="20"/>
          <w:lang w:val="en-US"/>
        </w:rPr>
        <w:t>sentenced</w:t>
      </w:r>
      <w:r w:rsidR="00F311EC" w:rsidRPr="00610904">
        <w:rPr>
          <w:noProof w:val="0"/>
          <w:spacing w:val="-2"/>
          <w:szCs w:val="20"/>
          <w:lang w:val="en-US"/>
        </w:rPr>
        <w:t xml:space="preserve">. Thus, it asked that the Court use the amounts ordered in the cases of </w:t>
      </w:r>
      <w:r w:rsidR="003040F7" w:rsidRPr="00610904">
        <w:rPr>
          <w:i/>
          <w:noProof w:val="0"/>
          <w:spacing w:val="-2"/>
          <w:szCs w:val="20"/>
          <w:lang w:val="en-US"/>
        </w:rPr>
        <w:t>Albán Cornejo, Vera Vera</w:t>
      </w:r>
      <w:r w:rsidR="00567EC5" w:rsidRPr="00610904">
        <w:rPr>
          <w:i/>
          <w:noProof w:val="0"/>
          <w:spacing w:val="-2"/>
          <w:szCs w:val="20"/>
          <w:lang w:val="en-US"/>
        </w:rPr>
        <w:t>,</w:t>
      </w:r>
      <w:r w:rsidRPr="00610904">
        <w:rPr>
          <w:i/>
          <w:noProof w:val="0"/>
          <w:spacing w:val="-2"/>
          <w:szCs w:val="20"/>
          <w:lang w:val="en-US"/>
        </w:rPr>
        <w:t xml:space="preserve"> </w:t>
      </w:r>
      <w:r w:rsidRPr="00610904">
        <w:rPr>
          <w:noProof w:val="0"/>
          <w:spacing w:val="-2"/>
          <w:szCs w:val="20"/>
          <w:lang w:val="en-US"/>
        </w:rPr>
        <w:t xml:space="preserve">and </w:t>
      </w:r>
      <w:r w:rsidR="003040F7" w:rsidRPr="00610904">
        <w:rPr>
          <w:i/>
          <w:noProof w:val="0"/>
          <w:spacing w:val="-2"/>
          <w:szCs w:val="20"/>
          <w:lang w:val="en-US"/>
        </w:rPr>
        <w:t>Suárez Peralta</w:t>
      </w:r>
      <w:r w:rsidR="00567EC5" w:rsidRPr="00610904">
        <w:rPr>
          <w:i/>
          <w:noProof w:val="0"/>
          <w:spacing w:val="-2"/>
          <w:szCs w:val="20"/>
          <w:lang w:val="en-US"/>
        </w:rPr>
        <w:t xml:space="preserve"> </w:t>
      </w:r>
      <w:r w:rsidR="00567EC5" w:rsidRPr="00610904">
        <w:rPr>
          <w:noProof w:val="0"/>
          <w:spacing w:val="-2"/>
          <w:szCs w:val="20"/>
          <w:lang w:val="en-US"/>
        </w:rPr>
        <w:t>as parameters</w:t>
      </w:r>
      <w:r w:rsidR="003040F7" w:rsidRPr="00610904">
        <w:rPr>
          <w:i/>
          <w:noProof w:val="0"/>
          <w:spacing w:val="-2"/>
          <w:szCs w:val="20"/>
          <w:lang w:val="en-US"/>
        </w:rPr>
        <w:t xml:space="preserve">. </w:t>
      </w:r>
      <w:r w:rsidR="00F311EC" w:rsidRPr="00610904">
        <w:rPr>
          <w:noProof w:val="0"/>
          <w:spacing w:val="-2"/>
          <w:szCs w:val="20"/>
          <w:lang w:val="en-US"/>
        </w:rPr>
        <w:t>In this regard, the State indicat</w:t>
      </w:r>
      <w:r w:rsidR="006F07E6" w:rsidRPr="00610904">
        <w:rPr>
          <w:noProof w:val="0"/>
          <w:spacing w:val="-2"/>
          <w:szCs w:val="20"/>
          <w:lang w:val="en-US"/>
        </w:rPr>
        <w:t>e</w:t>
      </w:r>
      <w:r w:rsidR="00F311EC" w:rsidRPr="00610904">
        <w:rPr>
          <w:noProof w:val="0"/>
          <w:spacing w:val="-2"/>
          <w:szCs w:val="20"/>
          <w:lang w:val="en-US"/>
        </w:rPr>
        <w:t xml:space="preserve">d that the “non-pecuniary damage caused to the direct victim, if the Court should decide this, […] should not exceed </w:t>
      </w:r>
      <w:r w:rsidR="00882CCC" w:rsidRPr="00610904">
        <w:rPr>
          <w:noProof w:val="0"/>
          <w:spacing w:val="-2"/>
          <w:szCs w:val="20"/>
          <w:lang w:val="en-US"/>
        </w:rPr>
        <w:t>US$52,500</w:t>
      </w:r>
      <w:r w:rsidR="00A06F0C" w:rsidRPr="00610904">
        <w:rPr>
          <w:noProof w:val="0"/>
          <w:spacing w:val="-2"/>
          <w:szCs w:val="20"/>
          <w:lang w:val="en-US"/>
        </w:rPr>
        <w:t>.</w:t>
      </w:r>
      <w:r w:rsidR="00882CCC" w:rsidRPr="00610904">
        <w:rPr>
          <w:noProof w:val="0"/>
          <w:spacing w:val="-2"/>
          <w:szCs w:val="20"/>
          <w:lang w:val="en-US"/>
        </w:rPr>
        <w:t>00</w:t>
      </w:r>
      <w:r w:rsidR="003040F7" w:rsidRPr="00610904">
        <w:rPr>
          <w:noProof w:val="0"/>
          <w:spacing w:val="-2"/>
          <w:szCs w:val="20"/>
          <w:lang w:val="en-US"/>
        </w:rPr>
        <w:t xml:space="preserve"> (</w:t>
      </w:r>
      <w:r w:rsidR="00A06F0C" w:rsidRPr="00610904">
        <w:rPr>
          <w:noProof w:val="0"/>
          <w:spacing w:val="-2"/>
          <w:szCs w:val="20"/>
          <w:lang w:val="en-US"/>
        </w:rPr>
        <w:t xml:space="preserve">fifty-two thousand five hundred [United States] dollars.” </w:t>
      </w:r>
      <w:r w:rsidR="00F311EC" w:rsidRPr="00610904">
        <w:rPr>
          <w:noProof w:val="0"/>
          <w:spacing w:val="-2"/>
          <w:szCs w:val="20"/>
          <w:lang w:val="en-US"/>
        </w:rPr>
        <w:t xml:space="preserve">For the indirect victims, Ecuador alleged that the amount should not exceed </w:t>
      </w:r>
      <w:r w:rsidR="00A06F0C" w:rsidRPr="00610904">
        <w:rPr>
          <w:noProof w:val="0"/>
          <w:spacing w:val="-2"/>
          <w:szCs w:val="20"/>
          <w:lang w:val="en-US"/>
        </w:rPr>
        <w:t>US$12,</w:t>
      </w:r>
      <w:r w:rsidR="00882CCC" w:rsidRPr="00610904">
        <w:rPr>
          <w:noProof w:val="0"/>
          <w:spacing w:val="-2"/>
          <w:szCs w:val="20"/>
          <w:lang w:val="en-US"/>
        </w:rPr>
        <w:t>500.</w:t>
      </w:r>
      <w:r w:rsidR="00A06F0C" w:rsidRPr="00610904">
        <w:rPr>
          <w:noProof w:val="0"/>
          <w:spacing w:val="-2"/>
          <w:szCs w:val="20"/>
          <w:lang w:val="en-US"/>
        </w:rPr>
        <w:t>00 (twelve thousand five hundre</w:t>
      </w:r>
      <w:r w:rsidR="00882CCC" w:rsidRPr="00610904">
        <w:rPr>
          <w:noProof w:val="0"/>
          <w:spacing w:val="-2"/>
          <w:szCs w:val="20"/>
          <w:lang w:val="en-US"/>
        </w:rPr>
        <w:t>d</w:t>
      </w:r>
      <w:r w:rsidR="00A06F0C" w:rsidRPr="00610904">
        <w:rPr>
          <w:noProof w:val="0"/>
          <w:spacing w:val="-2"/>
          <w:szCs w:val="20"/>
          <w:lang w:val="en-US"/>
        </w:rPr>
        <w:t xml:space="preserve"> </w:t>
      </w:r>
      <w:r w:rsidR="007916C1" w:rsidRPr="00610904">
        <w:rPr>
          <w:noProof w:val="0"/>
          <w:spacing w:val="-2"/>
          <w:szCs w:val="20"/>
          <w:lang w:val="en-US"/>
        </w:rPr>
        <w:t>United States dollars</w:t>
      </w:r>
      <w:r w:rsidR="003040F7" w:rsidRPr="00610904">
        <w:rPr>
          <w:noProof w:val="0"/>
          <w:spacing w:val="-2"/>
          <w:szCs w:val="20"/>
          <w:lang w:val="en-US"/>
        </w:rPr>
        <w:t xml:space="preserve">). </w:t>
      </w:r>
      <w:r w:rsidR="00F311EC" w:rsidRPr="00610904">
        <w:rPr>
          <w:noProof w:val="0"/>
          <w:spacing w:val="-2"/>
          <w:szCs w:val="20"/>
          <w:lang w:val="en-US"/>
        </w:rPr>
        <w:t>In addition</w:t>
      </w:r>
      <w:r w:rsidR="003040F7" w:rsidRPr="00610904">
        <w:rPr>
          <w:noProof w:val="0"/>
          <w:spacing w:val="-2"/>
          <w:szCs w:val="20"/>
          <w:lang w:val="en-US"/>
        </w:rPr>
        <w:t xml:space="preserve">, </w:t>
      </w:r>
      <w:r w:rsidRPr="00610904">
        <w:rPr>
          <w:noProof w:val="0"/>
          <w:spacing w:val="-2"/>
          <w:szCs w:val="20"/>
          <w:lang w:val="en-US"/>
        </w:rPr>
        <w:t>the State</w:t>
      </w:r>
      <w:r w:rsidR="00F311EC" w:rsidRPr="00610904">
        <w:rPr>
          <w:noProof w:val="0"/>
          <w:spacing w:val="-2"/>
          <w:szCs w:val="20"/>
          <w:lang w:val="en-US"/>
        </w:rPr>
        <w:t xml:space="preserve"> argued that </w:t>
      </w:r>
      <w:r w:rsidR="005550B0" w:rsidRPr="00610904">
        <w:rPr>
          <w:noProof w:val="0"/>
          <w:spacing w:val="-2"/>
          <w:szCs w:val="20"/>
          <w:lang w:val="en-US"/>
        </w:rPr>
        <w:t>Iván</w:t>
      </w:r>
      <w:r w:rsidR="003040F7" w:rsidRPr="00610904">
        <w:rPr>
          <w:noProof w:val="0"/>
          <w:spacing w:val="-2"/>
          <w:szCs w:val="20"/>
          <w:lang w:val="en-US"/>
        </w:rPr>
        <w:t xml:space="preserve"> Lluy </w:t>
      </w:r>
      <w:r w:rsidR="00F311EC" w:rsidRPr="00610904">
        <w:rPr>
          <w:noProof w:val="0"/>
          <w:spacing w:val="-2"/>
          <w:szCs w:val="20"/>
          <w:lang w:val="en-US"/>
        </w:rPr>
        <w:t>had not visited any public health center to receive psychological or psychiatric treatment and indicated 12 centers where he could receive psychological treatment and two where he could receive psychiatric treatment.</w:t>
      </w:r>
    </w:p>
    <w:p w:rsidR="003040F7" w:rsidRPr="00610904" w:rsidRDefault="003040F7" w:rsidP="00610904">
      <w:pPr>
        <w:pStyle w:val="MediumGrid1-Accent21"/>
        <w:rPr>
          <w:i/>
          <w:noProof w:val="0"/>
          <w:szCs w:val="20"/>
          <w:lang w:val="en-US"/>
        </w:rPr>
      </w:pPr>
    </w:p>
    <w:p w:rsidR="003040F7" w:rsidRPr="00610904" w:rsidRDefault="00A8072E" w:rsidP="00610904">
      <w:pPr>
        <w:pStyle w:val="MediumGrid1-Accent21"/>
        <w:rPr>
          <w:i/>
          <w:noProof w:val="0"/>
          <w:lang w:val="en-US"/>
        </w:rPr>
      </w:pPr>
      <w:r w:rsidRPr="00610904">
        <w:rPr>
          <w:i/>
          <w:noProof w:val="0"/>
          <w:lang w:val="en-US"/>
        </w:rPr>
        <w:t>Considerations</w:t>
      </w:r>
      <w:r w:rsidR="009F3D78" w:rsidRPr="00610904">
        <w:rPr>
          <w:i/>
          <w:noProof w:val="0"/>
          <w:lang w:val="en-US"/>
        </w:rPr>
        <w:t xml:space="preserve"> of the Court</w:t>
      </w:r>
    </w:p>
    <w:p w:rsidR="003040F7" w:rsidRPr="00610904" w:rsidRDefault="003040F7" w:rsidP="00610904">
      <w:pPr>
        <w:contextualSpacing/>
        <w:rPr>
          <w:noProof w:val="0"/>
          <w:spacing w:val="-2"/>
          <w:szCs w:val="20"/>
          <w:lang w:val="en-US"/>
        </w:rPr>
      </w:pPr>
    </w:p>
    <w:p w:rsidR="003040F7" w:rsidRPr="00610904" w:rsidRDefault="00F311EC" w:rsidP="00610904">
      <w:pPr>
        <w:numPr>
          <w:ilvl w:val="0"/>
          <w:numId w:val="1"/>
        </w:numPr>
        <w:contextualSpacing/>
        <w:rPr>
          <w:noProof w:val="0"/>
          <w:spacing w:val="-2"/>
          <w:szCs w:val="20"/>
          <w:lang w:val="en-US"/>
        </w:rPr>
      </w:pPr>
      <w:r w:rsidRPr="00610904">
        <w:rPr>
          <w:noProof w:val="0"/>
          <w:spacing w:val="-2"/>
          <w:szCs w:val="20"/>
          <w:lang w:val="en-US"/>
        </w:rPr>
        <w:t xml:space="preserve">International case law has repeatedly established that the judgment may constitute </w:t>
      </w:r>
      <w:r w:rsidR="003040F7" w:rsidRPr="00610904">
        <w:rPr>
          <w:i/>
          <w:noProof w:val="0"/>
          <w:spacing w:val="-2"/>
          <w:szCs w:val="20"/>
          <w:lang w:val="en-US"/>
        </w:rPr>
        <w:t xml:space="preserve">per se </w:t>
      </w:r>
      <w:r w:rsidRPr="00610904">
        <w:rPr>
          <w:noProof w:val="0"/>
          <w:spacing w:val="-2"/>
          <w:szCs w:val="20"/>
          <w:lang w:val="en-US"/>
        </w:rPr>
        <w:t>a form of</w:t>
      </w:r>
      <w:r w:rsidR="003040F7" w:rsidRPr="00610904">
        <w:rPr>
          <w:noProof w:val="0"/>
          <w:spacing w:val="-2"/>
          <w:szCs w:val="20"/>
          <w:lang w:val="en-US"/>
        </w:rPr>
        <w:t xml:space="preserve"> </w:t>
      </w:r>
      <w:r w:rsidRPr="00610904">
        <w:rPr>
          <w:noProof w:val="0"/>
          <w:spacing w:val="-2"/>
          <w:szCs w:val="20"/>
          <w:lang w:val="en-US"/>
        </w:rPr>
        <w:t>reparatio</w:t>
      </w:r>
      <w:r w:rsidR="003040F7" w:rsidRPr="00610904">
        <w:rPr>
          <w:noProof w:val="0"/>
          <w:spacing w:val="-2"/>
          <w:szCs w:val="20"/>
          <w:lang w:val="en-US"/>
        </w:rPr>
        <w:t>n</w:t>
      </w:r>
      <w:r w:rsidRPr="00610904">
        <w:rPr>
          <w:noProof w:val="0"/>
          <w:spacing w:val="-2"/>
          <w:szCs w:val="20"/>
          <w:lang w:val="en-US"/>
        </w:rPr>
        <w:t>.</w:t>
      </w:r>
      <w:r w:rsidR="003040F7" w:rsidRPr="00610904">
        <w:rPr>
          <w:rStyle w:val="FootnoteReference"/>
          <w:noProof w:val="0"/>
          <w:spacing w:val="-2"/>
          <w:lang w:val="en-US"/>
        </w:rPr>
        <w:footnoteReference w:id="426"/>
      </w:r>
      <w:r w:rsidRPr="00610904">
        <w:rPr>
          <w:noProof w:val="0"/>
          <w:spacing w:val="-2"/>
          <w:szCs w:val="20"/>
          <w:lang w:val="en-US"/>
        </w:rPr>
        <w:t xml:space="preserve"> However, in its own case law, the Court has developed</w:t>
      </w:r>
      <w:r w:rsidR="003040F7" w:rsidRPr="00610904">
        <w:rPr>
          <w:noProof w:val="0"/>
          <w:spacing w:val="-2"/>
          <w:szCs w:val="20"/>
          <w:lang w:val="en-US"/>
        </w:rPr>
        <w:t xml:space="preserve"> </w:t>
      </w:r>
      <w:r w:rsidRPr="00610904">
        <w:rPr>
          <w:noProof w:val="0"/>
          <w:spacing w:val="-2"/>
          <w:szCs w:val="20"/>
          <w:lang w:val="en-US"/>
        </w:rPr>
        <w:t>the concept of non</w:t>
      </w:r>
      <w:r w:rsidR="00830022" w:rsidRPr="00610904">
        <w:rPr>
          <w:noProof w:val="0"/>
          <w:spacing w:val="-2"/>
          <w:szCs w:val="20"/>
          <w:lang w:val="en-US"/>
        </w:rPr>
        <w:t>-pecuniary damage</w:t>
      </w:r>
      <w:r w:rsidR="009F3D78" w:rsidRPr="00610904">
        <w:rPr>
          <w:noProof w:val="0"/>
          <w:spacing w:val="-2"/>
          <w:szCs w:val="20"/>
          <w:lang w:val="en-US"/>
        </w:rPr>
        <w:t xml:space="preserve"> and </w:t>
      </w:r>
      <w:r w:rsidRPr="00610904">
        <w:rPr>
          <w:noProof w:val="0"/>
          <w:spacing w:val="-2"/>
          <w:szCs w:val="20"/>
          <w:lang w:val="en-US"/>
        </w:rPr>
        <w:t>has established that this “may inclu</w:t>
      </w:r>
      <w:r w:rsidR="00567EC5" w:rsidRPr="00610904">
        <w:rPr>
          <w:noProof w:val="0"/>
          <w:spacing w:val="-2"/>
          <w:szCs w:val="20"/>
          <w:lang w:val="en-US"/>
        </w:rPr>
        <w:t>de both the suffering and affliction</w:t>
      </w:r>
      <w:r w:rsidRPr="00610904">
        <w:rPr>
          <w:noProof w:val="0"/>
          <w:spacing w:val="-2"/>
          <w:szCs w:val="20"/>
          <w:lang w:val="en-US"/>
        </w:rPr>
        <w:t xml:space="preserve"> caused to the direct victim and </w:t>
      </w:r>
      <w:r w:rsidR="00567EC5" w:rsidRPr="00610904">
        <w:rPr>
          <w:noProof w:val="0"/>
          <w:spacing w:val="-2"/>
          <w:szCs w:val="20"/>
          <w:lang w:val="en-US"/>
        </w:rPr>
        <w:t xml:space="preserve">his or her </w:t>
      </w:r>
      <w:r w:rsidRPr="00610904">
        <w:rPr>
          <w:noProof w:val="0"/>
          <w:spacing w:val="-2"/>
          <w:szCs w:val="20"/>
          <w:lang w:val="en-US"/>
        </w:rPr>
        <w:t xml:space="preserve">next of kin, the impairment of values that are very significant for the individual, as well as changes of a non-pecuniary nature in the living conditions of the victim or </w:t>
      </w:r>
      <w:r w:rsidR="00567EC5" w:rsidRPr="00610904">
        <w:rPr>
          <w:noProof w:val="0"/>
          <w:spacing w:val="-2"/>
          <w:szCs w:val="20"/>
          <w:lang w:val="en-US"/>
        </w:rPr>
        <w:t>his or her</w:t>
      </w:r>
      <w:r w:rsidRPr="00610904">
        <w:rPr>
          <w:noProof w:val="0"/>
          <w:spacing w:val="-2"/>
          <w:szCs w:val="20"/>
          <w:lang w:val="en-US"/>
        </w:rPr>
        <w:t xml:space="preserve"> family.</w:t>
      </w:r>
      <w:r w:rsidR="003040F7" w:rsidRPr="00610904">
        <w:rPr>
          <w:noProof w:val="0"/>
          <w:spacing w:val="-2"/>
          <w:szCs w:val="20"/>
          <w:lang w:val="en-US"/>
        </w:rPr>
        <w:t>”</w:t>
      </w:r>
      <w:r w:rsidR="003040F7" w:rsidRPr="00610904">
        <w:rPr>
          <w:rStyle w:val="FootnoteReference"/>
          <w:noProof w:val="0"/>
          <w:spacing w:val="-2"/>
          <w:lang w:val="en-US"/>
        </w:rPr>
        <w:footnoteReference w:id="427"/>
      </w:r>
    </w:p>
    <w:p w:rsidR="003040F7" w:rsidRPr="00610904" w:rsidRDefault="003040F7" w:rsidP="00610904">
      <w:pPr>
        <w:contextualSpacing/>
        <w:rPr>
          <w:noProof w:val="0"/>
          <w:spacing w:val="-2"/>
          <w:szCs w:val="20"/>
          <w:lang w:val="en-US"/>
        </w:rPr>
      </w:pPr>
    </w:p>
    <w:p w:rsidR="00D23445" w:rsidRPr="00610904" w:rsidRDefault="00391F07" w:rsidP="00610904">
      <w:pPr>
        <w:numPr>
          <w:ilvl w:val="0"/>
          <w:numId w:val="1"/>
        </w:numPr>
        <w:contextualSpacing/>
        <w:rPr>
          <w:noProof w:val="0"/>
          <w:spacing w:val="-2"/>
          <w:szCs w:val="20"/>
          <w:lang w:val="en-US"/>
        </w:rPr>
      </w:pPr>
      <w:r w:rsidRPr="00610904">
        <w:rPr>
          <w:noProof w:val="0"/>
          <w:spacing w:val="-2"/>
          <w:szCs w:val="20"/>
          <w:lang w:val="en-US"/>
        </w:rPr>
        <w:t>In this case</w:t>
      </w:r>
      <w:r w:rsidR="003040F7" w:rsidRPr="00610904">
        <w:rPr>
          <w:noProof w:val="0"/>
          <w:spacing w:val="-2"/>
          <w:szCs w:val="20"/>
          <w:lang w:val="en-US"/>
        </w:rPr>
        <w:t xml:space="preserve">, </w:t>
      </w:r>
      <w:r w:rsidR="009F3D78" w:rsidRPr="00610904">
        <w:rPr>
          <w:noProof w:val="0"/>
          <w:spacing w:val="-2"/>
          <w:szCs w:val="20"/>
          <w:lang w:val="en-US"/>
        </w:rPr>
        <w:t>the Court</w:t>
      </w:r>
      <w:r w:rsidR="00F311EC" w:rsidRPr="00610904">
        <w:rPr>
          <w:noProof w:val="0"/>
          <w:spacing w:val="-2"/>
          <w:szCs w:val="20"/>
          <w:lang w:val="en-US"/>
        </w:rPr>
        <w:t xml:space="preserve"> notes that, according </w:t>
      </w:r>
      <w:r w:rsidR="00567EC5" w:rsidRPr="00610904">
        <w:rPr>
          <w:noProof w:val="0"/>
          <w:spacing w:val="-2"/>
          <w:szCs w:val="20"/>
          <w:lang w:val="en-US"/>
        </w:rPr>
        <w:t xml:space="preserve">to </w:t>
      </w:r>
      <w:r w:rsidR="00F311EC" w:rsidRPr="00610904">
        <w:rPr>
          <w:noProof w:val="0"/>
          <w:spacing w:val="-2"/>
          <w:szCs w:val="20"/>
          <w:lang w:val="en-US"/>
        </w:rPr>
        <w:t>the expert appraisal of</w:t>
      </w:r>
      <w:r w:rsidR="003040F7" w:rsidRPr="00610904">
        <w:rPr>
          <w:noProof w:val="0"/>
          <w:spacing w:val="-2"/>
          <w:szCs w:val="20"/>
          <w:lang w:val="en-US"/>
        </w:rPr>
        <w:t xml:space="preserve"> Sonia Nivelo, </w:t>
      </w:r>
      <w:r w:rsidR="00F311EC" w:rsidRPr="00610904">
        <w:rPr>
          <w:noProof w:val="0"/>
          <w:spacing w:val="-2"/>
          <w:szCs w:val="20"/>
          <w:lang w:val="en-US"/>
        </w:rPr>
        <w:t xml:space="preserve">the infection and living with </w:t>
      </w:r>
      <w:r w:rsidR="00A8072E" w:rsidRPr="00610904">
        <w:rPr>
          <w:noProof w:val="0"/>
          <w:spacing w:val="-2"/>
          <w:szCs w:val="20"/>
          <w:lang w:val="en-US"/>
        </w:rPr>
        <w:t>HIV</w:t>
      </w:r>
      <w:r w:rsidR="003040F7" w:rsidRPr="00610904">
        <w:rPr>
          <w:noProof w:val="0"/>
          <w:spacing w:val="-2"/>
          <w:szCs w:val="20"/>
          <w:lang w:val="en-US"/>
        </w:rPr>
        <w:t xml:space="preserve"> </w:t>
      </w:r>
      <w:r w:rsidR="00F311EC" w:rsidRPr="00610904">
        <w:rPr>
          <w:noProof w:val="0"/>
          <w:spacing w:val="-2"/>
          <w:szCs w:val="20"/>
          <w:lang w:val="en-US"/>
        </w:rPr>
        <w:t xml:space="preserve">have caused </w:t>
      </w:r>
      <w:r w:rsidR="00CD3738" w:rsidRPr="00610904">
        <w:rPr>
          <w:noProof w:val="0"/>
          <w:spacing w:val="-2"/>
          <w:szCs w:val="20"/>
          <w:lang w:val="en-US"/>
        </w:rPr>
        <w:t>Talía</w:t>
      </w:r>
      <w:r w:rsidR="003040F7" w:rsidRPr="00610904">
        <w:rPr>
          <w:noProof w:val="0"/>
          <w:spacing w:val="-2"/>
          <w:szCs w:val="20"/>
          <w:lang w:val="en-US"/>
        </w:rPr>
        <w:t xml:space="preserve"> “</w:t>
      </w:r>
      <w:r w:rsidR="00D23445" w:rsidRPr="00610904">
        <w:rPr>
          <w:noProof w:val="0"/>
          <w:spacing w:val="-2"/>
          <w:szCs w:val="20"/>
          <w:lang w:val="en-US"/>
        </w:rPr>
        <w:t>serious psychological effects” and a “pr</w:t>
      </w:r>
      <w:r w:rsidR="00A82536" w:rsidRPr="00610904">
        <w:rPr>
          <w:noProof w:val="0"/>
          <w:spacing w:val="-2"/>
          <w:szCs w:val="20"/>
          <w:lang w:val="en-US"/>
        </w:rPr>
        <w:t>olonged depression,”</w:t>
      </w:r>
      <w:r w:rsidR="003040F7" w:rsidRPr="00610904">
        <w:rPr>
          <w:noProof w:val="0"/>
          <w:spacing w:val="-2"/>
          <w:szCs w:val="20"/>
          <w:lang w:val="en-US"/>
        </w:rPr>
        <w:t xml:space="preserve"> </w:t>
      </w:r>
      <w:r w:rsidR="00017AA5" w:rsidRPr="00610904">
        <w:rPr>
          <w:noProof w:val="0"/>
          <w:spacing w:val="-2"/>
          <w:szCs w:val="20"/>
          <w:lang w:val="en-US"/>
        </w:rPr>
        <w:t>“</w:t>
      </w:r>
      <w:r w:rsidR="00D23445" w:rsidRPr="00610904">
        <w:rPr>
          <w:noProof w:val="0"/>
          <w:lang w:val="en-US"/>
        </w:rPr>
        <w:t>dysthymia</w:t>
      </w:r>
      <w:r w:rsidR="00017AA5" w:rsidRPr="00610904">
        <w:rPr>
          <w:noProof w:val="0"/>
          <w:spacing w:val="-2"/>
          <w:szCs w:val="20"/>
          <w:lang w:val="en-US"/>
        </w:rPr>
        <w:t>”</w:t>
      </w:r>
      <w:r w:rsidR="009F3D78" w:rsidRPr="00610904">
        <w:rPr>
          <w:noProof w:val="0"/>
          <w:spacing w:val="-2"/>
          <w:szCs w:val="20"/>
          <w:lang w:val="en-US"/>
        </w:rPr>
        <w:t xml:space="preserve"> and </w:t>
      </w:r>
      <w:r w:rsidR="00017AA5" w:rsidRPr="00610904">
        <w:rPr>
          <w:noProof w:val="0"/>
          <w:spacing w:val="-2"/>
          <w:szCs w:val="20"/>
          <w:lang w:val="en-US"/>
        </w:rPr>
        <w:t>“</w:t>
      </w:r>
      <w:r w:rsidR="00D23445" w:rsidRPr="00610904">
        <w:rPr>
          <w:noProof w:val="0"/>
          <w:spacing w:val="-2"/>
          <w:szCs w:val="20"/>
          <w:lang w:val="en-US"/>
        </w:rPr>
        <w:t xml:space="preserve">a personality and behavioral disorder due to the illness.” In addition, in an affidavit, Talía stated that she has felt very much alone; she has been unable to have lasting friendships, and she has suffered from anger and sadness. She also indicated that, at times, she “want[ed] to die […] so that they would not give [her] any more pills that made [her] suffer,” and that she has faced rejection and discrimination. When she found out about her illness, she though “that it was a threat to her family and everyone around [her],” and she is </w:t>
      </w:r>
      <w:r w:rsidR="00567EC5" w:rsidRPr="00610904">
        <w:rPr>
          <w:noProof w:val="0"/>
          <w:spacing w:val="-2"/>
          <w:szCs w:val="20"/>
          <w:lang w:val="en-US"/>
        </w:rPr>
        <w:t>“terrified of rejection</w:t>
      </w:r>
      <w:r w:rsidR="00D23445" w:rsidRPr="00610904">
        <w:rPr>
          <w:noProof w:val="0"/>
          <w:spacing w:val="-2"/>
          <w:szCs w:val="20"/>
          <w:lang w:val="en-US"/>
        </w:rPr>
        <w:t>.” Finally, she stated that she has to hide herself, she cannot lead a normal life, and that she “is condemned to live like that for the rest of her life.”</w:t>
      </w:r>
    </w:p>
    <w:p w:rsidR="003040F7" w:rsidRPr="00610904" w:rsidRDefault="003040F7" w:rsidP="00610904">
      <w:pPr>
        <w:contextualSpacing/>
        <w:rPr>
          <w:noProof w:val="0"/>
          <w:spacing w:val="-2"/>
          <w:szCs w:val="20"/>
          <w:lang w:val="en-US"/>
        </w:rPr>
      </w:pPr>
    </w:p>
    <w:p w:rsidR="00D23445" w:rsidRPr="00610904" w:rsidRDefault="00D23445" w:rsidP="00610904">
      <w:pPr>
        <w:numPr>
          <w:ilvl w:val="0"/>
          <w:numId w:val="1"/>
        </w:numPr>
        <w:contextualSpacing/>
        <w:rPr>
          <w:noProof w:val="0"/>
          <w:spacing w:val="-2"/>
          <w:szCs w:val="20"/>
          <w:lang w:val="en-US"/>
        </w:rPr>
      </w:pPr>
      <w:r w:rsidRPr="00610904">
        <w:rPr>
          <w:noProof w:val="0"/>
          <w:spacing w:val="-2"/>
          <w:szCs w:val="20"/>
          <w:lang w:val="en-US"/>
        </w:rPr>
        <w:t>Regarding</w:t>
      </w:r>
      <w:r w:rsidR="003040F7" w:rsidRPr="00610904">
        <w:rPr>
          <w:noProof w:val="0"/>
          <w:spacing w:val="-2"/>
          <w:szCs w:val="20"/>
          <w:lang w:val="en-US"/>
        </w:rPr>
        <w:t xml:space="preserve"> Teresa Lluy, </w:t>
      </w:r>
      <w:r w:rsidR="00F311EC" w:rsidRPr="00610904">
        <w:rPr>
          <w:noProof w:val="0"/>
          <w:spacing w:val="-2"/>
          <w:szCs w:val="20"/>
          <w:lang w:val="en-US"/>
        </w:rPr>
        <w:t>expert witness</w:t>
      </w:r>
      <w:r w:rsidR="003040F7" w:rsidRPr="00610904">
        <w:rPr>
          <w:noProof w:val="0"/>
          <w:spacing w:val="-2"/>
          <w:szCs w:val="20"/>
          <w:lang w:val="en-US"/>
        </w:rPr>
        <w:t xml:space="preserve"> Sonia Nivelo </w:t>
      </w:r>
      <w:r w:rsidRPr="00610904">
        <w:rPr>
          <w:noProof w:val="0"/>
          <w:spacing w:val="-2"/>
          <w:szCs w:val="20"/>
          <w:lang w:val="en-US"/>
        </w:rPr>
        <w:t>considered that she suffered from a “</w:t>
      </w:r>
      <w:r w:rsidRPr="00610904">
        <w:rPr>
          <w:bCs/>
          <w:noProof w:val="0"/>
          <w:lang w:val="en-US"/>
        </w:rPr>
        <w:t xml:space="preserve">combined anxiety and depression disorder,” as well as “symptoms of reaction to acute stress,” owing to the “isolation, the social stigma, […] the loss of her employment, [and] having to take charge of […] her daughter’s illness without any preparation </w:t>
      </w:r>
      <w:r w:rsidRPr="00610904">
        <w:rPr>
          <w:noProof w:val="0"/>
          <w:spacing w:val="-2"/>
          <w:szCs w:val="20"/>
          <w:lang w:val="en-US"/>
        </w:rPr>
        <w:t>and without any social support.” In addition, she emphasized that Mrs. Llu</w:t>
      </w:r>
      <w:r w:rsidR="00567EC5" w:rsidRPr="00610904">
        <w:rPr>
          <w:noProof w:val="0"/>
          <w:spacing w:val="-2"/>
          <w:szCs w:val="20"/>
          <w:lang w:val="en-US"/>
        </w:rPr>
        <w:t>y suffered</w:t>
      </w:r>
      <w:r w:rsidRPr="00610904">
        <w:rPr>
          <w:noProof w:val="0"/>
          <w:spacing w:val="-2"/>
          <w:szCs w:val="20"/>
          <w:lang w:val="en-US"/>
        </w:rPr>
        <w:t xml:space="preserve"> from emotional diabetes, hypertension, chronic physical pain, apprehension, muscular tension and </w:t>
      </w:r>
      <w:r w:rsidR="00416225" w:rsidRPr="00610904">
        <w:rPr>
          <w:rStyle w:val="Emphasis"/>
          <w:i w:val="0"/>
          <w:noProof w:val="0"/>
          <w:lang w:val="en-US"/>
        </w:rPr>
        <w:t xml:space="preserve">vegetative </w:t>
      </w:r>
      <w:r w:rsidR="00416225" w:rsidRPr="00610904">
        <w:rPr>
          <w:rStyle w:val="Emphasis"/>
          <w:i w:val="0"/>
          <w:noProof w:val="0"/>
          <w:lang w:val="en-US"/>
        </w:rPr>
        <w:lastRenderedPageBreak/>
        <w:t xml:space="preserve">hyperactivity. Meanwhile, in her affidavit, Teresa indicated that when she found out about her daughter’s infection, her whole world fell </w:t>
      </w:r>
      <w:r w:rsidR="00567EC5" w:rsidRPr="00610904">
        <w:rPr>
          <w:rStyle w:val="Emphasis"/>
          <w:i w:val="0"/>
          <w:noProof w:val="0"/>
          <w:lang w:val="en-US"/>
        </w:rPr>
        <w:t xml:space="preserve">apart, she was </w:t>
      </w:r>
      <w:proofErr w:type="gramStart"/>
      <w:r w:rsidR="00567EC5" w:rsidRPr="00610904">
        <w:rPr>
          <w:rStyle w:val="Emphasis"/>
          <w:i w:val="0"/>
          <w:noProof w:val="0"/>
          <w:lang w:val="en-US"/>
        </w:rPr>
        <w:t>distraught,</w:t>
      </w:r>
      <w:proofErr w:type="gramEnd"/>
      <w:r w:rsidR="00416225" w:rsidRPr="00610904">
        <w:rPr>
          <w:rStyle w:val="Emphasis"/>
          <w:i w:val="0"/>
          <w:noProof w:val="0"/>
          <w:lang w:val="en-US"/>
        </w:rPr>
        <w:t xml:space="preserve"> and worried about her daughter’s life and, since then, she had been treated with discrimination and aggressiveness. She also stated that she was constantly afraid that her daughter would become ill owing to the conditions in which they had to live, and she and her children were “tense, frightened, confused, depressed, </w:t>
      </w:r>
      <w:r w:rsidR="00567EC5" w:rsidRPr="00610904">
        <w:rPr>
          <w:rStyle w:val="Emphasis"/>
          <w:i w:val="0"/>
          <w:noProof w:val="0"/>
          <w:lang w:val="en-US"/>
        </w:rPr>
        <w:t>and had lost their desire to liv</w:t>
      </w:r>
      <w:r w:rsidR="00416225" w:rsidRPr="00610904">
        <w:rPr>
          <w:rStyle w:val="Emphasis"/>
          <w:i w:val="0"/>
          <w:noProof w:val="0"/>
          <w:lang w:val="en-US"/>
        </w:rPr>
        <w:t xml:space="preserve">e.” Lastly, she indicated that they had diagnosed her with emotional diabetes owing to the stress she had suffered </w:t>
      </w:r>
      <w:r w:rsidR="00567EC5" w:rsidRPr="00610904">
        <w:rPr>
          <w:rStyle w:val="Emphasis"/>
          <w:i w:val="0"/>
          <w:noProof w:val="0"/>
          <w:lang w:val="en-US"/>
        </w:rPr>
        <w:t>because of</w:t>
      </w:r>
      <w:r w:rsidR="00416225" w:rsidRPr="00610904">
        <w:rPr>
          <w:rStyle w:val="Emphasis"/>
          <w:i w:val="0"/>
          <w:noProof w:val="0"/>
          <w:lang w:val="en-US"/>
        </w:rPr>
        <w:t xml:space="preserve"> her daughter’s situation.</w:t>
      </w:r>
    </w:p>
    <w:p w:rsidR="003040F7" w:rsidRPr="00610904" w:rsidRDefault="003040F7" w:rsidP="00610904">
      <w:pPr>
        <w:contextualSpacing/>
        <w:rPr>
          <w:noProof w:val="0"/>
          <w:spacing w:val="-2"/>
          <w:szCs w:val="20"/>
          <w:lang w:val="en-US"/>
        </w:rPr>
      </w:pPr>
    </w:p>
    <w:p w:rsidR="003040F7" w:rsidRPr="00610904" w:rsidRDefault="00416225" w:rsidP="00610904">
      <w:pPr>
        <w:numPr>
          <w:ilvl w:val="0"/>
          <w:numId w:val="1"/>
        </w:numPr>
        <w:contextualSpacing/>
        <w:rPr>
          <w:noProof w:val="0"/>
          <w:spacing w:val="-2"/>
          <w:szCs w:val="20"/>
          <w:lang w:val="en-US"/>
        </w:rPr>
      </w:pPr>
      <w:r w:rsidRPr="00610904">
        <w:rPr>
          <w:noProof w:val="0"/>
          <w:spacing w:val="-2"/>
          <w:szCs w:val="20"/>
          <w:lang w:val="en-US"/>
        </w:rPr>
        <w:t xml:space="preserve">Meanwhile, according to the psychological appraisal made by </w:t>
      </w:r>
      <w:r w:rsidR="00F311EC" w:rsidRPr="00610904">
        <w:rPr>
          <w:noProof w:val="0"/>
          <w:spacing w:val="-2"/>
          <w:szCs w:val="20"/>
          <w:lang w:val="en-US"/>
        </w:rPr>
        <w:t>expert witness</w:t>
      </w:r>
      <w:r w:rsidR="00BE51E2" w:rsidRPr="00610904">
        <w:rPr>
          <w:noProof w:val="0"/>
          <w:spacing w:val="-2"/>
          <w:szCs w:val="20"/>
          <w:lang w:val="en-US"/>
        </w:rPr>
        <w:t xml:space="preserve"> Sonia Nivelo, </w:t>
      </w:r>
      <w:r w:rsidR="003040F7" w:rsidRPr="00610904">
        <w:rPr>
          <w:noProof w:val="0"/>
          <w:spacing w:val="-2"/>
          <w:szCs w:val="20"/>
          <w:lang w:val="en-US"/>
        </w:rPr>
        <w:t xml:space="preserve">Iván Lluy </w:t>
      </w:r>
      <w:r w:rsidRPr="00610904">
        <w:rPr>
          <w:noProof w:val="0"/>
          <w:spacing w:val="-2"/>
          <w:szCs w:val="20"/>
          <w:lang w:val="en-US"/>
        </w:rPr>
        <w:t xml:space="preserve">suffered from “severe stress reactions and adaptation disorders,” depression, anxiety, preoccupation, a feeling of inability to tackle problems, as well as feelings of anger, frustration, despair and guilt. According to the expert witness, Iván Lluy suffered from moderate depression. </w:t>
      </w:r>
      <w:r w:rsidR="004A6E8B" w:rsidRPr="00610904">
        <w:rPr>
          <w:noProof w:val="0"/>
          <w:spacing w:val="-2"/>
          <w:szCs w:val="20"/>
          <w:lang w:val="en-US"/>
        </w:rPr>
        <w:t xml:space="preserve">In his affidavit, </w:t>
      </w:r>
      <w:r w:rsidR="003040F7" w:rsidRPr="00610904">
        <w:rPr>
          <w:noProof w:val="0"/>
          <w:spacing w:val="-2"/>
          <w:szCs w:val="20"/>
          <w:lang w:val="en-US"/>
        </w:rPr>
        <w:t xml:space="preserve">Iván </w:t>
      </w:r>
      <w:r w:rsidR="004A6E8B" w:rsidRPr="00610904">
        <w:rPr>
          <w:noProof w:val="0"/>
          <w:spacing w:val="-2"/>
          <w:szCs w:val="20"/>
          <w:lang w:val="en-US"/>
        </w:rPr>
        <w:t xml:space="preserve">stated that his life </w:t>
      </w:r>
      <w:r w:rsidRPr="00610904">
        <w:rPr>
          <w:noProof w:val="0"/>
          <w:spacing w:val="-2"/>
          <w:szCs w:val="20"/>
          <w:lang w:val="en-US"/>
        </w:rPr>
        <w:t xml:space="preserve">“was horribly affected” when he found out about his sister’s infection, “often he was unable to hold [himself] in check and could only cry.” He also stated that he had been diagnosed with “major depression” and had to take medication for 18 months. Also, the Court notes that, in Teresa Lluy’s affidavit, she stated that when she had to travel to Quito with Talía for treatment, “her son was left completely alone in Cuenca, and sometimes slept in the parks or wherever he found a </w:t>
      </w:r>
      <w:r w:rsidR="00567EC5" w:rsidRPr="00610904">
        <w:rPr>
          <w:noProof w:val="0"/>
          <w:spacing w:val="-2"/>
          <w:szCs w:val="20"/>
          <w:lang w:val="en-US"/>
        </w:rPr>
        <w:t>space</w:t>
      </w:r>
      <w:r w:rsidRPr="00610904">
        <w:rPr>
          <w:noProof w:val="0"/>
          <w:spacing w:val="-2"/>
          <w:szCs w:val="20"/>
          <w:lang w:val="en-US"/>
        </w:rPr>
        <w:t xml:space="preserve"> because [they] did not have the money to rent a place.”</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4A6E8B" w:rsidP="00610904">
      <w:pPr>
        <w:numPr>
          <w:ilvl w:val="0"/>
          <w:numId w:val="1"/>
        </w:numPr>
        <w:contextualSpacing/>
        <w:rPr>
          <w:noProof w:val="0"/>
          <w:spacing w:val="-2"/>
          <w:szCs w:val="20"/>
          <w:lang w:val="en-US"/>
        </w:rPr>
      </w:pPr>
      <w:r w:rsidRPr="00610904">
        <w:rPr>
          <w:noProof w:val="0"/>
          <w:spacing w:val="-2"/>
          <w:szCs w:val="20"/>
          <w:lang w:val="en-US"/>
        </w:rPr>
        <w:t>Accordingly, considering the circumstances of this case, the sufferings caused to the victims by the violations that were committed, as wel</w:t>
      </w:r>
      <w:r w:rsidR="00882CCC" w:rsidRPr="00610904">
        <w:rPr>
          <w:noProof w:val="0"/>
          <w:spacing w:val="-2"/>
          <w:szCs w:val="20"/>
          <w:lang w:val="en-US"/>
        </w:rPr>
        <w:t>l as the change in the living co</w:t>
      </w:r>
      <w:r w:rsidRPr="00610904">
        <w:rPr>
          <w:noProof w:val="0"/>
          <w:spacing w:val="-2"/>
          <w:szCs w:val="20"/>
          <w:lang w:val="en-US"/>
        </w:rPr>
        <w:t>nditions and oth</w:t>
      </w:r>
      <w:r w:rsidR="00882CCC" w:rsidRPr="00610904">
        <w:rPr>
          <w:noProof w:val="0"/>
          <w:spacing w:val="-2"/>
          <w:szCs w:val="20"/>
          <w:lang w:val="en-US"/>
        </w:rPr>
        <w:t>er consequences of a non-pecunia</w:t>
      </w:r>
      <w:r w:rsidRPr="00610904">
        <w:rPr>
          <w:noProof w:val="0"/>
          <w:spacing w:val="-2"/>
          <w:szCs w:val="20"/>
          <w:lang w:val="en-US"/>
        </w:rPr>
        <w:t xml:space="preserve">ry nature that they endured, the Court finds it pertinent to establish, in equity, for </w:t>
      </w:r>
      <w:r w:rsidR="00830022" w:rsidRPr="00610904">
        <w:rPr>
          <w:noProof w:val="0"/>
          <w:spacing w:val="-2"/>
          <w:szCs w:val="20"/>
          <w:lang w:val="en-US"/>
        </w:rPr>
        <w:t>non-pecuniary damage</w:t>
      </w:r>
      <w:r w:rsidR="003040F7" w:rsidRPr="00610904">
        <w:rPr>
          <w:noProof w:val="0"/>
          <w:spacing w:val="-2"/>
          <w:szCs w:val="20"/>
          <w:lang w:val="en-US"/>
        </w:rPr>
        <w:t xml:space="preserve">, </w:t>
      </w:r>
      <w:r w:rsidRPr="00610904">
        <w:rPr>
          <w:noProof w:val="0"/>
          <w:spacing w:val="-2"/>
          <w:szCs w:val="20"/>
          <w:lang w:val="en-US"/>
        </w:rPr>
        <w:t xml:space="preserve">a compensation equivalent to </w:t>
      </w:r>
      <w:r w:rsidR="003040F7" w:rsidRPr="00610904">
        <w:rPr>
          <w:noProof w:val="0"/>
          <w:spacing w:val="-2"/>
          <w:szCs w:val="20"/>
          <w:lang w:val="en-US"/>
        </w:rPr>
        <w:t>US$350</w:t>
      </w:r>
      <w:r w:rsidR="007916C1" w:rsidRPr="00610904">
        <w:rPr>
          <w:noProof w:val="0"/>
          <w:spacing w:val="-2"/>
          <w:szCs w:val="20"/>
          <w:lang w:val="en-US"/>
        </w:rPr>
        <w:t>,000.00</w:t>
      </w:r>
      <w:r w:rsidR="003040F7" w:rsidRPr="00610904">
        <w:rPr>
          <w:noProof w:val="0"/>
          <w:spacing w:val="-2"/>
          <w:szCs w:val="20"/>
          <w:lang w:val="en-US"/>
        </w:rPr>
        <w:t xml:space="preserve"> (</w:t>
      </w:r>
      <w:r w:rsidR="00A06F0C" w:rsidRPr="00610904">
        <w:rPr>
          <w:noProof w:val="0"/>
          <w:spacing w:val="-2"/>
          <w:szCs w:val="20"/>
          <w:lang w:val="en-US"/>
        </w:rPr>
        <w:t>three hundred and fifty</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00A06F0C" w:rsidRPr="00610904">
        <w:rPr>
          <w:noProof w:val="0"/>
          <w:spacing w:val="-2"/>
          <w:szCs w:val="20"/>
          <w:lang w:val="en-US"/>
        </w:rPr>
        <w:t>for</w:t>
      </w:r>
      <w:r w:rsidR="003040F7" w:rsidRPr="00610904">
        <w:rPr>
          <w:noProof w:val="0"/>
          <w:spacing w:val="-2"/>
          <w:szCs w:val="20"/>
          <w:lang w:val="en-US"/>
        </w:rPr>
        <w:t xml:space="preserve"> </w:t>
      </w:r>
      <w:r w:rsidR="00CD3738" w:rsidRPr="00610904">
        <w:rPr>
          <w:noProof w:val="0"/>
          <w:spacing w:val="-2"/>
          <w:szCs w:val="20"/>
          <w:lang w:val="en-US"/>
        </w:rPr>
        <w:t>Talía</w:t>
      </w:r>
      <w:r w:rsidR="00B962C7" w:rsidRPr="00610904">
        <w:rPr>
          <w:noProof w:val="0"/>
          <w:spacing w:val="-2"/>
          <w:szCs w:val="20"/>
          <w:lang w:val="en-US"/>
        </w:rPr>
        <w:t xml:space="preserve"> Gonzales Lluy;</w:t>
      </w:r>
      <w:r w:rsidR="00A06F0C" w:rsidRPr="00610904">
        <w:rPr>
          <w:noProof w:val="0"/>
          <w:spacing w:val="-2"/>
          <w:szCs w:val="20"/>
          <w:lang w:val="en-US"/>
        </w:rPr>
        <w:t xml:space="preserve"> US$</w:t>
      </w:r>
      <w:r w:rsidR="003040F7" w:rsidRPr="00610904">
        <w:rPr>
          <w:noProof w:val="0"/>
          <w:spacing w:val="-2"/>
          <w:szCs w:val="20"/>
          <w:lang w:val="en-US"/>
        </w:rPr>
        <w:t>30</w:t>
      </w:r>
      <w:r w:rsidR="007916C1" w:rsidRPr="00610904">
        <w:rPr>
          <w:noProof w:val="0"/>
          <w:spacing w:val="-2"/>
          <w:szCs w:val="20"/>
          <w:lang w:val="en-US"/>
        </w:rPr>
        <w:t>,000.00</w:t>
      </w:r>
      <w:r w:rsidR="003040F7" w:rsidRPr="00610904">
        <w:rPr>
          <w:noProof w:val="0"/>
          <w:spacing w:val="-2"/>
          <w:szCs w:val="20"/>
          <w:lang w:val="en-US"/>
        </w:rPr>
        <w:t xml:space="preserve"> (t</w:t>
      </w:r>
      <w:r w:rsidR="00A06F0C" w:rsidRPr="00610904">
        <w:rPr>
          <w:noProof w:val="0"/>
          <w:spacing w:val="-2"/>
          <w:szCs w:val="20"/>
          <w:lang w:val="en-US"/>
        </w:rPr>
        <w:t>hirty</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00A06F0C" w:rsidRPr="00610904">
        <w:rPr>
          <w:noProof w:val="0"/>
          <w:spacing w:val="-2"/>
          <w:szCs w:val="20"/>
          <w:lang w:val="en-US"/>
        </w:rPr>
        <w:t>for</w:t>
      </w:r>
      <w:r w:rsidR="003040F7" w:rsidRPr="00610904">
        <w:rPr>
          <w:noProof w:val="0"/>
          <w:spacing w:val="-2"/>
          <w:szCs w:val="20"/>
          <w:lang w:val="en-US"/>
        </w:rPr>
        <w:t xml:space="preserve"> Teresa </w:t>
      </w:r>
      <w:r w:rsidR="00B962C7" w:rsidRPr="00610904">
        <w:rPr>
          <w:noProof w:val="0"/>
          <w:spacing w:val="-2"/>
          <w:szCs w:val="20"/>
          <w:lang w:val="en-US"/>
        </w:rPr>
        <w:t>Lluy,</w:t>
      </w:r>
      <w:r w:rsidR="009F3D78" w:rsidRPr="00610904">
        <w:rPr>
          <w:noProof w:val="0"/>
          <w:spacing w:val="-2"/>
          <w:szCs w:val="20"/>
          <w:lang w:val="en-US"/>
        </w:rPr>
        <w:t xml:space="preserve"> and </w:t>
      </w:r>
      <w:r w:rsidR="00A06F0C" w:rsidRPr="00610904">
        <w:rPr>
          <w:noProof w:val="0"/>
          <w:spacing w:val="-2"/>
          <w:szCs w:val="20"/>
          <w:lang w:val="en-US"/>
        </w:rPr>
        <w:t>US$</w:t>
      </w:r>
      <w:r w:rsidR="003040F7" w:rsidRPr="00610904">
        <w:rPr>
          <w:noProof w:val="0"/>
          <w:spacing w:val="-2"/>
          <w:szCs w:val="20"/>
          <w:lang w:val="en-US"/>
        </w:rPr>
        <w:t>25</w:t>
      </w:r>
      <w:r w:rsidR="007916C1" w:rsidRPr="00610904">
        <w:rPr>
          <w:noProof w:val="0"/>
          <w:spacing w:val="-2"/>
          <w:szCs w:val="20"/>
          <w:lang w:val="en-US"/>
        </w:rPr>
        <w:t>,000.00</w:t>
      </w:r>
      <w:r w:rsidR="003040F7" w:rsidRPr="00610904">
        <w:rPr>
          <w:noProof w:val="0"/>
          <w:spacing w:val="-2"/>
          <w:szCs w:val="20"/>
          <w:lang w:val="en-US"/>
        </w:rPr>
        <w:t xml:space="preserve"> (</w:t>
      </w:r>
      <w:r w:rsidR="00A06F0C" w:rsidRPr="00610904">
        <w:rPr>
          <w:noProof w:val="0"/>
          <w:spacing w:val="-2"/>
          <w:szCs w:val="20"/>
          <w:lang w:val="en-US"/>
        </w:rPr>
        <w:t>twenty-five</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00A06F0C" w:rsidRPr="00610904">
        <w:rPr>
          <w:noProof w:val="0"/>
          <w:spacing w:val="-2"/>
          <w:szCs w:val="20"/>
          <w:lang w:val="en-US"/>
        </w:rPr>
        <w:t>for</w:t>
      </w:r>
      <w:r w:rsidR="005550B0" w:rsidRPr="00610904">
        <w:rPr>
          <w:noProof w:val="0"/>
          <w:spacing w:val="-2"/>
          <w:szCs w:val="20"/>
          <w:lang w:val="en-US"/>
        </w:rPr>
        <w:t xml:space="preserve"> Iván</w:t>
      </w:r>
      <w:r w:rsidR="003040F7" w:rsidRPr="00610904">
        <w:rPr>
          <w:noProof w:val="0"/>
          <w:spacing w:val="-2"/>
          <w:szCs w:val="20"/>
          <w:lang w:val="en-US"/>
        </w:rPr>
        <w:t xml:space="preserve"> Lluy. </w:t>
      </w:r>
    </w:p>
    <w:p w:rsidR="003040F7" w:rsidRPr="00610904" w:rsidRDefault="003040F7" w:rsidP="00610904">
      <w:pPr>
        <w:contextualSpacing/>
        <w:rPr>
          <w:noProof w:val="0"/>
          <w:spacing w:val="-2"/>
          <w:szCs w:val="20"/>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84" w:name="_Toc426108488"/>
      <w:bookmarkStart w:id="185" w:name="_Toc443399135"/>
      <w:r w:rsidRPr="00610904">
        <w:rPr>
          <w:rFonts w:eastAsia="Times New Roman" w:cs="Times New Roman"/>
          <w:b/>
          <w:bCs/>
          <w:i/>
          <w:noProof w:val="0"/>
          <w:szCs w:val="20"/>
          <w:lang w:val="en-US"/>
        </w:rPr>
        <w:t xml:space="preserve">E. </w:t>
      </w:r>
      <w:r w:rsidR="00830022" w:rsidRPr="00610904">
        <w:rPr>
          <w:rFonts w:eastAsia="Times New Roman" w:cs="Times New Roman"/>
          <w:b/>
          <w:bCs/>
          <w:i/>
          <w:noProof w:val="0"/>
          <w:szCs w:val="20"/>
          <w:lang w:val="en-US"/>
        </w:rPr>
        <w:t>Costs and expenses</w:t>
      </w:r>
      <w:bookmarkEnd w:id="184"/>
      <w:bookmarkEnd w:id="185"/>
    </w:p>
    <w:p w:rsidR="003040F7" w:rsidRPr="00610904" w:rsidRDefault="003040F7" w:rsidP="00610904">
      <w:pPr>
        <w:contextualSpacing/>
        <w:rPr>
          <w:noProof w:val="0"/>
          <w:spacing w:val="-2"/>
          <w:szCs w:val="20"/>
          <w:lang w:val="en-US"/>
        </w:rPr>
      </w:pPr>
      <w:r w:rsidRPr="00610904">
        <w:rPr>
          <w:noProof w:val="0"/>
          <w:spacing w:val="-2"/>
          <w:szCs w:val="20"/>
          <w:lang w:val="en-US"/>
        </w:rPr>
        <w:t xml:space="preserve"> </w:t>
      </w: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representatives</w:t>
      </w:r>
      <w:r w:rsidR="003040F7" w:rsidRPr="00610904">
        <w:rPr>
          <w:b/>
          <w:i/>
          <w:noProof w:val="0"/>
          <w:spacing w:val="-2"/>
          <w:szCs w:val="20"/>
          <w:lang w:val="en-US"/>
        </w:rPr>
        <w:t xml:space="preserve"> </w:t>
      </w:r>
      <w:r w:rsidR="003040F7" w:rsidRPr="00610904">
        <w:rPr>
          <w:noProof w:val="0"/>
          <w:spacing w:val="-2"/>
          <w:szCs w:val="20"/>
          <w:lang w:val="en-US"/>
        </w:rPr>
        <w:t>a</w:t>
      </w:r>
      <w:r w:rsidR="00416225" w:rsidRPr="00610904">
        <w:rPr>
          <w:noProof w:val="0"/>
          <w:spacing w:val="-2"/>
          <w:szCs w:val="20"/>
          <w:lang w:val="en-US"/>
        </w:rPr>
        <w:t>rgued that the victims had incurred numerous expenses owing to the steps taken at the domestic le</w:t>
      </w:r>
      <w:r w:rsidR="00567EC5" w:rsidRPr="00610904">
        <w:rPr>
          <w:noProof w:val="0"/>
          <w:spacing w:val="-2"/>
          <w:szCs w:val="20"/>
          <w:lang w:val="en-US"/>
        </w:rPr>
        <w:t>v</w:t>
      </w:r>
      <w:r w:rsidR="00416225" w:rsidRPr="00610904">
        <w:rPr>
          <w:noProof w:val="0"/>
          <w:spacing w:val="-2"/>
          <w:szCs w:val="20"/>
          <w:lang w:val="en-US"/>
        </w:rPr>
        <w:t xml:space="preserve">el and during the proceedings before the inter-American system, which included the expenditure to attend hearings, mailing expenses, the reproduction of documents, transportation, accommodation and food. They therefore asked the Court to consider, in equity, reimbursement of </w:t>
      </w:r>
      <w:r w:rsidR="004A6E8B" w:rsidRPr="00610904">
        <w:rPr>
          <w:noProof w:val="0"/>
          <w:spacing w:val="-2"/>
          <w:szCs w:val="20"/>
          <w:lang w:val="en-US"/>
        </w:rPr>
        <w:t>US$</w:t>
      </w:r>
      <w:r w:rsidR="003040F7" w:rsidRPr="00610904">
        <w:rPr>
          <w:noProof w:val="0"/>
          <w:spacing w:val="-2"/>
          <w:szCs w:val="20"/>
          <w:lang w:val="en-US"/>
        </w:rPr>
        <w:t>50</w:t>
      </w:r>
      <w:r w:rsidR="007916C1" w:rsidRPr="00610904">
        <w:rPr>
          <w:noProof w:val="0"/>
          <w:spacing w:val="-2"/>
          <w:szCs w:val="20"/>
          <w:lang w:val="en-US"/>
        </w:rPr>
        <w:t>,000.00</w:t>
      </w:r>
      <w:r w:rsidR="003040F7" w:rsidRPr="00610904">
        <w:rPr>
          <w:noProof w:val="0"/>
          <w:spacing w:val="-2"/>
          <w:szCs w:val="20"/>
          <w:lang w:val="en-US"/>
        </w:rPr>
        <w:t xml:space="preserve"> (</w:t>
      </w:r>
      <w:r w:rsidR="004A6E8B" w:rsidRPr="00610904">
        <w:rPr>
          <w:noProof w:val="0"/>
          <w:spacing w:val="-2"/>
          <w:szCs w:val="20"/>
          <w:lang w:val="en-US"/>
        </w:rPr>
        <w:t>fifty</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416225" w:rsidRPr="00610904">
        <w:rPr>
          <w:noProof w:val="0"/>
          <w:spacing w:val="-2"/>
          <w:szCs w:val="20"/>
          <w:lang w:val="en-US"/>
        </w:rPr>
        <w:t>) f</w:t>
      </w:r>
      <w:r w:rsidR="003040F7" w:rsidRPr="00610904">
        <w:rPr>
          <w:noProof w:val="0"/>
          <w:spacing w:val="-2"/>
          <w:szCs w:val="20"/>
          <w:lang w:val="en-US"/>
        </w:rPr>
        <w:t xml:space="preserve">or </w:t>
      </w:r>
      <w:r w:rsidR="00830022" w:rsidRPr="00610904">
        <w:rPr>
          <w:noProof w:val="0"/>
          <w:spacing w:val="-2"/>
          <w:szCs w:val="20"/>
          <w:lang w:val="en-US"/>
        </w:rPr>
        <w:t>costs and expenses</w:t>
      </w:r>
      <w:r w:rsidR="003040F7" w:rsidRPr="00610904">
        <w:rPr>
          <w:noProof w:val="0"/>
          <w:spacing w:val="-2"/>
          <w:szCs w:val="20"/>
          <w:lang w:val="en-US"/>
        </w:rPr>
        <w:t>, “</w:t>
      </w:r>
      <w:r w:rsidR="00416225" w:rsidRPr="00610904">
        <w:rPr>
          <w:noProof w:val="0"/>
          <w:spacing w:val="-2"/>
          <w:szCs w:val="20"/>
          <w:lang w:val="en-US"/>
        </w:rPr>
        <w:t>if access to the Victims’ Legal Assistance Fund is not granted.”</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b/>
          <w:i/>
          <w:noProof w:val="0"/>
          <w:spacing w:val="-2"/>
          <w:szCs w:val="20"/>
          <w:lang w:val="en-US"/>
        </w:rPr>
        <w:t xml:space="preserve"> </w:t>
      </w:r>
      <w:r w:rsidR="003040F7" w:rsidRPr="00610904">
        <w:rPr>
          <w:noProof w:val="0"/>
          <w:spacing w:val="-2"/>
          <w:szCs w:val="20"/>
          <w:lang w:val="en-US"/>
        </w:rPr>
        <w:t>a</w:t>
      </w:r>
      <w:r w:rsidR="00416225" w:rsidRPr="00610904">
        <w:rPr>
          <w:noProof w:val="0"/>
          <w:spacing w:val="-2"/>
          <w:szCs w:val="20"/>
          <w:lang w:val="en-US"/>
        </w:rPr>
        <w:t>rgued that</w:t>
      </w:r>
      <w:r w:rsidR="003040F7" w:rsidRPr="00610904">
        <w:rPr>
          <w:noProof w:val="0"/>
          <w:spacing w:val="-2"/>
          <w:szCs w:val="20"/>
          <w:lang w:val="en-US"/>
        </w:rPr>
        <w:t xml:space="preserve"> “</w:t>
      </w:r>
      <w:r w:rsidRPr="00610904">
        <w:rPr>
          <w:noProof w:val="0"/>
          <w:spacing w:val="-2"/>
          <w:szCs w:val="20"/>
          <w:lang w:val="en-US"/>
        </w:rPr>
        <w:t>the representatives</w:t>
      </w:r>
      <w:r w:rsidR="003040F7" w:rsidRPr="00610904">
        <w:rPr>
          <w:noProof w:val="0"/>
          <w:spacing w:val="-2"/>
          <w:szCs w:val="20"/>
          <w:lang w:val="en-US"/>
        </w:rPr>
        <w:t xml:space="preserve"> […] </w:t>
      </w:r>
      <w:r w:rsidR="00416225" w:rsidRPr="00610904">
        <w:rPr>
          <w:noProof w:val="0"/>
          <w:spacing w:val="-2"/>
          <w:szCs w:val="20"/>
          <w:lang w:val="en-US"/>
        </w:rPr>
        <w:t xml:space="preserve">are aware of the obligation to issue invoices for professional services,” so that, since they do not have documents that substantiate their claim, the State </w:t>
      </w:r>
      <w:r w:rsidR="00567EC5" w:rsidRPr="00610904">
        <w:rPr>
          <w:noProof w:val="0"/>
          <w:spacing w:val="-2"/>
          <w:szCs w:val="20"/>
          <w:lang w:val="en-US"/>
        </w:rPr>
        <w:t>understood</w:t>
      </w:r>
      <w:r w:rsidR="00416225" w:rsidRPr="00610904">
        <w:rPr>
          <w:noProof w:val="0"/>
          <w:spacing w:val="-2"/>
          <w:szCs w:val="20"/>
          <w:lang w:val="en-US"/>
        </w:rPr>
        <w:t xml:space="preserve"> that the amount for </w:t>
      </w:r>
      <w:r w:rsidR="00830022" w:rsidRPr="00610904">
        <w:rPr>
          <w:noProof w:val="0"/>
          <w:spacing w:val="-2"/>
          <w:szCs w:val="20"/>
          <w:lang w:val="en-US"/>
        </w:rPr>
        <w:t>costs and expenses</w:t>
      </w:r>
      <w:r w:rsidR="004A6E8B" w:rsidRPr="00610904">
        <w:rPr>
          <w:noProof w:val="0"/>
          <w:spacing w:val="-2"/>
          <w:szCs w:val="20"/>
          <w:lang w:val="en-US"/>
        </w:rPr>
        <w:t xml:space="preserve"> </w:t>
      </w:r>
      <w:r w:rsidR="00416225" w:rsidRPr="00610904">
        <w:rPr>
          <w:noProof w:val="0"/>
          <w:spacing w:val="-2"/>
          <w:szCs w:val="20"/>
          <w:lang w:val="en-US"/>
        </w:rPr>
        <w:t xml:space="preserve">should not exceed </w:t>
      </w:r>
      <w:r w:rsidR="004A6E8B" w:rsidRPr="00610904">
        <w:rPr>
          <w:noProof w:val="0"/>
          <w:spacing w:val="-2"/>
          <w:szCs w:val="20"/>
          <w:lang w:val="en-US"/>
        </w:rPr>
        <w:t>US$</w:t>
      </w:r>
      <w:r w:rsidR="003040F7" w:rsidRPr="00610904">
        <w:rPr>
          <w:noProof w:val="0"/>
          <w:spacing w:val="-2"/>
          <w:szCs w:val="20"/>
          <w:lang w:val="en-US"/>
        </w:rPr>
        <w:t>10</w:t>
      </w:r>
      <w:r w:rsidR="007916C1" w:rsidRPr="00610904">
        <w:rPr>
          <w:noProof w:val="0"/>
          <w:spacing w:val="-2"/>
          <w:szCs w:val="20"/>
          <w:lang w:val="en-US"/>
        </w:rPr>
        <w:t>,000.00</w:t>
      </w:r>
      <w:r w:rsidR="003040F7" w:rsidRPr="00610904">
        <w:rPr>
          <w:noProof w:val="0"/>
          <w:spacing w:val="-2"/>
          <w:szCs w:val="20"/>
          <w:lang w:val="en-US"/>
        </w:rPr>
        <w:t xml:space="preserve"> (</w:t>
      </w:r>
      <w:r w:rsidR="004A6E8B" w:rsidRPr="00610904">
        <w:rPr>
          <w:noProof w:val="0"/>
          <w:spacing w:val="-2"/>
          <w:szCs w:val="20"/>
          <w:lang w:val="en-US"/>
        </w:rPr>
        <w:t>ten</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Court</w:t>
      </w:r>
      <w:r w:rsidR="003040F7" w:rsidRPr="00610904">
        <w:rPr>
          <w:noProof w:val="0"/>
          <w:spacing w:val="-2"/>
          <w:szCs w:val="20"/>
          <w:lang w:val="en-US"/>
        </w:rPr>
        <w:t xml:space="preserve"> reitera</w:t>
      </w:r>
      <w:r w:rsidR="00416225" w:rsidRPr="00610904">
        <w:rPr>
          <w:noProof w:val="0"/>
          <w:spacing w:val="-2"/>
          <w:szCs w:val="20"/>
          <w:lang w:val="en-US"/>
        </w:rPr>
        <w:t>tes that, pursuant to its case law,</w:t>
      </w:r>
      <w:r w:rsidR="003040F7" w:rsidRPr="00610904">
        <w:rPr>
          <w:rFonts w:cs="Times New Roman"/>
          <w:noProof w:val="0"/>
          <w:spacing w:val="-2"/>
          <w:szCs w:val="20"/>
          <w:vertAlign w:val="superscript"/>
          <w:lang w:val="en-US"/>
        </w:rPr>
        <w:footnoteReference w:id="428"/>
      </w:r>
      <w:r w:rsidR="003040F7" w:rsidRPr="00610904">
        <w:rPr>
          <w:noProof w:val="0"/>
          <w:spacing w:val="-2"/>
          <w:szCs w:val="20"/>
          <w:lang w:val="en-US"/>
        </w:rPr>
        <w:t xml:space="preserve"> </w:t>
      </w:r>
      <w:r w:rsidR="00830022" w:rsidRPr="00610904">
        <w:rPr>
          <w:noProof w:val="0"/>
          <w:spacing w:val="-2"/>
          <w:szCs w:val="20"/>
          <w:lang w:val="en-US"/>
        </w:rPr>
        <w:t>costs and expenses</w:t>
      </w:r>
      <w:r w:rsidR="003040F7" w:rsidRPr="00610904">
        <w:rPr>
          <w:noProof w:val="0"/>
          <w:spacing w:val="-2"/>
          <w:szCs w:val="20"/>
          <w:lang w:val="en-US"/>
        </w:rPr>
        <w:t xml:space="preserve"> </w:t>
      </w:r>
      <w:r w:rsidR="00567EC5" w:rsidRPr="00610904">
        <w:rPr>
          <w:noProof w:val="0"/>
          <w:spacing w:val="-2"/>
          <w:szCs w:val="20"/>
          <w:lang w:val="en-US"/>
        </w:rPr>
        <w:t>are part of the concept of repa</w:t>
      </w:r>
      <w:r w:rsidR="00416225" w:rsidRPr="00610904">
        <w:rPr>
          <w:noProof w:val="0"/>
          <w:spacing w:val="-2"/>
          <w:szCs w:val="20"/>
          <w:lang w:val="en-US"/>
        </w:rPr>
        <w:t xml:space="preserve">ration, because the measures taken by the victims in order to obtain justice at both the domestic and the international </w:t>
      </w:r>
      <w:proofErr w:type="gramStart"/>
      <w:r w:rsidR="00416225" w:rsidRPr="00610904">
        <w:rPr>
          <w:noProof w:val="0"/>
          <w:spacing w:val="-2"/>
          <w:szCs w:val="20"/>
          <w:lang w:val="en-US"/>
        </w:rPr>
        <w:t>level,</w:t>
      </w:r>
      <w:proofErr w:type="gramEnd"/>
      <w:r w:rsidR="00416225" w:rsidRPr="00610904">
        <w:rPr>
          <w:noProof w:val="0"/>
          <w:spacing w:val="-2"/>
          <w:szCs w:val="20"/>
          <w:lang w:val="en-US"/>
        </w:rPr>
        <w:t xml:space="preserve"> entail disbursements that should be compensated when the State’s international responsibility has been declared in a judgment convicting it. As regards the reimbursement of costs and expenses, it is for the Court to assess their scope prudently. They include the expenses incurred before the authorities of the domestic jurisdiction, and also those incurred during the proceedings before the inter-American </w:t>
      </w:r>
      <w:r w:rsidR="00416225" w:rsidRPr="00610904">
        <w:rPr>
          <w:noProof w:val="0"/>
          <w:spacing w:val="-2"/>
          <w:szCs w:val="20"/>
          <w:lang w:val="en-US"/>
        </w:rPr>
        <w:lastRenderedPageBreak/>
        <w:t xml:space="preserve">system, taking into account the circumstances of the specific case and the nature of the international jurisdiction for the protection of human rights. This assessment may be made based on the principle of equity and taking into account the expenses </w:t>
      </w:r>
      <w:r w:rsidR="0056398E" w:rsidRPr="00610904">
        <w:rPr>
          <w:noProof w:val="0"/>
          <w:spacing w:val="-2"/>
          <w:szCs w:val="20"/>
          <w:lang w:val="en-US"/>
        </w:rPr>
        <w:t>described</w:t>
      </w:r>
      <w:r w:rsidR="00567EC5" w:rsidRPr="00610904">
        <w:rPr>
          <w:noProof w:val="0"/>
          <w:spacing w:val="-2"/>
          <w:szCs w:val="20"/>
          <w:lang w:val="en-US"/>
        </w:rPr>
        <w:t xml:space="preserve"> by the parties, provided the</w:t>
      </w:r>
      <w:r w:rsidR="00416225" w:rsidRPr="00610904">
        <w:rPr>
          <w:noProof w:val="0"/>
          <w:spacing w:val="-2"/>
          <w:szCs w:val="20"/>
          <w:lang w:val="en-US"/>
        </w:rPr>
        <w:t xml:space="preserve"> </w:t>
      </w:r>
      <w:r w:rsidR="003040F7" w:rsidRPr="00610904">
        <w:rPr>
          <w:i/>
          <w:noProof w:val="0"/>
          <w:spacing w:val="-2"/>
          <w:szCs w:val="20"/>
          <w:lang w:val="en-US"/>
        </w:rPr>
        <w:t xml:space="preserve">quantum </w:t>
      </w:r>
      <w:r w:rsidR="00416225" w:rsidRPr="00610904">
        <w:rPr>
          <w:noProof w:val="0"/>
          <w:spacing w:val="-2"/>
          <w:szCs w:val="20"/>
          <w:lang w:val="en-US"/>
        </w:rPr>
        <w:t>is reasonable.</w:t>
      </w:r>
      <w:r w:rsidR="003040F7" w:rsidRPr="00610904">
        <w:rPr>
          <w:rFonts w:cs="Times New Roman"/>
          <w:noProof w:val="0"/>
          <w:spacing w:val="-2"/>
          <w:szCs w:val="20"/>
          <w:vertAlign w:val="superscript"/>
          <w:lang w:val="en-US"/>
        </w:rPr>
        <w:footnoteReference w:id="429"/>
      </w:r>
    </w:p>
    <w:p w:rsidR="003040F7" w:rsidRPr="00610904" w:rsidRDefault="003040F7" w:rsidP="00610904">
      <w:pPr>
        <w:contextualSpacing/>
        <w:rPr>
          <w:noProof w:val="0"/>
          <w:spacing w:val="-2"/>
          <w:szCs w:val="20"/>
          <w:lang w:val="en-US"/>
        </w:rPr>
      </w:pPr>
    </w:p>
    <w:p w:rsidR="003040F7" w:rsidRPr="00610904" w:rsidRDefault="00A8072E" w:rsidP="00610904">
      <w:pPr>
        <w:numPr>
          <w:ilvl w:val="0"/>
          <w:numId w:val="1"/>
        </w:numPr>
        <w:contextualSpacing/>
        <w:rPr>
          <w:noProof w:val="0"/>
          <w:spacing w:val="-2"/>
          <w:szCs w:val="20"/>
          <w:lang w:val="en-US"/>
        </w:rPr>
      </w:pPr>
      <w:r w:rsidRPr="00610904">
        <w:rPr>
          <w:noProof w:val="0"/>
          <w:spacing w:val="-2"/>
          <w:szCs w:val="20"/>
          <w:lang w:val="en-US"/>
        </w:rPr>
        <w:t>This Court</w:t>
      </w:r>
      <w:r w:rsidR="003040F7" w:rsidRPr="00610904">
        <w:rPr>
          <w:noProof w:val="0"/>
          <w:spacing w:val="-2"/>
          <w:szCs w:val="20"/>
          <w:lang w:val="en-US"/>
        </w:rPr>
        <w:t xml:space="preserve"> </w:t>
      </w:r>
      <w:r w:rsidR="003040F7" w:rsidRPr="00610904">
        <w:rPr>
          <w:rFonts w:eastAsia="Verdana" w:cs="Verdana"/>
          <w:noProof w:val="0"/>
          <w:spacing w:val="1"/>
          <w:szCs w:val="20"/>
          <w:lang w:val="en-US"/>
        </w:rPr>
        <w:t>h</w:t>
      </w:r>
      <w:r w:rsidR="003040F7" w:rsidRPr="00610904">
        <w:rPr>
          <w:rFonts w:eastAsia="Verdana" w:cs="Verdana"/>
          <w:noProof w:val="0"/>
          <w:szCs w:val="20"/>
          <w:lang w:val="en-US"/>
        </w:rPr>
        <w:t>a</w:t>
      </w:r>
      <w:r w:rsidR="007B5711" w:rsidRPr="00610904">
        <w:rPr>
          <w:rFonts w:eastAsia="Verdana" w:cs="Verdana"/>
          <w:noProof w:val="0"/>
          <w:szCs w:val="20"/>
          <w:lang w:val="en-US"/>
        </w:rPr>
        <w:t xml:space="preserve">s indicated that “the claims of the victims or </w:t>
      </w:r>
      <w:r w:rsidR="00795F5F" w:rsidRPr="00610904">
        <w:rPr>
          <w:rFonts w:eastAsia="Verdana" w:cs="Verdana"/>
          <w:noProof w:val="0"/>
          <w:spacing w:val="2"/>
          <w:szCs w:val="20"/>
          <w:lang w:val="en-US"/>
        </w:rPr>
        <w:t>their representatives</w:t>
      </w:r>
      <w:r w:rsidR="007B5711" w:rsidRPr="00610904">
        <w:rPr>
          <w:rFonts w:eastAsia="Verdana" w:cs="Verdana"/>
          <w:noProof w:val="0"/>
          <w:spacing w:val="2"/>
          <w:szCs w:val="20"/>
          <w:lang w:val="en-US"/>
        </w:rPr>
        <w:t xml:space="preserve"> </w:t>
      </w:r>
      <w:r w:rsidR="00856968" w:rsidRPr="00610904">
        <w:rPr>
          <w:rFonts w:eastAsia="Verdana" w:cs="Verdana"/>
          <w:noProof w:val="0"/>
          <w:spacing w:val="2"/>
          <w:szCs w:val="20"/>
          <w:lang w:val="en-US"/>
        </w:rPr>
        <w:t xml:space="preserve">for </w:t>
      </w:r>
      <w:r w:rsidR="00856968" w:rsidRPr="00610904">
        <w:rPr>
          <w:rFonts w:eastAsia="Verdana" w:cs="Verdana"/>
          <w:noProof w:val="0"/>
          <w:spacing w:val="48"/>
          <w:szCs w:val="20"/>
          <w:lang w:val="en-US"/>
        </w:rPr>
        <w:t>costs</w:t>
      </w:r>
      <w:r w:rsidR="00830022" w:rsidRPr="00610904">
        <w:rPr>
          <w:rFonts w:eastAsia="Verdana" w:cs="Verdana"/>
          <w:noProof w:val="0"/>
          <w:szCs w:val="20"/>
          <w:lang w:val="en-US"/>
        </w:rPr>
        <w:t xml:space="preserve"> and expenses</w:t>
      </w:r>
      <w:r w:rsidR="003040F7" w:rsidRPr="00610904">
        <w:rPr>
          <w:rFonts w:eastAsia="Verdana" w:cs="Verdana"/>
          <w:noProof w:val="0"/>
          <w:szCs w:val="20"/>
          <w:lang w:val="en-US"/>
        </w:rPr>
        <w:t>,</w:t>
      </w:r>
      <w:r w:rsidR="009F3D78" w:rsidRPr="00610904">
        <w:rPr>
          <w:rFonts w:eastAsia="Verdana" w:cs="Verdana"/>
          <w:noProof w:val="0"/>
          <w:spacing w:val="7"/>
          <w:szCs w:val="20"/>
          <w:lang w:val="en-US"/>
        </w:rPr>
        <w:t xml:space="preserve"> and </w:t>
      </w:r>
      <w:r w:rsidR="007B5711" w:rsidRPr="00610904">
        <w:rPr>
          <w:rFonts w:eastAsia="Verdana" w:cs="Verdana"/>
          <w:noProof w:val="0"/>
          <w:spacing w:val="7"/>
          <w:szCs w:val="20"/>
          <w:lang w:val="en-US"/>
        </w:rPr>
        <w:t xml:space="preserve">the evidence that substantiates them, must be submitted to the Court on the first procedural occasion granted to them; in other words, in the </w:t>
      </w:r>
      <w:r w:rsidR="00795F5F" w:rsidRPr="00610904">
        <w:rPr>
          <w:rFonts w:eastAsia="Verdana" w:cs="Verdana"/>
          <w:noProof w:val="0"/>
          <w:spacing w:val="-1"/>
          <w:szCs w:val="20"/>
          <w:lang w:val="en-US"/>
        </w:rPr>
        <w:t>pleadings and motions</w:t>
      </w:r>
      <w:r w:rsidR="007B5711" w:rsidRPr="00610904">
        <w:rPr>
          <w:rFonts w:eastAsia="Verdana" w:cs="Verdana"/>
          <w:noProof w:val="0"/>
          <w:spacing w:val="-1"/>
          <w:szCs w:val="20"/>
          <w:lang w:val="en-US"/>
        </w:rPr>
        <w:t xml:space="preserve"> brief, without prejudice to these claims being updated subsequently, in keeping with the new </w:t>
      </w:r>
      <w:r w:rsidR="00830022" w:rsidRPr="00610904">
        <w:rPr>
          <w:rFonts w:eastAsia="Verdana" w:cs="Verdana"/>
          <w:noProof w:val="0"/>
          <w:szCs w:val="20"/>
          <w:lang w:val="en-US"/>
        </w:rPr>
        <w:t>costs and expenses</w:t>
      </w:r>
      <w:r w:rsidR="003040F7" w:rsidRPr="00610904">
        <w:rPr>
          <w:rFonts w:eastAsia="Verdana" w:cs="Verdana"/>
          <w:noProof w:val="0"/>
          <w:spacing w:val="10"/>
          <w:szCs w:val="20"/>
          <w:lang w:val="en-US"/>
        </w:rPr>
        <w:t xml:space="preserve"> </w:t>
      </w:r>
      <w:r w:rsidR="007B5711" w:rsidRPr="00610904">
        <w:rPr>
          <w:rFonts w:eastAsia="Verdana" w:cs="Verdana"/>
          <w:noProof w:val="0"/>
          <w:spacing w:val="10"/>
          <w:szCs w:val="20"/>
          <w:lang w:val="en-US"/>
        </w:rPr>
        <w:t>incurred during the proceedings before this Court.</w:t>
      </w:r>
      <w:r w:rsidR="003040F7" w:rsidRPr="00610904">
        <w:rPr>
          <w:rFonts w:eastAsia="Verdana" w:cs="Verdana"/>
          <w:noProof w:val="0"/>
          <w:spacing w:val="11"/>
          <w:szCs w:val="20"/>
          <w:lang w:val="en-US"/>
        </w:rPr>
        <w:t>”</w:t>
      </w:r>
      <w:r w:rsidR="003040F7" w:rsidRPr="00610904">
        <w:rPr>
          <w:rFonts w:eastAsia="Verdana" w:cs="Verdana"/>
          <w:noProof w:val="0"/>
          <w:spacing w:val="11"/>
          <w:szCs w:val="20"/>
          <w:vertAlign w:val="superscript"/>
          <w:lang w:val="en-US"/>
        </w:rPr>
        <w:footnoteReference w:id="430"/>
      </w:r>
      <w:r w:rsidR="003040F7" w:rsidRPr="00610904">
        <w:rPr>
          <w:rFonts w:eastAsia="Verdana" w:cs="Verdana"/>
          <w:noProof w:val="0"/>
          <w:szCs w:val="20"/>
          <w:lang w:val="en-US"/>
        </w:rPr>
        <w:t xml:space="preserve"> </w:t>
      </w:r>
      <w:r w:rsidR="007B5711" w:rsidRPr="00610904">
        <w:rPr>
          <w:rFonts w:eastAsia="Verdana" w:cs="Verdana"/>
          <w:noProof w:val="0"/>
          <w:szCs w:val="20"/>
          <w:lang w:val="en-US"/>
        </w:rPr>
        <w:t>In addition, the Court reiterates that it is not sufficient to merely forward</w:t>
      </w:r>
      <w:r w:rsidR="00567EC5" w:rsidRPr="00610904">
        <w:rPr>
          <w:rFonts w:eastAsia="Verdana" w:cs="Verdana"/>
          <w:noProof w:val="0"/>
          <w:szCs w:val="20"/>
          <w:lang w:val="en-US"/>
        </w:rPr>
        <w:t xml:space="preserve"> </w:t>
      </w:r>
      <w:r w:rsidR="007B5711" w:rsidRPr="00610904">
        <w:rPr>
          <w:rFonts w:eastAsia="Verdana" w:cs="Verdana"/>
          <w:noProof w:val="0"/>
          <w:szCs w:val="20"/>
          <w:lang w:val="en-US"/>
        </w:rPr>
        <w:t xml:space="preserve">probative documents, but rather the parties are required to present their arguments relating the evidence to the fact that it is </w:t>
      </w:r>
      <w:r w:rsidR="00567EC5" w:rsidRPr="00610904">
        <w:rPr>
          <w:rFonts w:eastAsia="Verdana" w:cs="Verdana"/>
          <w:noProof w:val="0"/>
          <w:szCs w:val="20"/>
          <w:lang w:val="en-US"/>
        </w:rPr>
        <w:t>considered to represent and</w:t>
      </w:r>
      <w:r w:rsidR="007B5711" w:rsidRPr="00610904">
        <w:rPr>
          <w:rFonts w:eastAsia="Verdana" w:cs="Verdana"/>
          <w:noProof w:val="0"/>
          <w:szCs w:val="20"/>
          <w:lang w:val="en-US"/>
        </w:rPr>
        <w:t>, in the case of alleged financial disburs</w:t>
      </w:r>
      <w:r w:rsidR="00567EC5" w:rsidRPr="00610904">
        <w:rPr>
          <w:rFonts w:eastAsia="Verdana" w:cs="Verdana"/>
          <w:noProof w:val="0"/>
          <w:szCs w:val="20"/>
          <w:lang w:val="en-US"/>
        </w:rPr>
        <w:t>e</w:t>
      </w:r>
      <w:r w:rsidR="007B5711" w:rsidRPr="00610904">
        <w:rPr>
          <w:rFonts w:eastAsia="Verdana" w:cs="Verdana"/>
          <w:noProof w:val="0"/>
          <w:szCs w:val="20"/>
          <w:lang w:val="en-US"/>
        </w:rPr>
        <w:t>ment</w:t>
      </w:r>
      <w:r w:rsidR="00567EC5" w:rsidRPr="00610904">
        <w:rPr>
          <w:rFonts w:eastAsia="Verdana" w:cs="Verdana"/>
          <w:noProof w:val="0"/>
          <w:szCs w:val="20"/>
          <w:lang w:val="en-US"/>
        </w:rPr>
        <w:t>s</w:t>
      </w:r>
      <w:r w:rsidR="007B5711" w:rsidRPr="00610904">
        <w:rPr>
          <w:rFonts w:eastAsia="Verdana" w:cs="Verdana"/>
          <w:noProof w:val="0"/>
          <w:szCs w:val="20"/>
          <w:lang w:val="en-US"/>
        </w:rPr>
        <w:t xml:space="preserve">, the items and their justification </w:t>
      </w:r>
      <w:r w:rsidR="00567EC5" w:rsidRPr="00610904">
        <w:rPr>
          <w:rFonts w:eastAsia="Verdana" w:cs="Verdana"/>
          <w:noProof w:val="0"/>
          <w:szCs w:val="20"/>
          <w:lang w:val="en-US"/>
        </w:rPr>
        <w:t>must be</w:t>
      </w:r>
      <w:r w:rsidR="007B5711" w:rsidRPr="00610904">
        <w:rPr>
          <w:rFonts w:eastAsia="Verdana" w:cs="Verdana"/>
          <w:noProof w:val="0"/>
          <w:szCs w:val="20"/>
          <w:lang w:val="en-US"/>
        </w:rPr>
        <w:t xml:space="preserve"> established</w:t>
      </w:r>
      <w:r w:rsidR="00567EC5" w:rsidRPr="00610904">
        <w:rPr>
          <w:rFonts w:eastAsia="Verdana" w:cs="Verdana"/>
          <w:noProof w:val="0"/>
          <w:szCs w:val="20"/>
          <w:lang w:val="en-US"/>
        </w:rPr>
        <w:t xml:space="preserve"> clearly</w:t>
      </w:r>
      <w:r w:rsidR="007B5711" w:rsidRPr="00610904">
        <w:rPr>
          <w:rFonts w:eastAsia="Verdana" w:cs="Verdana"/>
          <w:noProof w:val="0"/>
          <w:szCs w:val="20"/>
          <w:lang w:val="en-US"/>
        </w:rPr>
        <w:t>.</w:t>
      </w:r>
      <w:r w:rsidR="003040F7" w:rsidRPr="00610904">
        <w:rPr>
          <w:rFonts w:eastAsia="Verdana" w:cs="Verdana"/>
          <w:noProof w:val="0"/>
          <w:spacing w:val="7"/>
          <w:szCs w:val="20"/>
          <w:vertAlign w:val="superscript"/>
          <w:lang w:val="en-US"/>
        </w:rPr>
        <w:footnoteReference w:id="431"/>
      </w:r>
    </w:p>
    <w:p w:rsidR="003040F7" w:rsidRPr="00610904" w:rsidRDefault="003040F7" w:rsidP="00610904">
      <w:pPr>
        <w:contextualSpacing/>
        <w:rPr>
          <w:noProof w:val="0"/>
          <w:spacing w:val="-2"/>
          <w:szCs w:val="20"/>
          <w:lang w:val="en-US"/>
        </w:rPr>
      </w:pPr>
    </w:p>
    <w:p w:rsidR="003040F7" w:rsidRPr="00610904" w:rsidRDefault="00882CCC" w:rsidP="00610904">
      <w:pPr>
        <w:numPr>
          <w:ilvl w:val="0"/>
          <w:numId w:val="1"/>
        </w:numPr>
        <w:contextualSpacing/>
        <w:rPr>
          <w:noProof w:val="0"/>
          <w:spacing w:val="-2"/>
          <w:szCs w:val="20"/>
          <w:lang w:val="en-US"/>
        </w:rPr>
      </w:pPr>
      <w:r w:rsidRPr="00610904">
        <w:rPr>
          <w:noProof w:val="0"/>
          <w:spacing w:val="-2"/>
          <w:szCs w:val="20"/>
          <w:lang w:val="en-US"/>
        </w:rPr>
        <w:t>In this case</w:t>
      </w:r>
      <w:r w:rsidR="003040F7" w:rsidRPr="00610904">
        <w:rPr>
          <w:noProof w:val="0"/>
          <w:spacing w:val="-2"/>
          <w:szCs w:val="20"/>
          <w:lang w:val="en-US"/>
        </w:rPr>
        <w:t xml:space="preserve">, </w:t>
      </w:r>
      <w:r w:rsidR="007B5711" w:rsidRPr="00610904">
        <w:rPr>
          <w:noProof w:val="0"/>
          <w:spacing w:val="-2"/>
          <w:szCs w:val="20"/>
          <w:lang w:val="en-US"/>
        </w:rPr>
        <w:t xml:space="preserve">there is no probative support for the costs and expenses incurred by the victims’ </w:t>
      </w:r>
      <w:r w:rsidR="009F3D78" w:rsidRPr="00610904">
        <w:rPr>
          <w:noProof w:val="0"/>
          <w:spacing w:val="-2"/>
          <w:szCs w:val="20"/>
          <w:lang w:val="en-US"/>
        </w:rPr>
        <w:t>representative</w:t>
      </w:r>
      <w:r w:rsidR="007B5711" w:rsidRPr="00610904">
        <w:rPr>
          <w:noProof w:val="0"/>
          <w:spacing w:val="-2"/>
          <w:szCs w:val="20"/>
          <w:lang w:val="en-US"/>
        </w:rPr>
        <w:t xml:space="preserve">s in the case file. Nevertheless, the Court can infer that </w:t>
      </w:r>
      <w:r w:rsidR="009F3D78" w:rsidRPr="00610904">
        <w:rPr>
          <w:noProof w:val="0"/>
          <w:spacing w:val="-2"/>
          <w:szCs w:val="20"/>
          <w:lang w:val="en-US"/>
        </w:rPr>
        <w:t>the representatives</w:t>
      </w:r>
      <w:r w:rsidR="00567EC5" w:rsidRPr="00610904">
        <w:rPr>
          <w:noProof w:val="0"/>
          <w:spacing w:val="-2"/>
          <w:szCs w:val="20"/>
          <w:lang w:val="en-US"/>
        </w:rPr>
        <w:t xml:space="preserve"> incurred expenses when exercising</w:t>
      </w:r>
      <w:r w:rsidR="007B5711" w:rsidRPr="00610904">
        <w:rPr>
          <w:noProof w:val="0"/>
          <w:spacing w:val="-2"/>
          <w:szCs w:val="20"/>
          <w:lang w:val="en-US"/>
        </w:rPr>
        <w:t xml:space="preserve"> legal representation during the proceedings before this Court. Also, it is reasonable to suppose that, over the years that this case was processed before</w:t>
      </w:r>
      <w:r w:rsidR="003040F7" w:rsidRPr="00610904">
        <w:rPr>
          <w:noProof w:val="0"/>
          <w:spacing w:val="-2"/>
          <w:szCs w:val="20"/>
          <w:lang w:val="en-US"/>
        </w:rPr>
        <w:t xml:space="preserve"> </w:t>
      </w:r>
      <w:r w:rsidR="002F5BBA" w:rsidRPr="00610904">
        <w:rPr>
          <w:noProof w:val="0"/>
          <w:spacing w:val="-2"/>
          <w:szCs w:val="20"/>
          <w:lang w:val="en-US"/>
        </w:rPr>
        <w:t>the Commission</w:t>
      </w:r>
      <w:r w:rsidR="007B5711" w:rsidRPr="00610904">
        <w:rPr>
          <w:noProof w:val="0"/>
          <w:spacing w:val="-2"/>
          <w:szCs w:val="20"/>
          <w:lang w:val="en-US"/>
        </w:rPr>
        <w:t xml:space="preserve">, the victims </w:t>
      </w:r>
      <w:r w:rsidR="009F3D78" w:rsidRPr="00610904">
        <w:rPr>
          <w:noProof w:val="0"/>
          <w:spacing w:val="-2"/>
          <w:szCs w:val="20"/>
          <w:lang w:val="en-US"/>
        </w:rPr>
        <w:t>and the representatives</w:t>
      </w:r>
      <w:r w:rsidR="003040F7" w:rsidRPr="00610904">
        <w:rPr>
          <w:noProof w:val="0"/>
          <w:spacing w:val="-2"/>
          <w:szCs w:val="20"/>
          <w:lang w:val="en-US"/>
        </w:rPr>
        <w:t xml:space="preserve"> </w:t>
      </w:r>
      <w:r w:rsidR="007B5711" w:rsidRPr="00610904">
        <w:rPr>
          <w:noProof w:val="0"/>
          <w:spacing w:val="-2"/>
          <w:szCs w:val="20"/>
          <w:lang w:val="en-US"/>
        </w:rPr>
        <w:t xml:space="preserve">made financial disbursements. Consequently, the Court establishes, in equity, the sum of </w:t>
      </w:r>
      <w:r w:rsidR="004A6E8B" w:rsidRPr="00610904">
        <w:rPr>
          <w:noProof w:val="0"/>
          <w:spacing w:val="-2"/>
          <w:szCs w:val="20"/>
          <w:lang w:val="en-US"/>
        </w:rPr>
        <w:t>US$10,</w:t>
      </w:r>
      <w:r w:rsidR="003040F7" w:rsidRPr="00610904">
        <w:rPr>
          <w:noProof w:val="0"/>
          <w:spacing w:val="-2"/>
          <w:szCs w:val="20"/>
          <w:lang w:val="en-US"/>
        </w:rPr>
        <w:t>000</w:t>
      </w:r>
      <w:r w:rsidR="004A6E8B" w:rsidRPr="00610904">
        <w:rPr>
          <w:noProof w:val="0"/>
          <w:spacing w:val="-2"/>
          <w:szCs w:val="20"/>
          <w:lang w:val="en-US"/>
        </w:rPr>
        <w:t>.00</w:t>
      </w:r>
      <w:r w:rsidR="003040F7" w:rsidRPr="00610904">
        <w:rPr>
          <w:noProof w:val="0"/>
          <w:spacing w:val="-2"/>
          <w:szCs w:val="20"/>
          <w:lang w:val="en-US"/>
        </w:rPr>
        <w:t xml:space="preserve"> (</w:t>
      </w:r>
      <w:r w:rsidR="004A6E8B" w:rsidRPr="00610904">
        <w:rPr>
          <w:noProof w:val="0"/>
          <w:spacing w:val="-2"/>
          <w:szCs w:val="20"/>
          <w:lang w:val="en-US"/>
        </w:rPr>
        <w:t>ten</w:t>
      </w:r>
      <w:r w:rsidR="003040F7" w:rsidRPr="00610904">
        <w:rPr>
          <w:noProof w:val="0"/>
          <w:spacing w:val="-2"/>
          <w:szCs w:val="20"/>
          <w:lang w:val="en-US"/>
        </w:rPr>
        <w:t xml:space="preserve"> </w:t>
      </w:r>
      <w:r w:rsidR="007916C1" w:rsidRPr="00610904">
        <w:rPr>
          <w:noProof w:val="0"/>
          <w:spacing w:val="-2"/>
          <w:szCs w:val="20"/>
          <w:lang w:val="en-US"/>
        </w:rPr>
        <w:t>thousand United States dollars</w:t>
      </w:r>
      <w:r w:rsidR="003040F7" w:rsidRPr="00610904">
        <w:rPr>
          <w:noProof w:val="0"/>
          <w:spacing w:val="-2"/>
          <w:szCs w:val="20"/>
          <w:lang w:val="en-US"/>
        </w:rPr>
        <w:t xml:space="preserve">) </w:t>
      </w:r>
      <w:r w:rsidR="00567EC5" w:rsidRPr="00610904">
        <w:rPr>
          <w:noProof w:val="0"/>
          <w:spacing w:val="-2"/>
          <w:szCs w:val="20"/>
          <w:lang w:val="en-US"/>
        </w:rPr>
        <w:t>which</w:t>
      </w:r>
      <w:r w:rsidR="007B5711" w:rsidRPr="00610904">
        <w:rPr>
          <w:noProof w:val="0"/>
          <w:spacing w:val="-2"/>
          <w:szCs w:val="20"/>
          <w:lang w:val="en-US"/>
        </w:rPr>
        <w:t xml:space="preserve"> must be delivered to </w:t>
      </w:r>
      <w:r w:rsidR="009F3D78" w:rsidRPr="00610904">
        <w:rPr>
          <w:noProof w:val="0"/>
          <w:spacing w:val="-2"/>
          <w:szCs w:val="20"/>
          <w:lang w:val="en-US"/>
        </w:rPr>
        <w:t>the representatives</w:t>
      </w:r>
      <w:r w:rsidR="003040F7" w:rsidRPr="00610904">
        <w:rPr>
          <w:noProof w:val="0"/>
          <w:spacing w:val="-2"/>
          <w:szCs w:val="20"/>
          <w:lang w:val="en-US"/>
        </w:rPr>
        <w:t xml:space="preserve"> </w:t>
      </w:r>
      <w:r w:rsidR="007B5711" w:rsidRPr="00610904">
        <w:rPr>
          <w:noProof w:val="0"/>
          <w:spacing w:val="-2"/>
          <w:szCs w:val="20"/>
          <w:lang w:val="en-US"/>
        </w:rPr>
        <w:t xml:space="preserve">for the </w:t>
      </w:r>
      <w:r w:rsidR="00830022" w:rsidRPr="00610904">
        <w:rPr>
          <w:noProof w:val="0"/>
          <w:spacing w:val="-2"/>
          <w:szCs w:val="20"/>
          <w:lang w:val="en-US"/>
        </w:rPr>
        <w:t>costs and expenses</w:t>
      </w:r>
      <w:r w:rsidR="003040F7" w:rsidRPr="00610904">
        <w:rPr>
          <w:noProof w:val="0"/>
          <w:spacing w:val="-2"/>
          <w:szCs w:val="20"/>
          <w:lang w:val="en-US"/>
        </w:rPr>
        <w:t xml:space="preserve"> </w:t>
      </w:r>
      <w:r w:rsidR="00567EC5" w:rsidRPr="00610904">
        <w:rPr>
          <w:noProof w:val="0"/>
          <w:spacing w:val="-2"/>
          <w:szCs w:val="20"/>
          <w:lang w:val="en-US"/>
        </w:rPr>
        <w:t>of</w:t>
      </w:r>
      <w:r w:rsidR="007B5711" w:rsidRPr="00610904">
        <w:rPr>
          <w:noProof w:val="0"/>
          <w:spacing w:val="-2"/>
          <w:szCs w:val="20"/>
          <w:lang w:val="en-US"/>
        </w:rPr>
        <w:t xml:space="preserve"> processing the proceedings before the inter-American human rights system. </w:t>
      </w:r>
      <w:r w:rsidRPr="00610904">
        <w:rPr>
          <w:noProof w:val="0"/>
          <w:spacing w:val="-2"/>
          <w:szCs w:val="20"/>
          <w:lang w:val="en-US"/>
        </w:rPr>
        <w:t xml:space="preserve">At the stage of monitoring compliance with </w:t>
      </w:r>
      <w:r w:rsidR="004A6E8B" w:rsidRPr="00610904">
        <w:rPr>
          <w:noProof w:val="0"/>
          <w:spacing w:val="-2"/>
          <w:szCs w:val="20"/>
          <w:lang w:val="en-US"/>
        </w:rPr>
        <w:t>this Judgment</w:t>
      </w:r>
      <w:r w:rsidR="003040F7" w:rsidRPr="00610904">
        <w:rPr>
          <w:noProof w:val="0"/>
          <w:spacing w:val="-2"/>
          <w:szCs w:val="20"/>
          <w:lang w:val="en-US"/>
        </w:rPr>
        <w:t xml:space="preserve">, </w:t>
      </w:r>
      <w:r w:rsidR="009F3D78" w:rsidRPr="00610904">
        <w:rPr>
          <w:noProof w:val="0"/>
          <w:spacing w:val="-2"/>
          <w:szCs w:val="20"/>
          <w:lang w:val="en-US"/>
        </w:rPr>
        <w:t>the Court</w:t>
      </w:r>
      <w:r w:rsidR="003040F7" w:rsidRPr="00610904">
        <w:rPr>
          <w:noProof w:val="0"/>
          <w:spacing w:val="-2"/>
          <w:szCs w:val="20"/>
          <w:lang w:val="en-US"/>
        </w:rPr>
        <w:t xml:space="preserve"> </w:t>
      </w:r>
      <w:r w:rsidRPr="00610904">
        <w:rPr>
          <w:noProof w:val="0"/>
          <w:spacing w:val="-2"/>
          <w:szCs w:val="20"/>
          <w:lang w:val="en-US"/>
        </w:rPr>
        <w:t>may establish</w:t>
      </w:r>
      <w:r w:rsidR="00567EC5" w:rsidRPr="00610904">
        <w:rPr>
          <w:noProof w:val="0"/>
          <w:spacing w:val="-2"/>
          <w:szCs w:val="20"/>
          <w:lang w:val="en-US"/>
        </w:rPr>
        <w:t xml:space="preserve"> that the State should reimburse</w:t>
      </w:r>
      <w:r w:rsidRPr="00610904">
        <w:rPr>
          <w:noProof w:val="0"/>
          <w:spacing w:val="-2"/>
          <w:szCs w:val="20"/>
          <w:lang w:val="en-US"/>
        </w:rPr>
        <w:t xml:space="preserve"> subsequent reasonable and duly authenticated expenses</w:t>
      </w:r>
      <w:r w:rsidR="00567EC5" w:rsidRPr="00610904">
        <w:rPr>
          <w:noProof w:val="0"/>
          <w:spacing w:val="-2"/>
          <w:szCs w:val="20"/>
          <w:lang w:val="en-US"/>
        </w:rPr>
        <w:t xml:space="preserve"> to the victims or their representatives</w:t>
      </w:r>
      <w:r w:rsidRPr="00610904">
        <w:rPr>
          <w:noProof w:val="0"/>
          <w:spacing w:val="-2"/>
          <w:szCs w:val="20"/>
          <w:lang w:val="en-US"/>
        </w:rPr>
        <w:t>.</w:t>
      </w:r>
      <w:r w:rsidR="003040F7" w:rsidRPr="00610904">
        <w:rPr>
          <w:noProof w:val="0"/>
          <w:spacing w:val="-2"/>
          <w:szCs w:val="20"/>
          <w:vertAlign w:val="superscript"/>
          <w:lang w:val="en-US"/>
        </w:rPr>
        <w:footnoteReference w:id="432"/>
      </w:r>
    </w:p>
    <w:p w:rsidR="003040F7" w:rsidRPr="00610904" w:rsidRDefault="003040F7" w:rsidP="00610904">
      <w:pPr>
        <w:contextualSpacing/>
        <w:rPr>
          <w:noProof w:val="0"/>
          <w:spacing w:val="-2"/>
          <w:szCs w:val="20"/>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86" w:name="_Toc426108489"/>
      <w:bookmarkStart w:id="187" w:name="_Toc443399136"/>
      <w:r w:rsidRPr="00610904">
        <w:rPr>
          <w:rFonts w:eastAsia="Times New Roman" w:cs="Times New Roman"/>
          <w:b/>
          <w:bCs/>
          <w:i/>
          <w:noProof w:val="0"/>
          <w:szCs w:val="20"/>
          <w:lang w:val="en-US"/>
        </w:rPr>
        <w:t xml:space="preserve">F. </w:t>
      </w:r>
      <w:r w:rsidR="00830022" w:rsidRPr="00610904">
        <w:rPr>
          <w:rFonts w:eastAsia="Times New Roman" w:cs="Times New Roman"/>
          <w:b/>
          <w:bCs/>
          <w:i/>
          <w:noProof w:val="0"/>
          <w:szCs w:val="20"/>
          <w:lang w:val="en-US"/>
        </w:rPr>
        <w:t>Reimbursement of the Victims’ Legal Assistance Fund</w:t>
      </w:r>
      <w:bookmarkEnd w:id="186"/>
      <w:bookmarkEnd w:id="187"/>
    </w:p>
    <w:p w:rsidR="003040F7" w:rsidRPr="00610904" w:rsidRDefault="003040F7" w:rsidP="00610904">
      <w:pPr>
        <w:rPr>
          <w:noProof w:val="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 xml:space="preserve">The </w:t>
      </w:r>
      <w:r w:rsidR="00054980" w:rsidRPr="00610904">
        <w:rPr>
          <w:noProof w:val="0"/>
          <w:spacing w:val="-2"/>
          <w:szCs w:val="20"/>
          <w:lang w:val="en-US"/>
        </w:rPr>
        <w:t xml:space="preserve">victims’ </w:t>
      </w:r>
      <w:r w:rsidRPr="00610904">
        <w:rPr>
          <w:noProof w:val="0"/>
          <w:spacing w:val="-2"/>
          <w:szCs w:val="20"/>
          <w:lang w:val="en-US"/>
        </w:rPr>
        <w:t>representatives</w:t>
      </w:r>
      <w:r w:rsidR="003040F7" w:rsidRPr="00610904">
        <w:rPr>
          <w:noProof w:val="0"/>
          <w:spacing w:val="-2"/>
          <w:szCs w:val="20"/>
          <w:lang w:val="en-US"/>
        </w:rPr>
        <w:t xml:space="preserve"> </w:t>
      </w:r>
      <w:r w:rsidR="00054980" w:rsidRPr="00610904">
        <w:rPr>
          <w:noProof w:val="0"/>
          <w:spacing w:val="-2"/>
          <w:szCs w:val="20"/>
          <w:lang w:val="en-US"/>
        </w:rPr>
        <w:t>had requested the support of</w:t>
      </w:r>
      <w:r w:rsidR="003309BE" w:rsidRPr="00610904">
        <w:rPr>
          <w:noProof w:val="0"/>
          <w:spacing w:val="-2"/>
          <w:szCs w:val="20"/>
          <w:lang w:val="en-US"/>
        </w:rPr>
        <w:t xml:space="preserve"> the </w:t>
      </w:r>
      <w:r w:rsidR="00054980" w:rsidRPr="00610904">
        <w:rPr>
          <w:noProof w:val="0"/>
          <w:spacing w:val="-2"/>
          <w:szCs w:val="20"/>
          <w:lang w:val="en-US"/>
        </w:rPr>
        <w:t xml:space="preserve">Victims’ Legal </w:t>
      </w:r>
      <w:r w:rsidR="003309BE" w:rsidRPr="00610904">
        <w:rPr>
          <w:noProof w:val="0"/>
          <w:spacing w:val="-2"/>
          <w:szCs w:val="20"/>
          <w:lang w:val="en-US"/>
        </w:rPr>
        <w:t>Assistance Fund</w:t>
      </w:r>
      <w:r w:rsidR="00054980" w:rsidRPr="00610904">
        <w:rPr>
          <w:noProof w:val="0"/>
          <w:spacing w:val="-2"/>
          <w:szCs w:val="20"/>
          <w:lang w:val="en-US"/>
        </w:rPr>
        <w:t xml:space="preserve"> </w:t>
      </w:r>
      <w:r w:rsidRPr="00610904">
        <w:rPr>
          <w:noProof w:val="0"/>
          <w:spacing w:val="-2"/>
          <w:szCs w:val="20"/>
          <w:lang w:val="en-US"/>
        </w:rPr>
        <w:t>of the Court</w:t>
      </w:r>
      <w:r w:rsidR="003040F7" w:rsidRPr="00610904">
        <w:rPr>
          <w:noProof w:val="0"/>
          <w:spacing w:val="-2"/>
          <w:szCs w:val="20"/>
          <w:lang w:val="en-US"/>
        </w:rPr>
        <w:t xml:space="preserve"> </w:t>
      </w:r>
      <w:r w:rsidR="00054980" w:rsidRPr="00610904">
        <w:rPr>
          <w:noProof w:val="0"/>
          <w:spacing w:val="-2"/>
          <w:szCs w:val="20"/>
          <w:lang w:val="en-US"/>
        </w:rPr>
        <w:t xml:space="preserve">to cover litigation costs before </w:t>
      </w:r>
      <w:r w:rsidRPr="00610904">
        <w:rPr>
          <w:noProof w:val="0"/>
          <w:spacing w:val="-2"/>
          <w:szCs w:val="20"/>
          <w:lang w:val="en-US"/>
        </w:rPr>
        <w:t>the Court</w:t>
      </w:r>
      <w:r w:rsidR="003040F7" w:rsidRPr="00610904">
        <w:rPr>
          <w:noProof w:val="0"/>
          <w:spacing w:val="-2"/>
          <w:szCs w:val="20"/>
          <w:lang w:val="en-US"/>
        </w:rPr>
        <w:t xml:space="preserve">. </w:t>
      </w:r>
      <w:r w:rsidR="00054980" w:rsidRPr="00610904">
        <w:rPr>
          <w:noProof w:val="0"/>
          <w:spacing w:val="-2"/>
          <w:szCs w:val="20"/>
          <w:lang w:val="en-US"/>
        </w:rPr>
        <w:t xml:space="preserve">In an order </w:t>
      </w:r>
      <w:r w:rsidR="00D80BC2" w:rsidRPr="00610904">
        <w:rPr>
          <w:noProof w:val="0"/>
          <w:spacing w:val="-2"/>
          <w:szCs w:val="20"/>
          <w:lang w:val="en-US"/>
        </w:rPr>
        <w:t xml:space="preserve">of the </w:t>
      </w:r>
      <w:r w:rsidR="00795F5F" w:rsidRPr="00610904">
        <w:rPr>
          <w:noProof w:val="0"/>
          <w:spacing w:val="-2"/>
          <w:szCs w:val="20"/>
          <w:lang w:val="en-US"/>
        </w:rPr>
        <w:t>President</w:t>
      </w:r>
      <w:r w:rsidR="003040F7" w:rsidRPr="00610904">
        <w:rPr>
          <w:noProof w:val="0"/>
          <w:spacing w:val="-2"/>
          <w:szCs w:val="20"/>
          <w:lang w:val="en-US"/>
        </w:rPr>
        <w:t xml:space="preserve"> </w:t>
      </w:r>
      <w:r w:rsidR="00054980" w:rsidRPr="00610904">
        <w:rPr>
          <w:noProof w:val="0"/>
          <w:spacing w:val="-2"/>
          <w:szCs w:val="20"/>
          <w:lang w:val="en-US"/>
        </w:rPr>
        <w:t xml:space="preserve">of October 7, </w:t>
      </w:r>
      <w:r w:rsidR="003040F7" w:rsidRPr="00610904">
        <w:rPr>
          <w:noProof w:val="0"/>
          <w:spacing w:val="-2"/>
          <w:szCs w:val="20"/>
          <w:lang w:val="en-US"/>
        </w:rPr>
        <w:t xml:space="preserve">2014, </w:t>
      </w:r>
      <w:r w:rsidR="00054980" w:rsidRPr="00610904">
        <w:rPr>
          <w:noProof w:val="0"/>
          <w:spacing w:val="-2"/>
          <w:szCs w:val="20"/>
          <w:lang w:val="en-US"/>
        </w:rPr>
        <w:t xml:space="preserve">this request was declared admissible and </w:t>
      </w:r>
      <w:r w:rsidR="00856968" w:rsidRPr="00610904">
        <w:rPr>
          <w:noProof w:val="0"/>
          <w:spacing w:val="-2"/>
          <w:szCs w:val="20"/>
          <w:lang w:val="en-US"/>
        </w:rPr>
        <w:t>authorization</w:t>
      </w:r>
      <w:r w:rsidR="00054980" w:rsidRPr="00610904">
        <w:rPr>
          <w:noProof w:val="0"/>
          <w:spacing w:val="-2"/>
          <w:szCs w:val="20"/>
          <w:lang w:val="en-US"/>
        </w:rPr>
        <w:t xml:space="preserve"> was given for the necessary financial assistance to present a maximum of three statements and two expert opinions, at the hearing or by affidavit, and also for the appearance of one </w:t>
      </w:r>
      <w:r w:rsidR="003309BE" w:rsidRPr="00610904">
        <w:rPr>
          <w:noProof w:val="0"/>
          <w:spacing w:val="-2"/>
          <w:szCs w:val="20"/>
          <w:lang w:val="en-US"/>
        </w:rPr>
        <w:t xml:space="preserve">of the </w:t>
      </w:r>
      <w:r w:rsidRPr="00610904">
        <w:rPr>
          <w:noProof w:val="0"/>
          <w:spacing w:val="-2"/>
          <w:szCs w:val="20"/>
          <w:lang w:val="en-US"/>
        </w:rPr>
        <w:t>representatives</w:t>
      </w:r>
      <w:r w:rsidR="00054980" w:rsidRPr="00610904">
        <w:rPr>
          <w:noProof w:val="0"/>
          <w:spacing w:val="-2"/>
          <w:szCs w:val="20"/>
          <w:lang w:val="en-US"/>
        </w:rPr>
        <w:t xml:space="preserve"> at</w:t>
      </w:r>
      <w:r w:rsidR="003040F7" w:rsidRPr="00610904">
        <w:rPr>
          <w:noProof w:val="0"/>
          <w:spacing w:val="-2"/>
          <w:szCs w:val="20"/>
          <w:lang w:val="en-US"/>
        </w:rPr>
        <w:t xml:space="preserve"> </w:t>
      </w:r>
      <w:r w:rsidR="00AD687D" w:rsidRPr="00610904">
        <w:rPr>
          <w:noProof w:val="0"/>
          <w:spacing w:val="-2"/>
          <w:szCs w:val="20"/>
          <w:lang w:val="en-US"/>
        </w:rPr>
        <w:t>the public hearing</w:t>
      </w:r>
      <w:r w:rsidR="003040F7" w:rsidRPr="00610904">
        <w:rPr>
          <w:noProof w:val="0"/>
          <w:spacing w:val="-2"/>
          <w:szCs w:val="20"/>
          <w:lang w:val="en-US"/>
        </w:rPr>
        <w:t xml:space="preserve"> </w:t>
      </w:r>
      <w:r w:rsidR="00054980" w:rsidRPr="00610904">
        <w:rPr>
          <w:noProof w:val="0"/>
          <w:spacing w:val="-2"/>
          <w:szCs w:val="20"/>
          <w:lang w:val="en-US"/>
        </w:rPr>
        <w:t xml:space="preserve">held </w:t>
      </w:r>
      <w:r w:rsidR="00391F07" w:rsidRPr="00610904">
        <w:rPr>
          <w:noProof w:val="0"/>
          <w:spacing w:val="-2"/>
          <w:szCs w:val="20"/>
          <w:lang w:val="en-US"/>
        </w:rPr>
        <w:t>in this case.</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054980" w:rsidP="00610904">
      <w:pPr>
        <w:numPr>
          <w:ilvl w:val="0"/>
          <w:numId w:val="1"/>
        </w:numPr>
        <w:contextualSpacing/>
        <w:rPr>
          <w:noProof w:val="0"/>
          <w:spacing w:val="-2"/>
          <w:szCs w:val="20"/>
          <w:lang w:val="en-US"/>
        </w:rPr>
      </w:pPr>
      <w:r w:rsidRPr="00610904">
        <w:rPr>
          <w:noProof w:val="0"/>
          <w:spacing w:val="-2"/>
          <w:szCs w:val="20"/>
          <w:lang w:val="en-US"/>
        </w:rPr>
        <w:t>On June 30,</w:t>
      </w:r>
      <w:r w:rsidR="003040F7" w:rsidRPr="00610904">
        <w:rPr>
          <w:noProof w:val="0"/>
          <w:spacing w:val="-2"/>
          <w:szCs w:val="20"/>
          <w:lang w:val="en-US"/>
        </w:rPr>
        <w:t xml:space="preserve"> 2015</w:t>
      </w:r>
      <w:r w:rsidRPr="00610904">
        <w:rPr>
          <w:noProof w:val="0"/>
          <w:spacing w:val="-2"/>
          <w:szCs w:val="20"/>
          <w:lang w:val="en-US"/>
        </w:rPr>
        <w:t xml:space="preserve">, the disbursements </w:t>
      </w:r>
      <w:r w:rsidR="00BB1F24" w:rsidRPr="00610904">
        <w:rPr>
          <w:noProof w:val="0"/>
          <w:spacing w:val="-2"/>
          <w:szCs w:val="20"/>
          <w:lang w:val="en-US"/>
        </w:rPr>
        <w:t>report</w:t>
      </w:r>
      <w:r w:rsidRPr="00610904">
        <w:rPr>
          <w:noProof w:val="0"/>
          <w:spacing w:val="-2"/>
          <w:szCs w:val="20"/>
          <w:lang w:val="en-US"/>
        </w:rPr>
        <w:t xml:space="preserve"> was forwarded to the State, as established in a</w:t>
      </w:r>
      <w:r w:rsidR="009F3D78" w:rsidRPr="00610904">
        <w:rPr>
          <w:noProof w:val="0"/>
          <w:spacing w:val="-2"/>
          <w:szCs w:val="20"/>
          <w:lang w:val="en-US"/>
        </w:rPr>
        <w:t>rticle</w:t>
      </w:r>
      <w:r w:rsidR="003040F7" w:rsidRPr="00610904">
        <w:rPr>
          <w:noProof w:val="0"/>
          <w:spacing w:val="-2"/>
          <w:szCs w:val="20"/>
          <w:lang w:val="en-US"/>
        </w:rPr>
        <w:t xml:space="preserve"> 5</w:t>
      </w:r>
      <w:r w:rsidR="009F3D78" w:rsidRPr="00610904">
        <w:rPr>
          <w:noProof w:val="0"/>
          <w:spacing w:val="-2"/>
          <w:szCs w:val="20"/>
          <w:lang w:val="en-US"/>
        </w:rPr>
        <w:t xml:space="preserve"> of the Rules</w:t>
      </w:r>
      <w:r w:rsidRPr="00610904">
        <w:rPr>
          <w:noProof w:val="0"/>
          <w:spacing w:val="-2"/>
          <w:szCs w:val="20"/>
          <w:lang w:val="en-US"/>
        </w:rPr>
        <w:t xml:space="preserve"> for the operation of this Fund. The State indicated that it had no comments to make on the disbursements made for the expenses incurred in this case, which amount to US$4,649.</w:t>
      </w:r>
      <w:r w:rsidR="003040F7" w:rsidRPr="00610904">
        <w:rPr>
          <w:noProof w:val="0"/>
          <w:spacing w:val="-2"/>
          <w:szCs w:val="20"/>
          <w:lang w:val="en-US"/>
        </w:rPr>
        <w:t>54 (</w:t>
      </w:r>
      <w:r w:rsidRPr="00610904">
        <w:rPr>
          <w:noProof w:val="0"/>
          <w:spacing w:val="-2"/>
          <w:szCs w:val="20"/>
          <w:lang w:val="en-US"/>
        </w:rPr>
        <w:t>four thousand six hundred and forty nine United States dollars and fifty-four cents)</w:t>
      </w:r>
      <w:r w:rsidR="003040F7" w:rsidRPr="00610904">
        <w:rPr>
          <w:noProof w:val="0"/>
          <w:spacing w:val="-2"/>
          <w:szCs w:val="20"/>
          <w:lang w:val="en-US"/>
        </w:rPr>
        <w:t xml:space="preserve">. </w:t>
      </w:r>
      <w:r w:rsidR="00BB1F24" w:rsidRPr="00610904">
        <w:rPr>
          <w:noProof w:val="0"/>
          <w:spacing w:val="-2"/>
          <w:szCs w:val="20"/>
          <w:lang w:val="en-US"/>
        </w:rPr>
        <w:t>The said</w:t>
      </w:r>
      <w:r w:rsidRPr="00610904">
        <w:rPr>
          <w:noProof w:val="0"/>
          <w:spacing w:val="-2"/>
          <w:szCs w:val="20"/>
          <w:lang w:val="en-US"/>
        </w:rPr>
        <w:t xml:space="preserve"> amount must be reimbursed to </w:t>
      </w:r>
      <w:r w:rsidR="009F3D78" w:rsidRPr="00610904">
        <w:rPr>
          <w:noProof w:val="0"/>
          <w:spacing w:val="-2"/>
          <w:szCs w:val="20"/>
          <w:lang w:val="en-US"/>
        </w:rPr>
        <w:t>the Inter-American Court</w:t>
      </w:r>
      <w:r w:rsidR="003040F7" w:rsidRPr="00610904">
        <w:rPr>
          <w:noProof w:val="0"/>
          <w:spacing w:val="-2"/>
          <w:szCs w:val="20"/>
          <w:lang w:val="en-US"/>
        </w:rPr>
        <w:t xml:space="preserve"> </w:t>
      </w:r>
      <w:r w:rsidRPr="00610904">
        <w:rPr>
          <w:noProof w:val="0"/>
          <w:spacing w:val="-2"/>
          <w:szCs w:val="20"/>
          <w:lang w:val="en-US"/>
        </w:rPr>
        <w:t xml:space="preserve">within 90 days of </w:t>
      </w:r>
      <w:r w:rsidR="004A6E8B" w:rsidRPr="00610904">
        <w:rPr>
          <w:noProof w:val="0"/>
          <w:spacing w:val="-2"/>
          <w:szCs w:val="20"/>
          <w:lang w:val="en-US"/>
        </w:rPr>
        <w:t>notification of this Judgment</w:t>
      </w:r>
      <w:r w:rsidR="003040F7" w:rsidRPr="00610904">
        <w:rPr>
          <w:noProof w:val="0"/>
          <w:spacing w:val="-2"/>
          <w:szCs w:val="20"/>
          <w:lang w:val="en-US"/>
        </w:rPr>
        <w:t xml:space="preserve">.  </w:t>
      </w:r>
    </w:p>
    <w:p w:rsidR="003040F7" w:rsidRPr="00610904" w:rsidRDefault="003040F7" w:rsidP="00610904">
      <w:pPr>
        <w:contextualSpacing/>
        <w:rPr>
          <w:noProof w:val="0"/>
          <w:spacing w:val="-2"/>
          <w:szCs w:val="20"/>
          <w:lang w:val="en-US"/>
        </w:rPr>
      </w:pPr>
    </w:p>
    <w:p w:rsidR="003040F7" w:rsidRPr="00610904" w:rsidRDefault="003040F7" w:rsidP="00610904">
      <w:pPr>
        <w:keepNext/>
        <w:keepLines/>
        <w:outlineLvl w:val="1"/>
        <w:rPr>
          <w:rFonts w:eastAsia="Times New Roman" w:cs="Times New Roman"/>
          <w:b/>
          <w:bCs/>
          <w:i/>
          <w:noProof w:val="0"/>
          <w:szCs w:val="20"/>
          <w:lang w:val="en-US"/>
        </w:rPr>
      </w:pPr>
      <w:bookmarkStart w:id="188" w:name="_Toc426108490"/>
      <w:bookmarkStart w:id="189" w:name="_Toc443399137"/>
      <w:r w:rsidRPr="00610904">
        <w:rPr>
          <w:rFonts w:eastAsia="Times New Roman" w:cs="Times New Roman"/>
          <w:b/>
          <w:bCs/>
          <w:i/>
          <w:noProof w:val="0"/>
          <w:szCs w:val="20"/>
          <w:lang w:val="en-US"/>
        </w:rPr>
        <w:lastRenderedPageBreak/>
        <w:t xml:space="preserve">G. </w:t>
      </w:r>
      <w:r w:rsidR="00830022" w:rsidRPr="00610904">
        <w:rPr>
          <w:rFonts w:eastAsia="Times New Roman" w:cs="Times New Roman"/>
          <w:b/>
          <w:bCs/>
          <w:i/>
          <w:noProof w:val="0"/>
          <w:szCs w:val="20"/>
          <w:lang w:val="en-US"/>
        </w:rPr>
        <w:t>Method of complying with the payments ordered</w:t>
      </w:r>
      <w:bookmarkEnd w:id="188"/>
      <w:bookmarkEnd w:id="189"/>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noProof w:val="0"/>
          <w:spacing w:val="-2"/>
          <w:szCs w:val="20"/>
          <w:lang w:val="en-US"/>
        </w:rPr>
        <w:t>The State</w:t>
      </w:r>
      <w:r w:rsidR="003040F7" w:rsidRPr="00610904">
        <w:rPr>
          <w:noProof w:val="0"/>
          <w:spacing w:val="-2"/>
          <w:szCs w:val="20"/>
          <w:lang w:val="en-US"/>
        </w:rPr>
        <w:t xml:space="preserve"> </w:t>
      </w:r>
      <w:r w:rsidR="00054980" w:rsidRPr="00610904">
        <w:rPr>
          <w:noProof w:val="0"/>
          <w:spacing w:val="-2"/>
          <w:szCs w:val="20"/>
          <w:lang w:val="en-US"/>
        </w:rPr>
        <w:t xml:space="preserve">shall pay the compensation for </w:t>
      </w:r>
      <w:r w:rsidR="00830022" w:rsidRPr="00610904">
        <w:rPr>
          <w:noProof w:val="0"/>
          <w:spacing w:val="-2"/>
          <w:szCs w:val="20"/>
          <w:lang w:val="en-US"/>
        </w:rPr>
        <w:t xml:space="preserve">pecuniary </w:t>
      </w:r>
      <w:r w:rsidR="00054980" w:rsidRPr="00610904">
        <w:rPr>
          <w:noProof w:val="0"/>
          <w:spacing w:val="-2"/>
          <w:szCs w:val="20"/>
          <w:lang w:val="en-US"/>
        </w:rPr>
        <w:t xml:space="preserve">and non-pecuniary </w:t>
      </w:r>
      <w:r w:rsidR="00830022" w:rsidRPr="00610904">
        <w:rPr>
          <w:noProof w:val="0"/>
          <w:spacing w:val="-2"/>
          <w:szCs w:val="20"/>
          <w:lang w:val="en-US"/>
        </w:rPr>
        <w:t>damage</w:t>
      </w:r>
      <w:r w:rsidR="00054980" w:rsidRPr="00610904">
        <w:rPr>
          <w:noProof w:val="0"/>
          <w:spacing w:val="-2"/>
          <w:szCs w:val="20"/>
          <w:lang w:val="en-US"/>
        </w:rPr>
        <w:t xml:space="preserve">, and to reimburse </w:t>
      </w:r>
      <w:r w:rsidR="00830022" w:rsidRPr="00610904">
        <w:rPr>
          <w:noProof w:val="0"/>
          <w:spacing w:val="-2"/>
          <w:szCs w:val="20"/>
          <w:lang w:val="en-US"/>
        </w:rPr>
        <w:t>costs and expenses</w:t>
      </w:r>
      <w:r w:rsidR="003040F7" w:rsidRPr="00610904">
        <w:rPr>
          <w:noProof w:val="0"/>
          <w:spacing w:val="-2"/>
          <w:szCs w:val="20"/>
          <w:lang w:val="en-US"/>
        </w:rPr>
        <w:t xml:space="preserve"> establ</w:t>
      </w:r>
      <w:r w:rsidR="00054980" w:rsidRPr="00610904">
        <w:rPr>
          <w:noProof w:val="0"/>
          <w:spacing w:val="-2"/>
          <w:szCs w:val="20"/>
          <w:lang w:val="en-US"/>
        </w:rPr>
        <w:t xml:space="preserve">ished in this Judgment directly to the persons indicated herein, within one year of notification of the Judgment, </w:t>
      </w:r>
      <w:r w:rsidR="004A6E8B" w:rsidRPr="00610904">
        <w:rPr>
          <w:noProof w:val="0"/>
          <w:spacing w:val="-2"/>
          <w:szCs w:val="20"/>
          <w:lang w:val="en-US"/>
        </w:rPr>
        <w:t>in accordance with</w:t>
      </w:r>
      <w:r w:rsidR="003040F7" w:rsidRPr="00610904">
        <w:rPr>
          <w:noProof w:val="0"/>
          <w:spacing w:val="-2"/>
          <w:szCs w:val="20"/>
          <w:lang w:val="en-US"/>
        </w:rPr>
        <w:t xml:space="preserve"> </w:t>
      </w:r>
      <w:r w:rsidR="00054980" w:rsidRPr="00610904">
        <w:rPr>
          <w:noProof w:val="0"/>
          <w:spacing w:val="-2"/>
          <w:szCs w:val="20"/>
          <w:lang w:val="en-US"/>
        </w:rPr>
        <w:t>the following paragraphs.</w:t>
      </w:r>
    </w:p>
    <w:p w:rsidR="003040F7" w:rsidRPr="00610904" w:rsidRDefault="003040F7" w:rsidP="00610904">
      <w:pPr>
        <w:contextualSpacing/>
        <w:rPr>
          <w:noProof w:val="0"/>
          <w:spacing w:val="-2"/>
          <w:szCs w:val="20"/>
          <w:lang w:val="en-US"/>
        </w:rPr>
      </w:pPr>
    </w:p>
    <w:p w:rsidR="003040F7" w:rsidRPr="00610904" w:rsidRDefault="00BB1F24" w:rsidP="00610904">
      <w:pPr>
        <w:numPr>
          <w:ilvl w:val="0"/>
          <w:numId w:val="1"/>
        </w:numPr>
        <w:contextualSpacing/>
        <w:rPr>
          <w:noProof w:val="0"/>
          <w:spacing w:val="-2"/>
          <w:szCs w:val="20"/>
          <w:lang w:val="en-US"/>
        </w:rPr>
      </w:pPr>
      <w:r w:rsidRPr="00610904">
        <w:rPr>
          <w:noProof w:val="0"/>
          <w:spacing w:val="-2"/>
          <w:szCs w:val="20"/>
          <w:lang w:val="en-US"/>
        </w:rPr>
        <w:t>If the benefic</w:t>
      </w:r>
      <w:r w:rsidR="00054980" w:rsidRPr="00610904">
        <w:rPr>
          <w:noProof w:val="0"/>
          <w:spacing w:val="-2"/>
          <w:szCs w:val="20"/>
          <w:lang w:val="en-US"/>
        </w:rPr>
        <w:t>i</w:t>
      </w:r>
      <w:r w:rsidRPr="00610904">
        <w:rPr>
          <w:noProof w:val="0"/>
          <w:spacing w:val="-2"/>
          <w:szCs w:val="20"/>
          <w:lang w:val="en-US"/>
        </w:rPr>
        <w:t>a</w:t>
      </w:r>
      <w:r w:rsidR="00054980" w:rsidRPr="00610904">
        <w:rPr>
          <w:noProof w:val="0"/>
          <w:spacing w:val="-2"/>
          <w:szCs w:val="20"/>
          <w:lang w:val="en-US"/>
        </w:rPr>
        <w:t xml:space="preserve">ries should die before they receive the respective compensation, this </w:t>
      </w:r>
      <w:r w:rsidRPr="00610904">
        <w:rPr>
          <w:noProof w:val="0"/>
          <w:spacing w:val="-2"/>
          <w:szCs w:val="20"/>
          <w:lang w:val="en-US"/>
        </w:rPr>
        <w:t xml:space="preserve">shall </w:t>
      </w:r>
      <w:r w:rsidR="00054980" w:rsidRPr="00610904">
        <w:rPr>
          <w:noProof w:val="0"/>
          <w:spacing w:val="-2"/>
          <w:szCs w:val="20"/>
          <w:lang w:val="en-US"/>
        </w:rPr>
        <w:t>be delivered directly to their heirs, in accordance with the applicable domestic laws</w:t>
      </w:r>
      <w:r w:rsidR="003040F7"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3040F7" w:rsidRPr="00610904" w:rsidRDefault="009F3D78" w:rsidP="00610904">
      <w:pPr>
        <w:numPr>
          <w:ilvl w:val="0"/>
          <w:numId w:val="1"/>
        </w:numPr>
        <w:contextualSpacing/>
        <w:rPr>
          <w:noProof w:val="0"/>
          <w:spacing w:val="-2"/>
          <w:szCs w:val="20"/>
          <w:lang w:val="en-US"/>
        </w:rPr>
      </w:pPr>
      <w:r w:rsidRPr="00610904">
        <w:rPr>
          <w:rFonts w:eastAsia="Calibri"/>
          <w:noProof w:val="0"/>
          <w:szCs w:val="20"/>
          <w:lang w:val="en-US" w:eastAsia="es-ES"/>
        </w:rPr>
        <w:t>The State</w:t>
      </w:r>
      <w:r w:rsidR="003040F7" w:rsidRPr="00610904">
        <w:rPr>
          <w:rFonts w:eastAsia="Calibri"/>
          <w:noProof w:val="0"/>
          <w:szCs w:val="20"/>
          <w:lang w:val="en-US" w:eastAsia="es-ES"/>
        </w:rPr>
        <w:t xml:space="preserve"> </w:t>
      </w:r>
      <w:r w:rsidR="00054980" w:rsidRPr="00610904">
        <w:rPr>
          <w:rFonts w:eastAsia="Calibri"/>
          <w:noProof w:val="0"/>
          <w:szCs w:val="20"/>
          <w:lang w:val="en-US" w:eastAsia="es-ES"/>
        </w:rPr>
        <w:t xml:space="preserve">must comply with its pecuniary obligations by payment in United States dollars, using the exchange rate in force on the New York Stock Exchange (United States) </w:t>
      </w:r>
      <w:r w:rsidR="00BB1F24" w:rsidRPr="00610904">
        <w:rPr>
          <w:rFonts w:eastAsia="Calibri"/>
          <w:noProof w:val="0"/>
          <w:szCs w:val="20"/>
          <w:lang w:val="en-US" w:eastAsia="es-ES"/>
        </w:rPr>
        <w:t>t</w:t>
      </w:r>
      <w:r w:rsidR="00054980" w:rsidRPr="00610904">
        <w:rPr>
          <w:rFonts w:eastAsia="Calibri"/>
          <w:noProof w:val="0"/>
          <w:szCs w:val="20"/>
          <w:lang w:val="en-US" w:eastAsia="es-ES"/>
        </w:rPr>
        <w:t>he day before the payment to make the calculation.</w:t>
      </w:r>
    </w:p>
    <w:p w:rsidR="003040F7" w:rsidRPr="00610904" w:rsidRDefault="003040F7" w:rsidP="00610904">
      <w:pPr>
        <w:contextualSpacing/>
        <w:rPr>
          <w:noProof w:val="0"/>
          <w:spacing w:val="-2"/>
          <w:szCs w:val="20"/>
          <w:lang w:val="en-US"/>
        </w:rPr>
      </w:pPr>
    </w:p>
    <w:p w:rsidR="00054980" w:rsidRPr="00610904" w:rsidRDefault="00054980" w:rsidP="00610904">
      <w:pPr>
        <w:numPr>
          <w:ilvl w:val="0"/>
          <w:numId w:val="1"/>
        </w:numPr>
        <w:contextualSpacing/>
        <w:rPr>
          <w:noProof w:val="0"/>
          <w:spacing w:val="-2"/>
          <w:szCs w:val="20"/>
          <w:lang w:val="en-US"/>
        </w:rPr>
      </w:pPr>
      <w:r w:rsidRPr="00610904">
        <w:rPr>
          <w:noProof w:val="0"/>
          <w:spacing w:val="-2"/>
          <w:szCs w:val="20"/>
          <w:lang w:val="en-US"/>
        </w:rPr>
        <w:t>If, for reasons that can be attributed to the bene</w:t>
      </w:r>
      <w:r w:rsidR="00BB1F24" w:rsidRPr="00610904">
        <w:rPr>
          <w:noProof w:val="0"/>
          <w:spacing w:val="-2"/>
          <w:szCs w:val="20"/>
          <w:lang w:val="en-US"/>
        </w:rPr>
        <w:t>ficiaries of the compensation or</w:t>
      </w:r>
      <w:r w:rsidRPr="00610904">
        <w:rPr>
          <w:noProof w:val="0"/>
          <w:spacing w:val="-2"/>
          <w:szCs w:val="20"/>
          <w:lang w:val="en-US"/>
        </w:rPr>
        <w:t xml:space="preserve"> their heirs, it is not possible to pay the amounts established within the indicated time frame, the State shall deposit the said amounts in their favor in a deposit account or certificate in a solvent Ecuadorian financial institution, in United States dollars, and in the most favorable financial conditions allowed by the State’s banking law</w:t>
      </w:r>
      <w:r w:rsidR="00BB1F24" w:rsidRPr="00610904">
        <w:rPr>
          <w:noProof w:val="0"/>
          <w:spacing w:val="-2"/>
          <w:szCs w:val="20"/>
          <w:lang w:val="en-US"/>
        </w:rPr>
        <w:t>s</w:t>
      </w:r>
      <w:r w:rsidRPr="00610904">
        <w:rPr>
          <w:noProof w:val="0"/>
          <w:spacing w:val="-2"/>
          <w:szCs w:val="20"/>
          <w:lang w:val="en-US"/>
        </w:rPr>
        <w:t xml:space="preserve"> and practice. If the corresponding compensation is not claim</w:t>
      </w:r>
      <w:r w:rsidR="00BB1F24" w:rsidRPr="00610904">
        <w:rPr>
          <w:noProof w:val="0"/>
          <w:spacing w:val="-2"/>
          <w:szCs w:val="20"/>
          <w:lang w:val="en-US"/>
        </w:rPr>
        <w:t>ed</w:t>
      </w:r>
      <w:r w:rsidRPr="00610904">
        <w:rPr>
          <w:noProof w:val="0"/>
          <w:spacing w:val="-2"/>
          <w:szCs w:val="20"/>
          <w:lang w:val="en-US"/>
        </w:rPr>
        <w:t>, after 10 years, the amounts shall be returned to the State with the interest accrued.</w:t>
      </w:r>
    </w:p>
    <w:p w:rsidR="003040F7" w:rsidRPr="00610904" w:rsidRDefault="003040F7" w:rsidP="00610904">
      <w:pPr>
        <w:contextualSpacing/>
        <w:rPr>
          <w:noProof w:val="0"/>
          <w:spacing w:val="-2"/>
          <w:szCs w:val="20"/>
          <w:lang w:val="en-US"/>
        </w:rPr>
      </w:pPr>
    </w:p>
    <w:p w:rsidR="003040F7" w:rsidRPr="00610904" w:rsidRDefault="004A6E8B" w:rsidP="00610904">
      <w:pPr>
        <w:numPr>
          <w:ilvl w:val="0"/>
          <w:numId w:val="1"/>
        </w:numPr>
        <w:contextualSpacing/>
        <w:rPr>
          <w:noProof w:val="0"/>
          <w:spacing w:val="-2"/>
          <w:szCs w:val="20"/>
          <w:lang w:val="en-US"/>
        </w:rPr>
      </w:pPr>
      <w:r w:rsidRPr="00610904">
        <w:rPr>
          <w:noProof w:val="0"/>
          <w:spacing w:val="-2"/>
          <w:szCs w:val="20"/>
          <w:lang w:val="en-US"/>
        </w:rPr>
        <w:t xml:space="preserve">The amounts allocated in this Judgment as compensation for </w:t>
      </w:r>
      <w:r w:rsidR="00830022" w:rsidRPr="00610904">
        <w:rPr>
          <w:noProof w:val="0"/>
          <w:spacing w:val="-2"/>
          <w:szCs w:val="20"/>
          <w:lang w:val="en-US"/>
        </w:rPr>
        <w:t xml:space="preserve">pecuniary </w:t>
      </w:r>
      <w:r w:rsidRPr="00610904">
        <w:rPr>
          <w:noProof w:val="0"/>
          <w:spacing w:val="-2"/>
          <w:szCs w:val="20"/>
          <w:lang w:val="en-US"/>
        </w:rPr>
        <w:t xml:space="preserve">and non-pecuniary </w:t>
      </w:r>
      <w:r w:rsidR="00830022" w:rsidRPr="00610904">
        <w:rPr>
          <w:noProof w:val="0"/>
          <w:spacing w:val="-2"/>
          <w:szCs w:val="20"/>
          <w:lang w:val="en-US"/>
        </w:rPr>
        <w:t>damage</w:t>
      </w:r>
      <w:r w:rsidRPr="00610904">
        <w:rPr>
          <w:noProof w:val="0"/>
          <w:spacing w:val="-2"/>
          <w:szCs w:val="20"/>
          <w:lang w:val="en-US"/>
        </w:rPr>
        <w:t xml:space="preserve">, and to reimburse </w:t>
      </w:r>
      <w:r w:rsidR="00830022" w:rsidRPr="00610904">
        <w:rPr>
          <w:noProof w:val="0"/>
          <w:spacing w:val="-2"/>
          <w:szCs w:val="20"/>
          <w:lang w:val="en-US"/>
        </w:rPr>
        <w:t>costs and expenses</w:t>
      </w:r>
      <w:r w:rsidR="003040F7" w:rsidRPr="00610904">
        <w:rPr>
          <w:noProof w:val="0"/>
          <w:spacing w:val="-2"/>
          <w:szCs w:val="20"/>
          <w:lang w:val="en-US"/>
        </w:rPr>
        <w:t xml:space="preserve"> </w:t>
      </w:r>
      <w:r w:rsidRPr="00610904">
        <w:rPr>
          <w:noProof w:val="0"/>
          <w:spacing w:val="-2"/>
          <w:szCs w:val="20"/>
          <w:lang w:val="en-US"/>
        </w:rPr>
        <w:t>shall be delivered to the persons indicated in full, as established in this Judgment, without any deductions derived from possible taxes or charges</w:t>
      </w:r>
      <w:r w:rsidR="003040F7" w:rsidRPr="00610904">
        <w:rPr>
          <w:noProof w:val="0"/>
          <w:spacing w:val="-2"/>
          <w:szCs w:val="20"/>
          <w:lang w:val="en-US"/>
        </w:rPr>
        <w:t>.</w:t>
      </w:r>
    </w:p>
    <w:p w:rsidR="003040F7" w:rsidRPr="00610904" w:rsidRDefault="003040F7" w:rsidP="00610904">
      <w:pPr>
        <w:contextualSpacing/>
        <w:rPr>
          <w:noProof w:val="0"/>
          <w:spacing w:val="-2"/>
          <w:szCs w:val="20"/>
          <w:lang w:val="en-US"/>
        </w:rPr>
      </w:pPr>
    </w:p>
    <w:p w:rsidR="003040F7" w:rsidRPr="00610904" w:rsidRDefault="004A6E8B" w:rsidP="00610904">
      <w:pPr>
        <w:numPr>
          <w:ilvl w:val="0"/>
          <w:numId w:val="1"/>
        </w:numPr>
        <w:tabs>
          <w:tab w:val="left" w:pos="142"/>
          <w:tab w:val="left" w:pos="720"/>
        </w:tabs>
        <w:autoSpaceDE w:val="0"/>
        <w:autoSpaceDN w:val="0"/>
        <w:adjustRightInd w:val="0"/>
        <w:ind w:hanging="11"/>
        <w:contextualSpacing/>
        <w:rPr>
          <w:noProof w:val="0"/>
          <w:lang w:val="en-US"/>
        </w:rPr>
      </w:pPr>
      <w:r w:rsidRPr="00610904">
        <w:rPr>
          <w:noProof w:val="0"/>
          <w:spacing w:val="-2"/>
          <w:szCs w:val="20"/>
          <w:lang w:val="en-US"/>
        </w:rPr>
        <w:t xml:space="preserve">If the State falls in arrears, including in </w:t>
      </w:r>
      <w:r w:rsidR="00830022" w:rsidRPr="00610904">
        <w:rPr>
          <w:noProof w:val="0"/>
          <w:spacing w:val="-2"/>
          <w:szCs w:val="20"/>
          <w:lang w:val="en-US"/>
        </w:rPr>
        <w:t>reimbursement of the Victims’ Legal Assistance Fund</w:t>
      </w:r>
      <w:r w:rsidR="003040F7" w:rsidRPr="00610904">
        <w:rPr>
          <w:noProof w:val="0"/>
          <w:spacing w:val="-2"/>
          <w:szCs w:val="20"/>
          <w:lang w:val="en-US"/>
        </w:rPr>
        <w:t xml:space="preserve">, </w:t>
      </w:r>
      <w:r w:rsidR="00BB1F24" w:rsidRPr="00610904">
        <w:rPr>
          <w:noProof w:val="0"/>
          <w:spacing w:val="-2"/>
          <w:szCs w:val="20"/>
          <w:lang w:val="en-US"/>
        </w:rPr>
        <w:t>i</w:t>
      </w:r>
      <w:r w:rsidRPr="00610904">
        <w:rPr>
          <w:noProof w:val="0"/>
          <w:spacing w:val="-2"/>
          <w:szCs w:val="20"/>
          <w:lang w:val="en-US"/>
        </w:rPr>
        <w:t xml:space="preserve">t shall pay interest on the amount owed </w:t>
      </w:r>
      <w:r w:rsidR="00856968" w:rsidRPr="00610904">
        <w:rPr>
          <w:noProof w:val="0"/>
          <w:spacing w:val="-2"/>
          <w:szCs w:val="20"/>
          <w:lang w:val="en-US"/>
        </w:rPr>
        <w:t>corresponding</w:t>
      </w:r>
      <w:r w:rsidRPr="00610904">
        <w:rPr>
          <w:noProof w:val="0"/>
          <w:spacing w:val="-2"/>
          <w:szCs w:val="20"/>
          <w:lang w:val="en-US"/>
        </w:rPr>
        <w:t xml:space="preserve"> to banking interest on </w:t>
      </w:r>
      <w:r w:rsidR="00856968" w:rsidRPr="00610904">
        <w:rPr>
          <w:noProof w:val="0"/>
          <w:spacing w:val="-2"/>
          <w:szCs w:val="20"/>
          <w:lang w:val="en-US"/>
        </w:rPr>
        <w:t>arrears</w:t>
      </w:r>
      <w:r w:rsidRPr="00610904">
        <w:rPr>
          <w:noProof w:val="0"/>
          <w:spacing w:val="-2"/>
          <w:szCs w:val="20"/>
          <w:lang w:val="en-US"/>
        </w:rPr>
        <w:t xml:space="preserve"> in the Republic </w:t>
      </w:r>
      <w:r w:rsidR="00A8072E" w:rsidRPr="00610904">
        <w:rPr>
          <w:noProof w:val="0"/>
          <w:spacing w:val="-2"/>
          <w:szCs w:val="20"/>
          <w:lang w:val="en-US"/>
        </w:rPr>
        <w:t>of Ecuador</w:t>
      </w:r>
      <w:r w:rsidR="003040F7" w:rsidRPr="00610904">
        <w:rPr>
          <w:noProof w:val="0"/>
          <w:spacing w:val="-2"/>
          <w:szCs w:val="20"/>
          <w:lang w:val="en-US"/>
        </w:rPr>
        <w:t>.</w:t>
      </w:r>
    </w:p>
    <w:p w:rsidR="003040F7" w:rsidRPr="00610904" w:rsidRDefault="003040F7" w:rsidP="00610904">
      <w:pPr>
        <w:pStyle w:val="MediumGrid1-Accent21"/>
        <w:rPr>
          <w:noProof w:val="0"/>
          <w:lang w:val="en-US"/>
        </w:rPr>
      </w:pPr>
    </w:p>
    <w:p w:rsidR="00BB1F24" w:rsidRPr="00610904" w:rsidRDefault="00BB1F24" w:rsidP="00610904">
      <w:pPr>
        <w:pStyle w:val="MediumGrid1-Accent21"/>
        <w:rPr>
          <w:noProof w:val="0"/>
          <w:lang w:val="en-US"/>
        </w:rPr>
      </w:pPr>
    </w:p>
    <w:p w:rsidR="003040F7" w:rsidRPr="00610904" w:rsidRDefault="008B157E" w:rsidP="00610904">
      <w:pPr>
        <w:keepNext/>
        <w:keepLines/>
        <w:jc w:val="center"/>
        <w:outlineLvl w:val="0"/>
        <w:rPr>
          <w:rFonts w:eastAsia="Calibri" w:cs="Verdana"/>
          <w:b/>
          <w:bCs/>
          <w:caps/>
          <w:noProof w:val="0"/>
          <w:snapToGrid w:val="0"/>
          <w:spacing w:val="-2"/>
          <w:szCs w:val="20"/>
          <w:lang w:val="en-US" w:eastAsia="es-ES"/>
        </w:rPr>
      </w:pPr>
      <w:bookmarkStart w:id="190" w:name="_Toc443399138"/>
      <w:r w:rsidRPr="00610904">
        <w:rPr>
          <w:rFonts w:eastAsia="Calibri" w:cs="Verdana"/>
          <w:b/>
          <w:bCs/>
          <w:caps/>
          <w:noProof w:val="0"/>
          <w:snapToGrid w:val="0"/>
          <w:spacing w:val="-2"/>
          <w:szCs w:val="20"/>
          <w:lang w:val="en-US" w:eastAsia="es-ES"/>
        </w:rPr>
        <w:t>XIII</w:t>
      </w:r>
      <w:r w:rsidR="003040F7" w:rsidRPr="00610904">
        <w:rPr>
          <w:rFonts w:eastAsia="Calibri" w:cs="Verdana"/>
          <w:b/>
          <w:bCs/>
          <w:caps/>
          <w:noProof w:val="0"/>
          <w:snapToGrid w:val="0"/>
          <w:spacing w:val="-2"/>
          <w:szCs w:val="20"/>
          <w:lang w:val="en-US" w:eastAsia="es-ES"/>
        </w:rPr>
        <w:br/>
      </w:r>
      <w:r w:rsidR="00830022" w:rsidRPr="00610904">
        <w:rPr>
          <w:rFonts w:eastAsia="Calibri" w:cs="Verdana"/>
          <w:b/>
          <w:bCs/>
          <w:caps/>
          <w:noProof w:val="0"/>
          <w:snapToGrid w:val="0"/>
          <w:spacing w:val="-2"/>
          <w:szCs w:val="20"/>
          <w:lang w:val="en-US" w:eastAsia="es-ES"/>
        </w:rPr>
        <w:t>OPERATIVE PARAGAPHS</w:t>
      </w:r>
      <w:bookmarkEnd w:id="190"/>
    </w:p>
    <w:p w:rsidR="003040F7" w:rsidRPr="00610904" w:rsidRDefault="003040F7" w:rsidP="00610904">
      <w:pPr>
        <w:rPr>
          <w:noProof w:val="0"/>
          <w:lang w:val="en-US"/>
        </w:rPr>
      </w:pPr>
    </w:p>
    <w:p w:rsidR="003040F7" w:rsidRPr="00610904" w:rsidRDefault="003040F7" w:rsidP="00610904">
      <w:pPr>
        <w:pStyle w:val="Default"/>
        <w:jc w:val="both"/>
        <w:rPr>
          <w:spacing w:val="-2"/>
          <w:sz w:val="20"/>
          <w:szCs w:val="20"/>
        </w:rPr>
      </w:pPr>
    </w:p>
    <w:p w:rsidR="003040F7" w:rsidRPr="00610904" w:rsidRDefault="004A6E8B" w:rsidP="00610904">
      <w:pPr>
        <w:pStyle w:val="Default"/>
        <w:jc w:val="both"/>
        <w:rPr>
          <w:spacing w:val="-2"/>
          <w:sz w:val="20"/>
          <w:szCs w:val="20"/>
        </w:rPr>
      </w:pPr>
      <w:r w:rsidRPr="00610904">
        <w:rPr>
          <w:spacing w:val="-2"/>
          <w:sz w:val="20"/>
          <w:szCs w:val="20"/>
        </w:rPr>
        <w:t>Therefore</w:t>
      </w:r>
      <w:r w:rsidR="003040F7" w:rsidRPr="00610904">
        <w:rPr>
          <w:spacing w:val="-2"/>
          <w:sz w:val="20"/>
          <w:szCs w:val="20"/>
        </w:rPr>
        <w:t xml:space="preserve">, </w:t>
      </w:r>
    </w:p>
    <w:p w:rsidR="003040F7" w:rsidRPr="00610904" w:rsidRDefault="003040F7" w:rsidP="00610904">
      <w:pPr>
        <w:pStyle w:val="Default"/>
        <w:jc w:val="both"/>
        <w:rPr>
          <w:spacing w:val="-2"/>
          <w:sz w:val="16"/>
          <w:szCs w:val="20"/>
        </w:rPr>
      </w:pPr>
    </w:p>
    <w:p w:rsidR="003040F7" w:rsidRPr="00610904" w:rsidRDefault="009F3D78" w:rsidP="00610904">
      <w:pPr>
        <w:pStyle w:val="Default"/>
        <w:jc w:val="both"/>
        <w:rPr>
          <w:spacing w:val="-2"/>
          <w:sz w:val="20"/>
          <w:szCs w:val="20"/>
        </w:rPr>
      </w:pPr>
      <w:r w:rsidRPr="00610904">
        <w:rPr>
          <w:b/>
          <w:bCs/>
          <w:spacing w:val="-2"/>
          <w:sz w:val="20"/>
          <w:szCs w:val="20"/>
        </w:rPr>
        <w:t>THE COURT</w:t>
      </w:r>
      <w:r w:rsidR="003040F7" w:rsidRPr="00610904">
        <w:rPr>
          <w:b/>
          <w:bCs/>
          <w:spacing w:val="-2"/>
          <w:sz w:val="20"/>
          <w:szCs w:val="20"/>
        </w:rPr>
        <w:t xml:space="preserve"> </w:t>
      </w:r>
    </w:p>
    <w:p w:rsidR="003040F7" w:rsidRPr="00610904" w:rsidRDefault="003040F7" w:rsidP="00610904">
      <w:pPr>
        <w:pStyle w:val="Default"/>
        <w:jc w:val="both"/>
        <w:rPr>
          <w:b/>
          <w:bCs/>
          <w:spacing w:val="-2"/>
          <w:sz w:val="16"/>
          <w:szCs w:val="20"/>
        </w:rPr>
      </w:pPr>
    </w:p>
    <w:p w:rsidR="003040F7" w:rsidRPr="00610904" w:rsidRDefault="003040F7" w:rsidP="00610904">
      <w:pPr>
        <w:pStyle w:val="Default"/>
        <w:jc w:val="both"/>
        <w:rPr>
          <w:spacing w:val="-2"/>
          <w:sz w:val="20"/>
          <w:szCs w:val="20"/>
        </w:rPr>
      </w:pPr>
      <w:r w:rsidRPr="00610904">
        <w:rPr>
          <w:b/>
          <w:bCs/>
          <w:spacing w:val="-2"/>
          <w:sz w:val="20"/>
          <w:szCs w:val="20"/>
        </w:rPr>
        <w:t>DECIDE</w:t>
      </w:r>
      <w:r w:rsidR="004A6E8B" w:rsidRPr="00610904">
        <w:rPr>
          <w:b/>
          <w:bCs/>
          <w:spacing w:val="-2"/>
          <w:sz w:val="20"/>
          <w:szCs w:val="20"/>
        </w:rPr>
        <w:t>S</w:t>
      </w:r>
      <w:r w:rsidRPr="00610904">
        <w:rPr>
          <w:b/>
          <w:bCs/>
          <w:spacing w:val="-2"/>
          <w:sz w:val="20"/>
          <w:szCs w:val="20"/>
        </w:rPr>
        <w:t xml:space="preserve">, </w:t>
      </w:r>
    </w:p>
    <w:p w:rsidR="003040F7" w:rsidRPr="00610904" w:rsidRDefault="003040F7" w:rsidP="00610904">
      <w:pPr>
        <w:pStyle w:val="Default"/>
        <w:jc w:val="both"/>
        <w:rPr>
          <w:spacing w:val="-2"/>
          <w:sz w:val="16"/>
          <w:szCs w:val="20"/>
        </w:rPr>
      </w:pPr>
    </w:p>
    <w:p w:rsidR="003040F7" w:rsidRPr="00610904" w:rsidRDefault="004A6E8B" w:rsidP="00610904">
      <w:pPr>
        <w:pStyle w:val="Default"/>
        <w:jc w:val="both"/>
        <w:rPr>
          <w:spacing w:val="-2"/>
          <w:sz w:val="20"/>
          <w:szCs w:val="20"/>
        </w:rPr>
      </w:pPr>
      <w:r w:rsidRPr="00610904">
        <w:rPr>
          <w:spacing w:val="-2"/>
          <w:sz w:val="20"/>
          <w:szCs w:val="20"/>
        </w:rPr>
        <w:t>Unanimously</w:t>
      </w:r>
      <w:r w:rsidR="003040F7" w:rsidRPr="00610904">
        <w:rPr>
          <w:spacing w:val="-2"/>
          <w:sz w:val="20"/>
          <w:szCs w:val="20"/>
        </w:rPr>
        <w:t xml:space="preserve">, </w:t>
      </w:r>
    </w:p>
    <w:p w:rsidR="003040F7" w:rsidRPr="00610904" w:rsidRDefault="003040F7" w:rsidP="00610904">
      <w:pPr>
        <w:pStyle w:val="Default"/>
        <w:jc w:val="both"/>
        <w:rPr>
          <w:spacing w:val="-2"/>
          <w:sz w:val="20"/>
          <w:szCs w:val="20"/>
        </w:rPr>
      </w:pPr>
    </w:p>
    <w:p w:rsidR="003040F7" w:rsidRPr="00610904" w:rsidRDefault="004A6E8B" w:rsidP="00610904">
      <w:pPr>
        <w:pStyle w:val="Default"/>
        <w:numPr>
          <w:ilvl w:val="0"/>
          <w:numId w:val="15"/>
        </w:numPr>
        <w:ind w:left="0" w:firstLine="0"/>
        <w:jc w:val="both"/>
        <w:rPr>
          <w:spacing w:val="-2"/>
          <w:sz w:val="20"/>
          <w:szCs w:val="20"/>
        </w:rPr>
      </w:pPr>
      <w:r w:rsidRPr="00610904">
        <w:rPr>
          <w:spacing w:val="-2"/>
          <w:sz w:val="20"/>
          <w:szCs w:val="20"/>
        </w:rPr>
        <w:t>To accept the acknowledgement of one fact made by the State, in accordance with</w:t>
      </w:r>
      <w:r w:rsidR="00B9200D" w:rsidRPr="00610904">
        <w:rPr>
          <w:spacing w:val="-2"/>
          <w:sz w:val="20"/>
          <w:szCs w:val="20"/>
        </w:rPr>
        <w:t xml:space="preserve"> </w:t>
      </w:r>
      <w:r w:rsidR="002112A8" w:rsidRPr="00610904">
        <w:rPr>
          <w:spacing w:val="-2"/>
          <w:sz w:val="20"/>
          <w:szCs w:val="20"/>
        </w:rPr>
        <w:t>paragraphs</w:t>
      </w:r>
      <w:r w:rsidR="00B9200D" w:rsidRPr="00610904">
        <w:rPr>
          <w:spacing w:val="-2"/>
          <w:sz w:val="20"/>
          <w:szCs w:val="20"/>
        </w:rPr>
        <w:t xml:space="preserve"> 49</w:t>
      </w:r>
      <w:r w:rsidR="009F3D78" w:rsidRPr="00610904">
        <w:rPr>
          <w:spacing w:val="-2"/>
          <w:sz w:val="20"/>
          <w:szCs w:val="20"/>
        </w:rPr>
        <w:t xml:space="preserve"> and </w:t>
      </w:r>
      <w:r w:rsidR="00B9200D" w:rsidRPr="00610904">
        <w:rPr>
          <w:spacing w:val="-2"/>
          <w:sz w:val="20"/>
          <w:szCs w:val="20"/>
        </w:rPr>
        <w:t>50</w:t>
      </w:r>
      <w:r w:rsidR="003040F7" w:rsidRPr="00610904">
        <w:rPr>
          <w:spacing w:val="-2"/>
          <w:sz w:val="20"/>
          <w:szCs w:val="20"/>
        </w:rPr>
        <w:t xml:space="preserve"> </w:t>
      </w:r>
      <w:r w:rsidRPr="00610904">
        <w:rPr>
          <w:spacing w:val="-2"/>
          <w:sz w:val="20"/>
          <w:szCs w:val="20"/>
        </w:rPr>
        <w:t>of this Judgment</w:t>
      </w:r>
      <w:r w:rsidR="003040F7" w:rsidRPr="00610904">
        <w:rPr>
          <w:spacing w:val="-2"/>
          <w:sz w:val="20"/>
          <w:szCs w:val="20"/>
        </w:rPr>
        <w:t xml:space="preserve">. </w:t>
      </w:r>
    </w:p>
    <w:p w:rsidR="003040F7" w:rsidRPr="00610904" w:rsidRDefault="003040F7" w:rsidP="00610904">
      <w:pPr>
        <w:pStyle w:val="Default"/>
        <w:jc w:val="both"/>
        <w:rPr>
          <w:spacing w:val="-2"/>
          <w:sz w:val="20"/>
          <w:szCs w:val="20"/>
        </w:rPr>
      </w:pPr>
    </w:p>
    <w:p w:rsidR="003040F7" w:rsidRPr="00610904" w:rsidRDefault="004A6E8B" w:rsidP="00610904">
      <w:pPr>
        <w:pStyle w:val="Default"/>
        <w:numPr>
          <w:ilvl w:val="0"/>
          <w:numId w:val="15"/>
        </w:numPr>
        <w:ind w:left="0" w:firstLine="0"/>
        <w:jc w:val="both"/>
        <w:rPr>
          <w:spacing w:val="-2"/>
          <w:sz w:val="20"/>
          <w:szCs w:val="20"/>
        </w:rPr>
      </w:pPr>
      <w:r w:rsidRPr="00610904">
        <w:rPr>
          <w:spacing w:val="-2"/>
          <w:sz w:val="20"/>
          <w:szCs w:val="20"/>
        </w:rPr>
        <w:t xml:space="preserve">To reject the </w:t>
      </w:r>
      <w:r w:rsidR="00A8072E" w:rsidRPr="00610904">
        <w:rPr>
          <w:spacing w:val="-2"/>
          <w:sz w:val="20"/>
          <w:szCs w:val="20"/>
        </w:rPr>
        <w:t>preliminary objection</w:t>
      </w:r>
      <w:r w:rsidR="003040F7" w:rsidRPr="00610904">
        <w:rPr>
          <w:spacing w:val="-2"/>
          <w:sz w:val="20"/>
          <w:szCs w:val="20"/>
        </w:rPr>
        <w:t xml:space="preserve"> </w:t>
      </w:r>
      <w:r w:rsidRPr="00610904">
        <w:rPr>
          <w:spacing w:val="-2"/>
          <w:sz w:val="20"/>
          <w:szCs w:val="20"/>
        </w:rPr>
        <w:t xml:space="preserve">concerning the </w:t>
      </w:r>
      <w:r w:rsidR="00223622" w:rsidRPr="00610904">
        <w:rPr>
          <w:spacing w:val="-2"/>
          <w:sz w:val="20"/>
          <w:szCs w:val="20"/>
        </w:rPr>
        <w:t>alleged</w:t>
      </w:r>
      <w:r w:rsidR="003040F7" w:rsidRPr="00610904">
        <w:rPr>
          <w:spacing w:val="-2"/>
          <w:sz w:val="20"/>
          <w:szCs w:val="20"/>
        </w:rPr>
        <w:t xml:space="preserve"> </w:t>
      </w:r>
      <w:r w:rsidRPr="00610904">
        <w:rPr>
          <w:spacing w:val="-2"/>
          <w:sz w:val="20"/>
          <w:szCs w:val="20"/>
        </w:rPr>
        <w:t xml:space="preserve">failure to exhaust domestic remedies filed by </w:t>
      </w:r>
      <w:r w:rsidR="009F3D78" w:rsidRPr="00610904">
        <w:rPr>
          <w:spacing w:val="-2"/>
          <w:sz w:val="20"/>
          <w:szCs w:val="20"/>
        </w:rPr>
        <w:t>the State</w:t>
      </w:r>
      <w:r w:rsidR="003040F7" w:rsidRPr="00610904">
        <w:rPr>
          <w:spacing w:val="-2"/>
          <w:sz w:val="20"/>
          <w:szCs w:val="20"/>
        </w:rPr>
        <w:t xml:space="preserve">, </w:t>
      </w:r>
      <w:r w:rsidRPr="00610904">
        <w:rPr>
          <w:spacing w:val="-2"/>
          <w:sz w:val="20"/>
          <w:szCs w:val="20"/>
        </w:rPr>
        <w:t>in accordance with</w:t>
      </w:r>
      <w:r w:rsidR="00B9200D" w:rsidRPr="00610904">
        <w:rPr>
          <w:spacing w:val="-2"/>
          <w:sz w:val="20"/>
          <w:szCs w:val="20"/>
        </w:rPr>
        <w:t xml:space="preserve"> </w:t>
      </w:r>
      <w:r w:rsidR="002112A8" w:rsidRPr="00610904">
        <w:rPr>
          <w:spacing w:val="-2"/>
          <w:sz w:val="20"/>
          <w:szCs w:val="20"/>
        </w:rPr>
        <w:t>paragraphs</w:t>
      </w:r>
      <w:r w:rsidRPr="00610904">
        <w:rPr>
          <w:spacing w:val="-2"/>
          <w:sz w:val="20"/>
          <w:szCs w:val="20"/>
        </w:rPr>
        <w:t xml:space="preserve"> 27 to</w:t>
      </w:r>
      <w:r w:rsidR="00B9200D" w:rsidRPr="00610904">
        <w:rPr>
          <w:spacing w:val="-2"/>
          <w:sz w:val="20"/>
          <w:szCs w:val="20"/>
        </w:rPr>
        <w:t xml:space="preserve"> 33</w:t>
      </w:r>
      <w:r w:rsidR="003040F7" w:rsidRPr="00610904">
        <w:rPr>
          <w:spacing w:val="-2"/>
          <w:sz w:val="20"/>
          <w:szCs w:val="20"/>
        </w:rPr>
        <w:t xml:space="preserve"> </w:t>
      </w:r>
      <w:r w:rsidRPr="00610904">
        <w:rPr>
          <w:spacing w:val="-2"/>
          <w:sz w:val="20"/>
          <w:szCs w:val="20"/>
        </w:rPr>
        <w:t>of this Judgment</w:t>
      </w:r>
      <w:r w:rsidR="003040F7" w:rsidRPr="00610904">
        <w:rPr>
          <w:spacing w:val="-2"/>
          <w:sz w:val="20"/>
          <w:szCs w:val="20"/>
        </w:rPr>
        <w:t xml:space="preserve">. </w:t>
      </w:r>
    </w:p>
    <w:p w:rsidR="003040F7" w:rsidRPr="00610904" w:rsidRDefault="003040F7" w:rsidP="00610904">
      <w:pPr>
        <w:tabs>
          <w:tab w:val="num" w:pos="630"/>
          <w:tab w:val="left" w:pos="720"/>
        </w:tabs>
        <w:rPr>
          <w:rFonts w:cs="Verdana"/>
          <w:b/>
          <w:noProof w:val="0"/>
          <w:color w:val="000000"/>
          <w:spacing w:val="-2"/>
          <w:szCs w:val="20"/>
          <w:lang w:val="en-US"/>
        </w:rPr>
      </w:pPr>
    </w:p>
    <w:p w:rsidR="0051335D" w:rsidRPr="00610904" w:rsidRDefault="0051335D" w:rsidP="00610904">
      <w:pPr>
        <w:tabs>
          <w:tab w:val="num" w:pos="630"/>
          <w:tab w:val="left" w:pos="720"/>
        </w:tabs>
        <w:rPr>
          <w:rFonts w:cs="Verdana"/>
          <w:b/>
          <w:noProof w:val="0"/>
          <w:color w:val="000000"/>
          <w:spacing w:val="-2"/>
          <w:szCs w:val="20"/>
          <w:lang w:val="en-US"/>
        </w:rPr>
      </w:pPr>
    </w:p>
    <w:p w:rsidR="003040F7" w:rsidRPr="00610904" w:rsidRDefault="004A6E8B" w:rsidP="00610904">
      <w:pPr>
        <w:tabs>
          <w:tab w:val="num" w:pos="630"/>
          <w:tab w:val="left" w:pos="720"/>
        </w:tabs>
        <w:rPr>
          <w:rFonts w:cs="Verdana"/>
          <w:b/>
          <w:noProof w:val="0"/>
          <w:color w:val="000000"/>
          <w:spacing w:val="-2"/>
          <w:szCs w:val="20"/>
          <w:lang w:val="en-US"/>
        </w:rPr>
      </w:pPr>
      <w:r w:rsidRPr="00610904">
        <w:rPr>
          <w:rFonts w:cs="Verdana"/>
          <w:b/>
          <w:noProof w:val="0"/>
          <w:color w:val="000000"/>
          <w:spacing w:val="-2"/>
          <w:szCs w:val="20"/>
          <w:lang w:val="en-US"/>
        </w:rPr>
        <w:t>DECLARES</w:t>
      </w:r>
      <w:r w:rsidR="003040F7" w:rsidRPr="00610904">
        <w:rPr>
          <w:rFonts w:cs="Verdana"/>
          <w:b/>
          <w:noProof w:val="0"/>
          <w:color w:val="000000"/>
          <w:spacing w:val="-2"/>
          <w:szCs w:val="20"/>
          <w:lang w:val="en-US"/>
        </w:rPr>
        <w:t>,</w:t>
      </w:r>
    </w:p>
    <w:p w:rsidR="003040F7" w:rsidRPr="00610904" w:rsidRDefault="003040F7" w:rsidP="00610904">
      <w:pPr>
        <w:tabs>
          <w:tab w:val="num" w:pos="630"/>
          <w:tab w:val="left" w:pos="720"/>
        </w:tabs>
        <w:rPr>
          <w:rFonts w:cs="Verdana"/>
          <w:b/>
          <w:noProof w:val="0"/>
          <w:color w:val="000000"/>
          <w:spacing w:val="-2"/>
          <w:sz w:val="16"/>
          <w:szCs w:val="20"/>
          <w:lang w:val="en-US"/>
        </w:rPr>
      </w:pPr>
    </w:p>
    <w:p w:rsidR="003040F7" w:rsidRPr="00610904" w:rsidRDefault="004A6E8B" w:rsidP="00610904">
      <w:pPr>
        <w:pStyle w:val="Default"/>
        <w:jc w:val="both"/>
        <w:rPr>
          <w:spacing w:val="-2"/>
          <w:sz w:val="20"/>
          <w:szCs w:val="20"/>
        </w:rPr>
      </w:pPr>
      <w:r w:rsidRPr="00610904">
        <w:rPr>
          <w:spacing w:val="-2"/>
          <w:sz w:val="20"/>
          <w:szCs w:val="20"/>
        </w:rPr>
        <w:t>Unanimously, that</w:t>
      </w:r>
    </w:p>
    <w:p w:rsidR="003040F7" w:rsidRPr="00610904" w:rsidRDefault="003040F7" w:rsidP="00610904">
      <w:pPr>
        <w:tabs>
          <w:tab w:val="left" w:pos="567"/>
        </w:tabs>
        <w:rPr>
          <w:noProof w:val="0"/>
          <w:color w:val="000000"/>
          <w:spacing w:val="-2"/>
          <w:sz w:val="16"/>
          <w:szCs w:val="20"/>
          <w:lang w:val="en-US"/>
        </w:rPr>
      </w:pPr>
    </w:p>
    <w:p w:rsidR="00FE0F75" w:rsidRPr="00610904" w:rsidRDefault="009F3D78" w:rsidP="00610904">
      <w:pPr>
        <w:pStyle w:val="Default"/>
        <w:numPr>
          <w:ilvl w:val="0"/>
          <w:numId w:val="15"/>
        </w:numPr>
        <w:ind w:left="0" w:firstLine="0"/>
        <w:jc w:val="both"/>
        <w:rPr>
          <w:rFonts w:eastAsia="Batang" w:cs="Times"/>
          <w:spacing w:val="-2"/>
          <w:sz w:val="20"/>
          <w:szCs w:val="20"/>
        </w:rPr>
      </w:pPr>
      <w:r w:rsidRPr="00610904">
        <w:rPr>
          <w:sz w:val="20"/>
          <w:szCs w:val="20"/>
          <w:lang w:eastAsia="es-CR"/>
        </w:rPr>
        <w:t>The State</w:t>
      </w:r>
      <w:r w:rsidR="00FE0F75" w:rsidRPr="00610904">
        <w:rPr>
          <w:sz w:val="20"/>
          <w:szCs w:val="20"/>
          <w:lang w:eastAsia="es-CR"/>
        </w:rPr>
        <w:t xml:space="preserve"> </w:t>
      </w:r>
      <w:r w:rsidR="004A6E8B" w:rsidRPr="00610904">
        <w:rPr>
          <w:sz w:val="20"/>
          <w:szCs w:val="20"/>
          <w:lang w:eastAsia="es-CR"/>
        </w:rPr>
        <w:t>is responsible for the violation</w:t>
      </w:r>
      <w:r w:rsidR="004176AB" w:rsidRPr="00610904">
        <w:rPr>
          <w:sz w:val="20"/>
          <w:szCs w:val="20"/>
          <w:lang w:eastAsia="es-CR"/>
        </w:rPr>
        <w:t xml:space="preserve"> </w:t>
      </w:r>
      <w:r w:rsidR="004A6E8B" w:rsidRPr="00610904">
        <w:rPr>
          <w:sz w:val="20"/>
          <w:szCs w:val="20"/>
          <w:lang w:eastAsia="es-CR"/>
        </w:rPr>
        <w:t>of the right</w:t>
      </w:r>
      <w:r w:rsidR="0051335D" w:rsidRPr="00610904">
        <w:rPr>
          <w:sz w:val="20"/>
          <w:szCs w:val="20"/>
          <w:lang w:eastAsia="es-CR"/>
        </w:rPr>
        <w:t>s</w:t>
      </w:r>
      <w:r w:rsidR="004A6E8B" w:rsidRPr="00610904">
        <w:rPr>
          <w:sz w:val="20"/>
          <w:szCs w:val="20"/>
          <w:lang w:eastAsia="es-CR"/>
        </w:rPr>
        <w:t xml:space="preserve"> to life and </w:t>
      </w:r>
      <w:r w:rsidR="0051335D" w:rsidRPr="00610904">
        <w:rPr>
          <w:sz w:val="20"/>
          <w:szCs w:val="20"/>
          <w:lang w:eastAsia="es-CR"/>
        </w:rPr>
        <w:t>to personal integrity</w:t>
      </w:r>
      <w:r w:rsidR="004A6E8B" w:rsidRPr="00610904">
        <w:rPr>
          <w:sz w:val="20"/>
          <w:szCs w:val="20"/>
          <w:lang w:eastAsia="es-CR"/>
        </w:rPr>
        <w:t xml:space="preserve"> recognized in </w:t>
      </w:r>
      <w:r w:rsidRPr="00610904">
        <w:rPr>
          <w:sz w:val="20"/>
          <w:szCs w:val="20"/>
          <w:lang w:eastAsia="es-CR"/>
        </w:rPr>
        <w:t>Articles</w:t>
      </w:r>
      <w:r w:rsidR="00FE0F75" w:rsidRPr="00610904">
        <w:rPr>
          <w:sz w:val="20"/>
          <w:szCs w:val="20"/>
          <w:lang w:eastAsia="es-CR"/>
        </w:rPr>
        <w:t xml:space="preserve"> 4</w:t>
      </w:r>
      <w:r w:rsidRPr="00610904">
        <w:rPr>
          <w:sz w:val="20"/>
          <w:szCs w:val="20"/>
          <w:lang w:eastAsia="es-CR"/>
        </w:rPr>
        <w:t xml:space="preserve"> and </w:t>
      </w:r>
      <w:r w:rsidR="00FE0F75" w:rsidRPr="00610904">
        <w:rPr>
          <w:sz w:val="20"/>
          <w:szCs w:val="20"/>
          <w:lang w:eastAsia="es-CR"/>
        </w:rPr>
        <w:t>5</w:t>
      </w:r>
      <w:r w:rsidRPr="00610904">
        <w:rPr>
          <w:sz w:val="20"/>
          <w:szCs w:val="20"/>
          <w:lang w:eastAsia="es-CR"/>
        </w:rPr>
        <w:t xml:space="preserve"> of the American Convention</w:t>
      </w:r>
      <w:r w:rsidR="00FE0F75" w:rsidRPr="00610904">
        <w:rPr>
          <w:sz w:val="20"/>
          <w:szCs w:val="20"/>
          <w:lang w:eastAsia="es-CR"/>
        </w:rPr>
        <w:t xml:space="preserve">, </w:t>
      </w:r>
      <w:r w:rsidR="004A6E8B" w:rsidRPr="00610904">
        <w:rPr>
          <w:sz w:val="20"/>
          <w:szCs w:val="20"/>
          <w:lang w:eastAsia="es-CR"/>
        </w:rPr>
        <w:t>in relation to</w:t>
      </w:r>
      <w:r w:rsidR="00FE0F75" w:rsidRPr="00610904">
        <w:rPr>
          <w:sz w:val="20"/>
          <w:szCs w:val="20"/>
          <w:lang w:eastAsia="es-CR"/>
        </w:rPr>
        <w:t xml:space="preserve"> </w:t>
      </w:r>
      <w:r w:rsidR="006E502B" w:rsidRPr="00610904">
        <w:rPr>
          <w:sz w:val="20"/>
          <w:szCs w:val="20"/>
          <w:lang w:eastAsia="es-CR"/>
        </w:rPr>
        <w:t>Article 1(1)</w:t>
      </w:r>
      <w:r w:rsidR="00FE0F75" w:rsidRPr="00610904">
        <w:rPr>
          <w:sz w:val="20"/>
          <w:szCs w:val="20"/>
          <w:lang w:eastAsia="es-CR"/>
        </w:rPr>
        <w:t xml:space="preserve"> </w:t>
      </w:r>
      <w:r w:rsidR="004A6E8B" w:rsidRPr="00610904">
        <w:rPr>
          <w:sz w:val="20"/>
          <w:szCs w:val="20"/>
          <w:lang w:eastAsia="es-CR"/>
        </w:rPr>
        <w:t>of this instrument, owing to the violation of the obligation to monitor and supervise the provision of health</w:t>
      </w:r>
      <w:r w:rsidR="0051335D" w:rsidRPr="00610904">
        <w:rPr>
          <w:sz w:val="20"/>
          <w:szCs w:val="20"/>
          <w:lang w:eastAsia="es-CR"/>
        </w:rPr>
        <w:t xml:space="preserve"> care </w:t>
      </w:r>
      <w:r w:rsidR="004A6E8B" w:rsidRPr="00610904">
        <w:rPr>
          <w:sz w:val="20"/>
          <w:szCs w:val="20"/>
          <w:lang w:eastAsia="es-CR"/>
        </w:rPr>
        <w:t>services</w:t>
      </w:r>
      <w:r w:rsidR="00FE0F75" w:rsidRPr="00610904">
        <w:rPr>
          <w:sz w:val="20"/>
          <w:szCs w:val="20"/>
        </w:rPr>
        <w:t xml:space="preserve">, </w:t>
      </w:r>
      <w:r w:rsidR="004A6E8B" w:rsidRPr="00610904">
        <w:rPr>
          <w:spacing w:val="-2"/>
          <w:sz w:val="20"/>
          <w:szCs w:val="20"/>
          <w:lang w:eastAsia="es-CR"/>
        </w:rPr>
        <w:t>to the detriment of</w:t>
      </w:r>
      <w:r w:rsidR="00FE0F75" w:rsidRPr="00610904">
        <w:rPr>
          <w:spacing w:val="-2"/>
          <w:sz w:val="20"/>
          <w:szCs w:val="20"/>
          <w:lang w:eastAsia="es-CR"/>
        </w:rPr>
        <w:t xml:space="preserve"> </w:t>
      </w:r>
      <w:r w:rsidR="00CD3738" w:rsidRPr="00610904">
        <w:rPr>
          <w:sz w:val="20"/>
          <w:szCs w:val="20"/>
        </w:rPr>
        <w:t>Talía</w:t>
      </w:r>
      <w:r w:rsidR="00FE0F75" w:rsidRPr="00610904">
        <w:rPr>
          <w:sz w:val="20"/>
          <w:szCs w:val="20"/>
        </w:rPr>
        <w:t xml:space="preserve"> Gabriela Gonzales Lluy, </w:t>
      </w:r>
      <w:r w:rsidR="004A6E8B" w:rsidRPr="00610904">
        <w:rPr>
          <w:sz w:val="20"/>
          <w:szCs w:val="20"/>
        </w:rPr>
        <w:t>in accordance with</w:t>
      </w:r>
      <w:r w:rsidR="00FE0F75" w:rsidRPr="00610904">
        <w:rPr>
          <w:spacing w:val="-2"/>
          <w:sz w:val="20"/>
          <w:szCs w:val="20"/>
          <w:lang w:eastAsia="es-CR"/>
        </w:rPr>
        <w:t xml:space="preserve"> </w:t>
      </w:r>
      <w:r w:rsidR="002112A8" w:rsidRPr="00610904">
        <w:rPr>
          <w:spacing w:val="-2"/>
          <w:sz w:val="20"/>
          <w:szCs w:val="20"/>
          <w:lang w:eastAsia="es-CR"/>
        </w:rPr>
        <w:t>paragraphs</w:t>
      </w:r>
      <w:r w:rsidR="00FE0F75" w:rsidRPr="00610904">
        <w:rPr>
          <w:rFonts w:eastAsia="Batang" w:cs="Times"/>
          <w:spacing w:val="-2"/>
          <w:sz w:val="20"/>
          <w:szCs w:val="20"/>
        </w:rPr>
        <w:t xml:space="preserve"> </w:t>
      </w:r>
      <w:r w:rsidR="004A6E8B" w:rsidRPr="00610904">
        <w:rPr>
          <w:rFonts w:eastAsia="Batang" w:cs="Times"/>
          <w:spacing w:val="-2"/>
          <w:sz w:val="20"/>
          <w:szCs w:val="20"/>
        </w:rPr>
        <w:t>167 to</w:t>
      </w:r>
      <w:r w:rsidR="003E0396" w:rsidRPr="00610904">
        <w:rPr>
          <w:rFonts w:eastAsia="Batang" w:cs="Times"/>
          <w:spacing w:val="-2"/>
          <w:sz w:val="20"/>
          <w:szCs w:val="20"/>
        </w:rPr>
        <w:t xml:space="preserve"> 191</w:t>
      </w:r>
      <w:r w:rsidR="00FE0F75" w:rsidRPr="00610904">
        <w:rPr>
          <w:rFonts w:eastAsia="Batang" w:cs="Times"/>
          <w:spacing w:val="-2"/>
          <w:sz w:val="20"/>
          <w:szCs w:val="20"/>
        </w:rPr>
        <w:t xml:space="preserve"> </w:t>
      </w:r>
      <w:r w:rsidR="004A6E8B" w:rsidRPr="00610904">
        <w:rPr>
          <w:rFonts w:eastAsia="Batang" w:cs="Times"/>
          <w:spacing w:val="-2"/>
          <w:sz w:val="20"/>
          <w:szCs w:val="20"/>
        </w:rPr>
        <w:t>of this Judgment</w:t>
      </w:r>
      <w:r w:rsidR="00FE0F75" w:rsidRPr="00610904">
        <w:rPr>
          <w:sz w:val="20"/>
          <w:szCs w:val="20"/>
        </w:rPr>
        <w:t>.</w:t>
      </w:r>
    </w:p>
    <w:p w:rsidR="00FE0F75" w:rsidRPr="00610904" w:rsidRDefault="00FE0F75" w:rsidP="00610904">
      <w:pPr>
        <w:pStyle w:val="Default"/>
        <w:jc w:val="both"/>
        <w:rPr>
          <w:rFonts w:eastAsia="Batang" w:cs="Times"/>
          <w:spacing w:val="-2"/>
          <w:sz w:val="20"/>
          <w:szCs w:val="20"/>
        </w:rPr>
      </w:pPr>
    </w:p>
    <w:p w:rsidR="00FE0F75" w:rsidRPr="00610904" w:rsidRDefault="009F3D78" w:rsidP="00610904">
      <w:pPr>
        <w:pStyle w:val="Default"/>
        <w:numPr>
          <w:ilvl w:val="0"/>
          <w:numId w:val="15"/>
        </w:numPr>
        <w:ind w:left="0" w:firstLine="0"/>
        <w:jc w:val="both"/>
        <w:rPr>
          <w:rFonts w:eastAsia="Batang" w:cs="Times"/>
          <w:spacing w:val="-2"/>
          <w:sz w:val="20"/>
          <w:szCs w:val="20"/>
        </w:rPr>
      </w:pPr>
      <w:r w:rsidRPr="00610904">
        <w:rPr>
          <w:sz w:val="20"/>
          <w:szCs w:val="20"/>
          <w:lang w:eastAsia="es-CR"/>
        </w:rPr>
        <w:t>The State</w:t>
      </w:r>
      <w:r w:rsidR="00FE0F75" w:rsidRPr="00610904">
        <w:rPr>
          <w:sz w:val="20"/>
          <w:szCs w:val="20"/>
          <w:lang w:eastAsia="es-CR"/>
        </w:rPr>
        <w:t xml:space="preserve"> </w:t>
      </w:r>
      <w:r w:rsidR="004A6E8B" w:rsidRPr="00610904">
        <w:rPr>
          <w:sz w:val="20"/>
          <w:szCs w:val="20"/>
          <w:lang w:eastAsia="es-CR"/>
        </w:rPr>
        <w:t>is responsible for the violation</w:t>
      </w:r>
      <w:r w:rsidR="004176AB" w:rsidRPr="00610904">
        <w:rPr>
          <w:sz w:val="20"/>
          <w:szCs w:val="20"/>
          <w:lang w:eastAsia="es-CR"/>
        </w:rPr>
        <w:t xml:space="preserve"> </w:t>
      </w:r>
      <w:r w:rsidR="004A6E8B" w:rsidRPr="00610904">
        <w:rPr>
          <w:sz w:val="20"/>
          <w:szCs w:val="20"/>
          <w:lang w:eastAsia="es-CR"/>
        </w:rPr>
        <w:t xml:space="preserve">of the right to </w:t>
      </w:r>
      <w:r w:rsidR="00BF0C4F" w:rsidRPr="00610904">
        <w:rPr>
          <w:sz w:val="20"/>
          <w:szCs w:val="20"/>
          <w:lang w:eastAsia="es-CR"/>
        </w:rPr>
        <w:t>personal</w:t>
      </w:r>
      <w:r w:rsidR="004A6E8B" w:rsidRPr="00610904">
        <w:rPr>
          <w:sz w:val="20"/>
          <w:szCs w:val="20"/>
          <w:lang w:eastAsia="es-CR"/>
        </w:rPr>
        <w:t xml:space="preserve"> integrity</w:t>
      </w:r>
      <w:r w:rsidR="00BF0C4F" w:rsidRPr="00610904">
        <w:rPr>
          <w:sz w:val="20"/>
          <w:szCs w:val="20"/>
          <w:lang w:eastAsia="es-CR"/>
        </w:rPr>
        <w:t xml:space="preserve"> </w:t>
      </w:r>
      <w:r w:rsidR="004A6E8B" w:rsidRPr="00610904">
        <w:rPr>
          <w:sz w:val="20"/>
          <w:szCs w:val="20"/>
          <w:lang w:eastAsia="es-CR"/>
        </w:rPr>
        <w:t>recognized in Article</w:t>
      </w:r>
      <w:r w:rsidR="00D93F16" w:rsidRPr="00610904">
        <w:rPr>
          <w:sz w:val="20"/>
          <w:szCs w:val="20"/>
          <w:lang w:eastAsia="es-CR"/>
        </w:rPr>
        <w:t xml:space="preserve"> </w:t>
      </w:r>
      <w:r w:rsidR="004A6E8B" w:rsidRPr="00610904">
        <w:rPr>
          <w:sz w:val="20"/>
          <w:szCs w:val="20"/>
          <w:lang w:eastAsia="es-CR"/>
        </w:rPr>
        <w:t>5(1)</w:t>
      </w:r>
      <w:r w:rsidRPr="00610904">
        <w:rPr>
          <w:sz w:val="20"/>
          <w:szCs w:val="20"/>
          <w:lang w:eastAsia="es-CR"/>
        </w:rPr>
        <w:t xml:space="preserve"> of the American Convention</w:t>
      </w:r>
      <w:r w:rsidR="00FE0F75" w:rsidRPr="00610904">
        <w:rPr>
          <w:sz w:val="20"/>
          <w:szCs w:val="20"/>
          <w:lang w:eastAsia="es-CR"/>
        </w:rPr>
        <w:t xml:space="preserve">, </w:t>
      </w:r>
      <w:r w:rsidR="004A6E8B" w:rsidRPr="00610904">
        <w:rPr>
          <w:sz w:val="20"/>
          <w:szCs w:val="20"/>
          <w:lang w:eastAsia="es-CR"/>
        </w:rPr>
        <w:t>in relation to</w:t>
      </w:r>
      <w:r w:rsidR="00FE0F75" w:rsidRPr="00610904">
        <w:rPr>
          <w:sz w:val="20"/>
          <w:szCs w:val="20"/>
          <w:lang w:eastAsia="es-CR"/>
        </w:rPr>
        <w:t xml:space="preserve"> </w:t>
      </w:r>
      <w:r w:rsidR="006E502B" w:rsidRPr="00610904">
        <w:rPr>
          <w:sz w:val="20"/>
          <w:szCs w:val="20"/>
          <w:lang w:eastAsia="es-CR"/>
        </w:rPr>
        <w:t>Article 1(1)</w:t>
      </w:r>
      <w:r w:rsidR="00FE0F75" w:rsidRPr="00610904">
        <w:rPr>
          <w:sz w:val="20"/>
          <w:szCs w:val="20"/>
          <w:lang w:eastAsia="es-CR"/>
        </w:rPr>
        <w:t xml:space="preserve"> </w:t>
      </w:r>
      <w:r w:rsidR="004A6E8B" w:rsidRPr="00610904">
        <w:rPr>
          <w:sz w:val="20"/>
          <w:szCs w:val="20"/>
          <w:lang w:eastAsia="es-CR"/>
        </w:rPr>
        <w:t>thereof</w:t>
      </w:r>
      <w:r w:rsidR="00FE0F75" w:rsidRPr="00610904">
        <w:rPr>
          <w:sz w:val="20"/>
          <w:szCs w:val="20"/>
          <w:lang w:eastAsia="es-CR"/>
        </w:rPr>
        <w:t xml:space="preserve">, </w:t>
      </w:r>
      <w:r w:rsidR="004A6E8B" w:rsidRPr="00610904">
        <w:rPr>
          <w:spacing w:val="-2"/>
          <w:sz w:val="20"/>
          <w:szCs w:val="20"/>
          <w:lang w:eastAsia="es-CR"/>
        </w:rPr>
        <w:t>to the detriment of</w:t>
      </w:r>
      <w:r w:rsidR="00FE0F75" w:rsidRPr="00610904">
        <w:rPr>
          <w:spacing w:val="-2"/>
          <w:sz w:val="20"/>
          <w:szCs w:val="20"/>
          <w:lang w:eastAsia="es-CR"/>
        </w:rPr>
        <w:t xml:space="preserve"> </w:t>
      </w:r>
      <w:r w:rsidR="00FE0F75" w:rsidRPr="00610904">
        <w:rPr>
          <w:sz w:val="20"/>
          <w:szCs w:val="20"/>
        </w:rPr>
        <w:t xml:space="preserve">Teresa Lluy </w:t>
      </w:r>
      <w:r w:rsidR="005550B0" w:rsidRPr="00610904">
        <w:rPr>
          <w:sz w:val="20"/>
          <w:szCs w:val="20"/>
        </w:rPr>
        <w:t>and Iván</w:t>
      </w:r>
      <w:r w:rsidR="00FE0F75" w:rsidRPr="00610904">
        <w:rPr>
          <w:sz w:val="20"/>
          <w:szCs w:val="20"/>
        </w:rPr>
        <w:t xml:space="preserve"> Mauricio Lluy</w:t>
      </w:r>
      <w:r w:rsidR="00FE0F75" w:rsidRPr="00610904">
        <w:rPr>
          <w:rFonts w:cs="Arial"/>
          <w:sz w:val="20"/>
          <w:szCs w:val="20"/>
          <w:lang w:eastAsia="es-CR"/>
        </w:rPr>
        <w:t>,</w:t>
      </w:r>
      <w:r w:rsidR="00FE0F75" w:rsidRPr="00610904">
        <w:rPr>
          <w:sz w:val="20"/>
          <w:szCs w:val="20"/>
        </w:rPr>
        <w:t xml:space="preserve"> </w:t>
      </w:r>
      <w:r w:rsidR="004A6E8B" w:rsidRPr="00610904">
        <w:rPr>
          <w:sz w:val="20"/>
          <w:szCs w:val="20"/>
        </w:rPr>
        <w:t>in accordance with</w:t>
      </w:r>
      <w:r w:rsidR="00FE0F75" w:rsidRPr="00610904">
        <w:rPr>
          <w:spacing w:val="-2"/>
          <w:sz w:val="20"/>
          <w:szCs w:val="20"/>
          <w:lang w:eastAsia="es-CR"/>
        </w:rPr>
        <w:t xml:space="preserve"> </w:t>
      </w:r>
      <w:r w:rsidR="002112A8" w:rsidRPr="00610904">
        <w:rPr>
          <w:spacing w:val="-2"/>
          <w:sz w:val="20"/>
          <w:szCs w:val="20"/>
          <w:lang w:eastAsia="es-CR"/>
        </w:rPr>
        <w:t>paragraphs</w:t>
      </w:r>
      <w:r w:rsidR="004A6E8B" w:rsidRPr="00610904">
        <w:rPr>
          <w:rFonts w:eastAsia="Batang" w:cs="Times"/>
          <w:spacing w:val="-2"/>
          <w:sz w:val="20"/>
          <w:szCs w:val="20"/>
        </w:rPr>
        <w:t xml:space="preserve"> 211 to</w:t>
      </w:r>
      <w:r w:rsidR="00BD0379" w:rsidRPr="00610904">
        <w:rPr>
          <w:rFonts w:eastAsia="Batang" w:cs="Times"/>
          <w:spacing w:val="-2"/>
          <w:sz w:val="20"/>
          <w:szCs w:val="20"/>
        </w:rPr>
        <w:t xml:space="preserve"> 229</w:t>
      </w:r>
      <w:r w:rsidR="00FE0F75" w:rsidRPr="00610904">
        <w:rPr>
          <w:rFonts w:eastAsia="Batang" w:cs="Times"/>
          <w:spacing w:val="-2"/>
          <w:sz w:val="20"/>
          <w:szCs w:val="20"/>
        </w:rPr>
        <w:t xml:space="preserve"> </w:t>
      </w:r>
      <w:r w:rsidR="004A6E8B" w:rsidRPr="00610904">
        <w:rPr>
          <w:rFonts w:eastAsia="Batang" w:cs="Times"/>
          <w:spacing w:val="-2"/>
          <w:sz w:val="20"/>
          <w:szCs w:val="20"/>
        </w:rPr>
        <w:t>of this Judgment</w:t>
      </w:r>
      <w:r w:rsidR="00FE0F75" w:rsidRPr="00610904">
        <w:rPr>
          <w:rFonts w:eastAsia="Batang" w:cs="Times"/>
          <w:spacing w:val="-2"/>
          <w:sz w:val="20"/>
          <w:szCs w:val="20"/>
        </w:rPr>
        <w:t>.</w:t>
      </w:r>
    </w:p>
    <w:p w:rsidR="00FE0F75" w:rsidRPr="00610904" w:rsidRDefault="00FE0F75" w:rsidP="00610904">
      <w:pPr>
        <w:pStyle w:val="Default"/>
        <w:jc w:val="both"/>
        <w:rPr>
          <w:sz w:val="20"/>
          <w:szCs w:val="20"/>
          <w:lang w:eastAsia="es-CR"/>
        </w:rPr>
      </w:pPr>
    </w:p>
    <w:p w:rsidR="00FE0F75" w:rsidRPr="00610904" w:rsidRDefault="009F3D78" w:rsidP="00610904">
      <w:pPr>
        <w:pStyle w:val="Default"/>
        <w:numPr>
          <w:ilvl w:val="0"/>
          <w:numId w:val="15"/>
        </w:numPr>
        <w:ind w:left="0" w:firstLine="0"/>
        <w:jc w:val="both"/>
        <w:rPr>
          <w:rFonts w:eastAsia="Batang" w:cs="Times"/>
          <w:spacing w:val="-2"/>
          <w:sz w:val="20"/>
          <w:szCs w:val="20"/>
        </w:rPr>
      </w:pPr>
      <w:r w:rsidRPr="00610904">
        <w:rPr>
          <w:sz w:val="20"/>
          <w:szCs w:val="20"/>
          <w:lang w:eastAsia="es-CR"/>
        </w:rPr>
        <w:t>The State</w:t>
      </w:r>
      <w:r w:rsidR="00FE0F75" w:rsidRPr="00610904">
        <w:rPr>
          <w:sz w:val="20"/>
          <w:szCs w:val="20"/>
          <w:lang w:eastAsia="es-CR"/>
        </w:rPr>
        <w:t xml:space="preserve"> </w:t>
      </w:r>
      <w:r w:rsidR="004A6E8B" w:rsidRPr="00610904">
        <w:rPr>
          <w:sz w:val="20"/>
          <w:szCs w:val="20"/>
          <w:lang w:eastAsia="es-CR"/>
        </w:rPr>
        <w:t>is responsible for the violation</w:t>
      </w:r>
      <w:r w:rsidR="004176AB" w:rsidRPr="00610904">
        <w:rPr>
          <w:sz w:val="20"/>
          <w:szCs w:val="20"/>
          <w:lang w:eastAsia="es-CR"/>
        </w:rPr>
        <w:t xml:space="preserve"> </w:t>
      </w:r>
      <w:r w:rsidR="004A6E8B" w:rsidRPr="00610904">
        <w:rPr>
          <w:sz w:val="20"/>
          <w:szCs w:val="20"/>
          <w:lang w:eastAsia="es-CR"/>
        </w:rPr>
        <w:t xml:space="preserve">of the </w:t>
      </w:r>
      <w:r w:rsidR="007D72DC" w:rsidRPr="00610904">
        <w:rPr>
          <w:sz w:val="20"/>
          <w:szCs w:val="20"/>
          <w:lang w:eastAsia="es-CR"/>
        </w:rPr>
        <w:t>right to education</w:t>
      </w:r>
      <w:r w:rsidR="005D06FD" w:rsidRPr="00610904">
        <w:rPr>
          <w:sz w:val="20"/>
          <w:szCs w:val="20"/>
          <w:lang w:eastAsia="es-CR"/>
        </w:rPr>
        <w:t xml:space="preserve"> </w:t>
      </w:r>
      <w:r w:rsidR="004A6E8B" w:rsidRPr="00610904">
        <w:rPr>
          <w:sz w:val="20"/>
          <w:szCs w:val="20"/>
          <w:lang w:eastAsia="es-CR"/>
        </w:rPr>
        <w:t>recognized in Article</w:t>
      </w:r>
      <w:r w:rsidR="00D93F16" w:rsidRPr="00610904">
        <w:rPr>
          <w:sz w:val="20"/>
          <w:szCs w:val="20"/>
          <w:lang w:eastAsia="es-CR"/>
        </w:rPr>
        <w:t xml:space="preserve"> 13 </w:t>
      </w:r>
      <w:r w:rsidR="004A6E8B" w:rsidRPr="00610904">
        <w:rPr>
          <w:sz w:val="20"/>
          <w:szCs w:val="20"/>
          <w:lang w:eastAsia="es-CR"/>
        </w:rPr>
        <w:t xml:space="preserve">of the </w:t>
      </w:r>
      <w:r w:rsidR="00852A2E" w:rsidRPr="00610904">
        <w:rPr>
          <w:sz w:val="20"/>
          <w:szCs w:val="20"/>
          <w:lang w:eastAsia="es-CR"/>
        </w:rPr>
        <w:t>Protocol of</w:t>
      </w:r>
      <w:r w:rsidR="00D93F16" w:rsidRPr="00610904">
        <w:rPr>
          <w:sz w:val="20"/>
          <w:szCs w:val="20"/>
          <w:lang w:eastAsia="es-CR"/>
        </w:rPr>
        <w:t xml:space="preserve"> San Salvador</w:t>
      </w:r>
      <w:r w:rsidR="005D06FD" w:rsidRPr="00610904">
        <w:rPr>
          <w:sz w:val="20"/>
          <w:szCs w:val="20"/>
          <w:lang w:eastAsia="es-CR"/>
        </w:rPr>
        <w:t>,</w:t>
      </w:r>
      <w:r w:rsidR="00D93F16" w:rsidRPr="00610904">
        <w:rPr>
          <w:sz w:val="20"/>
          <w:szCs w:val="20"/>
          <w:lang w:eastAsia="es-CR"/>
        </w:rPr>
        <w:t xml:space="preserve"> </w:t>
      </w:r>
      <w:r w:rsidR="004A6E8B" w:rsidRPr="00610904">
        <w:rPr>
          <w:sz w:val="20"/>
          <w:szCs w:val="20"/>
          <w:lang w:eastAsia="es-CR"/>
        </w:rPr>
        <w:t>in relation to</w:t>
      </w:r>
      <w:r w:rsidR="00D93F16" w:rsidRPr="00610904">
        <w:rPr>
          <w:sz w:val="20"/>
          <w:szCs w:val="20"/>
          <w:lang w:eastAsia="es-CR"/>
        </w:rPr>
        <w:t xml:space="preserve"> </w:t>
      </w:r>
      <w:r w:rsidR="006E502B" w:rsidRPr="00610904">
        <w:rPr>
          <w:sz w:val="20"/>
          <w:szCs w:val="20"/>
          <w:lang w:eastAsia="es-CR"/>
        </w:rPr>
        <w:t>Articles 1(1)</w:t>
      </w:r>
      <w:r w:rsidRPr="00610904">
        <w:rPr>
          <w:sz w:val="20"/>
          <w:szCs w:val="20"/>
          <w:lang w:eastAsia="es-CR"/>
        </w:rPr>
        <w:t xml:space="preserve"> and </w:t>
      </w:r>
      <w:r w:rsidR="00D93F16" w:rsidRPr="00610904">
        <w:rPr>
          <w:sz w:val="20"/>
          <w:szCs w:val="20"/>
          <w:lang w:eastAsia="es-CR"/>
        </w:rPr>
        <w:t>19</w:t>
      </w:r>
      <w:r w:rsidRPr="00610904">
        <w:rPr>
          <w:sz w:val="20"/>
          <w:szCs w:val="20"/>
          <w:lang w:eastAsia="es-CR"/>
        </w:rPr>
        <w:t xml:space="preserve"> of the American Convention</w:t>
      </w:r>
      <w:r w:rsidR="00FE0F75" w:rsidRPr="00610904">
        <w:rPr>
          <w:sz w:val="20"/>
          <w:szCs w:val="20"/>
          <w:lang w:eastAsia="es-CR"/>
        </w:rPr>
        <w:t xml:space="preserve">, </w:t>
      </w:r>
      <w:r w:rsidR="004A6E8B" w:rsidRPr="00610904">
        <w:rPr>
          <w:sz w:val="20"/>
          <w:szCs w:val="20"/>
          <w:lang w:eastAsia="es-CR"/>
        </w:rPr>
        <w:t>to the detriment of</w:t>
      </w:r>
      <w:r w:rsidR="00D93F16" w:rsidRPr="00610904">
        <w:rPr>
          <w:sz w:val="20"/>
          <w:szCs w:val="20"/>
          <w:lang w:eastAsia="es-CR"/>
        </w:rPr>
        <w:t xml:space="preserve"> </w:t>
      </w:r>
      <w:r w:rsidR="00CD3738" w:rsidRPr="00610904">
        <w:rPr>
          <w:rFonts w:cs="Arial"/>
          <w:sz w:val="20"/>
          <w:szCs w:val="20"/>
        </w:rPr>
        <w:t>Talía</w:t>
      </w:r>
      <w:r w:rsidR="00FE0F75" w:rsidRPr="00610904">
        <w:rPr>
          <w:rFonts w:cs="Arial"/>
          <w:sz w:val="20"/>
          <w:szCs w:val="20"/>
        </w:rPr>
        <w:t xml:space="preserve"> Gabriela Gonzales Lluy</w:t>
      </w:r>
      <w:r w:rsidR="005D06FD" w:rsidRPr="00610904">
        <w:rPr>
          <w:rFonts w:cs="Arial"/>
          <w:sz w:val="20"/>
          <w:szCs w:val="20"/>
        </w:rPr>
        <w:t xml:space="preserve">, </w:t>
      </w:r>
      <w:r w:rsidR="004A6E8B" w:rsidRPr="00610904">
        <w:rPr>
          <w:sz w:val="20"/>
          <w:szCs w:val="20"/>
        </w:rPr>
        <w:t>in accordance with</w:t>
      </w:r>
      <w:r w:rsidR="00FE0F75" w:rsidRPr="00610904">
        <w:rPr>
          <w:spacing w:val="-2"/>
          <w:sz w:val="20"/>
          <w:szCs w:val="20"/>
          <w:lang w:eastAsia="es-CR"/>
        </w:rPr>
        <w:t xml:space="preserve"> </w:t>
      </w:r>
      <w:r w:rsidR="002112A8" w:rsidRPr="00610904">
        <w:rPr>
          <w:spacing w:val="-2"/>
          <w:sz w:val="20"/>
          <w:szCs w:val="20"/>
          <w:lang w:eastAsia="es-CR"/>
        </w:rPr>
        <w:t>paragraphs</w:t>
      </w:r>
      <w:r w:rsidR="004A6E8B" w:rsidRPr="00610904">
        <w:rPr>
          <w:rFonts w:eastAsia="Batang" w:cs="Times"/>
          <w:spacing w:val="-2"/>
          <w:sz w:val="20"/>
          <w:szCs w:val="20"/>
        </w:rPr>
        <w:t xml:space="preserve"> 233 to</w:t>
      </w:r>
      <w:r w:rsidR="00BD0379" w:rsidRPr="00610904">
        <w:rPr>
          <w:rFonts w:eastAsia="Batang" w:cs="Times"/>
          <w:spacing w:val="-2"/>
          <w:sz w:val="20"/>
          <w:szCs w:val="20"/>
        </w:rPr>
        <w:t xml:space="preserve"> 291</w:t>
      </w:r>
      <w:r w:rsidR="00FE0F75" w:rsidRPr="00610904">
        <w:rPr>
          <w:rFonts w:eastAsia="Batang" w:cs="Times"/>
          <w:spacing w:val="-2"/>
          <w:sz w:val="20"/>
          <w:szCs w:val="20"/>
        </w:rPr>
        <w:t xml:space="preserve"> </w:t>
      </w:r>
      <w:r w:rsidR="004A6E8B" w:rsidRPr="00610904">
        <w:rPr>
          <w:rFonts w:eastAsia="Batang" w:cs="Times"/>
          <w:spacing w:val="-2"/>
          <w:sz w:val="20"/>
          <w:szCs w:val="20"/>
        </w:rPr>
        <w:t>of this Judgment</w:t>
      </w:r>
      <w:r w:rsidR="00FE0F75" w:rsidRPr="00610904">
        <w:rPr>
          <w:rFonts w:cs="Arial"/>
          <w:sz w:val="20"/>
          <w:szCs w:val="20"/>
        </w:rPr>
        <w:t>.</w:t>
      </w:r>
    </w:p>
    <w:p w:rsidR="00FE0F75" w:rsidRPr="00610904" w:rsidRDefault="00FE0F75" w:rsidP="00610904">
      <w:pPr>
        <w:pStyle w:val="Default"/>
        <w:jc w:val="both"/>
        <w:rPr>
          <w:rFonts w:eastAsia="Batang" w:cs="Times"/>
          <w:spacing w:val="-2"/>
          <w:sz w:val="20"/>
          <w:szCs w:val="20"/>
        </w:rPr>
      </w:pPr>
    </w:p>
    <w:p w:rsidR="00FE0F75" w:rsidRPr="00610904" w:rsidRDefault="009F3D78" w:rsidP="00610904">
      <w:pPr>
        <w:pStyle w:val="Default"/>
        <w:numPr>
          <w:ilvl w:val="0"/>
          <w:numId w:val="15"/>
        </w:numPr>
        <w:ind w:left="0" w:firstLine="0"/>
        <w:jc w:val="both"/>
        <w:rPr>
          <w:rFonts w:eastAsia="Batang" w:cs="Times"/>
          <w:spacing w:val="-2"/>
          <w:sz w:val="20"/>
          <w:szCs w:val="20"/>
        </w:rPr>
      </w:pPr>
      <w:r w:rsidRPr="00610904">
        <w:rPr>
          <w:sz w:val="20"/>
          <w:szCs w:val="20"/>
          <w:lang w:eastAsia="es-CR"/>
        </w:rPr>
        <w:t>The State</w:t>
      </w:r>
      <w:r w:rsidR="00FE0F75" w:rsidRPr="00610904">
        <w:rPr>
          <w:sz w:val="20"/>
          <w:szCs w:val="20"/>
          <w:lang w:eastAsia="es-CR"/>
        </w:rPr>
        <w:t xml:space="preserve"> </w:t>
      </w:r>
      <w:r w:rsidR="004A6E8B" w:rsidRPr="00610904">
        <w:rPr>
          <w:sz w:val="20"/>
          <w:szCs w:val="20"/>
          <w:lang w:eastAsia="es-CR"/>
        </w:rPr>
        <w:t>is responsible for the violation</w:t>
      </w:r>
      <w:r w:rsidR="004176AB" w:rsidRPr="00610904">
        <w:rPr>
          <w:sz w:val="20"/>
          <w:szCs w:val="20"/>
          <w:lang w:eastAsia="es-CR"/>
        </w:rPr>
        <w:t xml:space="preserve"> </w:t>
      </w:r>
      <w:r w:rsidR="004A6E8B" w:rsidRPr="00610904">
        <w:rPr>
          <w:sz w:val="20"/>
          <w:szCs w:val="20"/>
          <w:lang w:eastAsia="es-CR"/>
        </w:rPr>
        <w:t>of the judicial guarantee of a reasonable time</w:t>
      </w:r>
      <w:r w:rsidR="005D06FD" w:rsidRPr="00610904">
        <w:rPr>
          <w:sz w:val="20"/>
          <w:szCs w:val="20"/>
          <w:lang w:eastAsia="es-CR"/>
        </w:rPr>
        <w:t xml:space="preserve"> </w:t>
      </w:r>
      <w:r w:rsidR="004A6E8B" w:rsidRPr="00610904">
        <w:rPr>
          <w:sz w:val="20"/>
          <w:szCs w:val="20"/>
          <w:lang w:eastAsia="es-CR"/>
        </w:rPr>
        <w:t xml:space="preserve">in the </w:t>
      </w:r>
      <w:r w:rsidR="00521F86" w:rsidRPr="00610904">
        <w:rPr>
          <w:sz w:val="20"/>
          <w:szCs w:val="20"/>
          <w:lang w:eastAsia="es-CR"/>
        </w:rPr>
        <w:t xml:space="preserve">criminal </w:t>
      </w:r>
      <w:r w:rsidR="0051335D" w:rsidRPr="00610904">
        <w:rPr>
          <w:sz w:val="20"/>
          <w:szCs w:val="20"/>
          <w:lang w:eastAsia="es-CR"/>
        </w:rPr>
        <w:t>proceedings</w:t>
      </w:r>
      <w:r w:rsidR="005D06FD" w:rsidRPr="00610904">
        <w:rPr>
          <w:sz w:val="20"/>
          <w:szCs w:val="20"/>
          <w:lang w:eastAsia="es-CR"/>
        </w:rPr>
        <w:t xml:space="preserve"> </w:t>
      </w:r>
      <w:r w:rsidR="004A6E8B" w:rsidRPr="00610904">
        <w:rPr>
          <w:sz w:val="20"/>
          <w:szCs w:val="20"/>
          <w:lang w:eastAsia="es-CR"/>
        </w:rPr>
        <w:t>recognized in</w:t>
      </w:r>
      <w:r w:rsidR="00FE0F75" w:rsidRPr="00610904">
        <w:rPr>
          <w:sz w:val="20"/>
          <w:szCs w:val="20"/>
          <w:lang w:eastAsia="es-CR"/>
        </w:rPr>
        <w:t xml:space="preserve"> </w:t>
      </w:r>
      <w:r w:rsidRPr="00610904">
        <w:rPr>
          <w:sz w:val="20"/>
          <w:szCs w:val="20"/>
          <w:lang w:eastAsia="es-CR"/>
        </w:rPr>
        <w:t>Article</w:t>
      </w:r>
      <w:r w:rsidR="00FE0F75" w:rsidRPr="00610904">
        <w:rPr>
          <w:sz w:val="20"/>
          <w:szCs w:val="20"/>
          <w:lang w:eastAsia="es-CR"/>
        </w:rPr>
        <w:t xml:space="preserve"> </w:t>
      </w:r>
      <w:r w:rsidR="004A6E8B" w:rsidRPr="00610904">
        <w:rPr>
          <w:sz w:val="20"/>
          <w:szCs w:val="20"/>
          <w:lang w:eastAsia="es-CR"/>
        </w:rPr>
        <w:t>8(1)</w:t>
      </w:r>
      <w:r w:rsidRPr="00610904">
        <w:rPr>
          <w:sz w:val="20"/>
          <w:szCs w:val="20"/>
          <w:lang w:eastAsia="es-CR"/>
        </w:rPr>
        <w:t xml:space="preserve"> of the American Convention</w:t>
      </w:r>
      <w:r w:rsidR="003A6971" w:rsidRPr="00610904">
        <w:rPr>
          <w:sz w:val="20"/>
          <w:szCs w:val="20"/>
          <w:lang w:eastAsia="es-CR"/>
        </w:rPr>
        <w:t xml:space="preserve">, </w:t>
      </w:r>
      <w:r w:rsidR="004A6E8B" w:rsidRPr="00610904">
        <w:rPr>
          <w:sz w:val="20"/>
          <w:szCs w:val="20"/>
          <w:lang w:eastAsia="es-CR"/>
        </w:rPr>
        <w:t>in relation to</w:t>
      </w:r>
      <w:r w:rsidR="003A6971" w:rsidRPr="00610904">
        <w:rPr>
          <w:sz w:val="20"/>
          <w:szCs w:val="20"/>
          <w:lang w:eastAsia="es-CR"/>
        </w:rPr>
        <w:t xml:space="preserve"> </w:t>
      </w:r>
      <w:r w:rsidRPr="00610904">
        <w:rPr>
          <w:sz w:val="20"/>
          <w:szCs w:val="20"/>
          <w:lang w:eastAsia="es-CR"/>
        </w:rPr>
        <w:t>Articles</w:t>
      </w:r>
      <w:r w:rsidR="003A6971" w:rsidRPr="00610904">
        <w:rPr>
          <w:sz w:val="20"/>
          <w:szCs w:val="20"/>
          <w:lang w:eastAsia="es-CR"/>
        </w:rPr>
        <w:t xml:space="preserve"> 19</w:t>
      </w:r>
      <w:r w:rsidRPr="00610904">
        <w:rPr>
          <w:sz w:val="20"/>
          <w:szCs w:val="20"/>
          <w:lang w:eastAsia="es-CR"/>
        </w:rPr>
        <w:t xml:space="preserve"> and </w:t>
      </w:r>
      <w:r w:rsidR="004A6E8B" w:rsidRPr="00610904">
        <w:rPr>
          <w:sz w:val="20"/>
          <w:szCs w:val="20"/>
          <w:lang w:eastAsia="es-CR"/>
        </w:rPr>
        <w:t>1(</w:t>
      </w:r>
      <w:r w:rsidR="003A6971" w:rsidRPr="00610904">
        <w:rPr>
          <w:sz w:val="20"/>
          <w:szCs w:val="20"/>
          <w:lang w:eastAsia="es-CR"/>
        </w:rPr>
        <w:t>1</w:t>
      </w:r>
      <w:r w:rsidR="004A6E8B" w:rsidRPr="00610904">
        <w:rPr>
          <w:sz w:val="20"/>
          <w:szCs w:val="20"/>
          <w:lang w:eastAsia="es-CR"/>
        </w:rPr>
        <w:t>)</w:t>
      </w:r>
      <w:r w:rsidR="00FE0F75" w:rsidRPr="00610904">
        <w:rPr>
          <w:sz w:val="20"/>
          <w:szCs w:val="20"/>
          <w:lang w:eastAsia="es-CR"/>
        </w:rPr>
        <w:t xml:space="preserve"> </w:t>
      </w:r>
      <w:r w:rsidR="004A6E8B" w:rsidRPr="00610904">
        <w:rPr>
          <w:sz w:val="20"/>
          <w:szCs w:val="20"/>
          <w:lang w:eastAsia="es-CR"/>
        </w:rPr>
        <w:t>thereof</w:t>
      </w:r>
      <w:r w:rsidR="00FE0F75" w:rsidRPr="00610904">
        <w:rPr>
          <w:sz w:val="20"/>
          <w:szCs w:val="20"/>
          <w:lang w:eastAsia="es-CR"/>
        </w:rPr>
        <w:t xml:space="preserve">, </w:t>
      </w:r>
      <w:r w:rsidR="004A6E8B" w:rsidRPr="00610904">
        <w:rPr>
          <w:rFonts w:cs="Arial"/>
          <w:sz w:val="20"/>
          <w:szCs w:val="20"/>
          <w:lang w:eastAsia="es-MX"/>
        </w:rPr>
        <w:t>to the detriment of</w:t>
      </w:r>
      <w:r w:rsidR="00FE0F75" w:rsidRPr="00610904">
        <w:rPr>
          <w:rFonts w:cs="Arial"/>
          <w:sz w:val="20"/>
          <w:szCs w:val="20"/>
          <w:lang w:eastAsia="es-MX"/>
        </w:rPr>
        <w:t xml:space="preserve"> </w:t>
      </w:r>
      <w:r w:rsidR="00CD3738" w:rsidRPr="00610904">
        <w:rPr>
          <w:rFonts w:cs="Arial"/>
          <w:sz w:val="20"/>
          <w:szCs w:val="20"/>
        </w:rPr>
        <w:t>Talía</w:t>
      </w:r>
      <w:r w:rsidR="00FE0F75" w:rsidRPr="00610904">
        <w:rPr>
          <w:rFonts w:cs="Arial"/>
          <w:sz w:val="20"/>
          <w:szCs w:val="20"/>
        </w:rPr>
        <w:t xml:space="preserve"> Gabriela Gonzales Lluy, </w:t>
      </w:r>
      <w:r w:rsidR="004A6E8B" w:rsidRPr="00610904">
        <w:rPr>
          <w:sz w:val="20"/>
          <w:szCs w:val="20"/>
        </w:rPr>
        <w:t>in accordance with</w:t>
      </w:r>
      <w:r w:rsidR="00FE0F75" w:rsidRPr="00610904">
        <w:rPr>
          <w:spacing w:val="-2"/>
          <w:sz w:val="20"/>
          <w:szCs w:val="20"/>
          <w:lang w:eastAsia="es-CR"/>
        </w:rPr>
        <w:t xml:space="preserve"> </w:t>
      </w:r>
      <w:r w:rsidR="002112A8" w:rsidRPr="00610904">
        <w:rPr>
          <w:spacing w:val="-2"/>
          <w:sz w:val="20"/>
          <w:szCs w:val="20"/>
          <w:lang w:eastAsia="es-CR"/>
        </w:rPr>
        <w:t>paragraphs</w:t>
      </w:r>
      <w:r w:rsidR="00FE0F75" w:rsidRPr="00610904">
        <w:rPr>
          <w:rFonts w:eastAsia="Batang" w:cs="Times"/>
          <w:spacing w:val="-2"/>
          <w:sz w:val="20"/>
          <w:szCs w:val="20"/>
        </w:rPr>
        <w:t xml:space="preserve"> </w:t>
      </w:r>
      <w:r w:rsidR="004A6E8B" w:rsidRPr="00610904">
        <w:rPr>
          <w:rFonts w:eastAsia="Batang" w:cs="Times"/>
          <w:spacing w:val="-2"/>
          <w:sz w:val="20"/>
          <w:szCs w:val="20"/>
        </w:rPr>
        <w:t>298 to</w:t>
      </w:r>
      <w:r w:rsidR="00BD0379" w:rsidRPr="00610904">
        <w:rPr>
          <w:rFonts w:eastAsia="Batang" w:cs="Times"/>
          <w:spacing w:val="-2"/>
          <w:sz w:val="20"/>
          <w:szCs w:val="20"/>
        </w:rPr>
        <w:t xml:space="preserve"> 31</w:t>
      </w:r>
      <w:r w:rsidR="009D7989" w:rsidRPr="00610904">
        <w:rPr>
          <w:rFonts w:eastAsia="Batang" w:cs="Times"/>
          <w:spacing w:val="-2"/>
          <w:sz w:val="20"/>
          <w:szCs w:val="20"/>
        </w:rPr>
        <w:t>6</w:t>
      </w:r>
      <w:r w:rsidR="00FE0F75" w:rsidRPr="00610904">
        <w:rPr>
          <w:rFonts w:eastAsia="Batang" w:cs="Times"/>
          <w:spacing w:val="-2"/>
          <w:sz w:val="20"/>
          <w:szCs w:val="20"/>
        </w:rPr>
        <w:t xml:space="preserve"> </w:t>
      </w:r>
      <w:r w:rsidR="004A6E8B" w:rsidRPr="00610904">
        <w:rPr>
          <w:rFonts w:eastAsia="Batang" w:cs="Times"/>
          <w:spacing w:val="-2"/>
          <w:sz w:val="20"/>
          <w:szCs w:val="20"/>
        </w:rPr>
        <w:t>of this Judgment</w:t>
      </w:r>
      <w:r w:rsidR="00FE0F75" w:rsidRPr="00610904">
        <w:rPr>
          <w:rFonts w:cs="Arial"/>
          <w:sz w:val="20"/>
          <w:szCs w:val="20"/>
        </w:rPr>
        <w:t>.</w:t>
      </w:r>
    </w:p>
    <w:p w:rsidR="00FE0F75" w:rsidRPr="00610904" w:rsidRDefault="00FE0F75" w:rsidP="00610904">
      <w:pPr>
        <w:pStyle w:val="Default"/>
        <w:jc w:val="both"/>
        <w:rPr>
          <w:rFonts w:eastAsia="Batang" w:cs="Times"/>
          <w:spacing w:val="-2"/>
          <w:sz w:val="20"/>
          <w:szCs w:val="20"/>
        </w:rPr>
      </w:pPr>
    </w:p>
    <w:p w:rsidR="005C3B17" w:rsidRPr="00610904" w:rsidRDefault="009F3D78" w:rsidP="00610904">
      <w:pPr>
        <w:pStyle w:val="Default"/>
        <w:numPr>
          <w:ilvl w:val="0"/>
          <w:numId w:val="15"/>
        </w:numPr>
        <w:ind w:left="0" w:firstLine="0"/>
        <w:jc w:val="both"/>
        <w:rPr>
          <w:rFonts w:eastAsia="Batang" w:cs="Times"/>
          <w:spacing w:val="-2"/>
          <w:sz w:val="20"/>
          <w:szCs w:val="20"/>
        </w:rPr>
      </w:pPr>
      <w:r w:rsidRPr="00610904">
        <w:rPr>
          <w:sz w:val="20"/>
          <w:szCs w:val="20"/>
          <w:lang w:eastAsia="es-CR"/>
        </w:rPr>
        <w:t>The State</w:t>
      </w:r>
      <w:r w:rsidR="00FE0F75" w:rsidRPr="00610904">
        <w:rPr>
          <w:sz w:val="20"/>
          <w:szCs w:val="20"/>
          <w:lang w:eastAsia="es-CR"/>
        </w:rPr>
        <w:t xml:space="preserve"> </w:t>
      </w:r>
      <w:r w:rsidR="004A6E8B" w:rsidRPr="00610904">
        <w:rPr>
          <w:sz w:val="20"/>
          <w:szCs w:val="20"/>
          <w:lang w:eastAsia="es-CR"/>
        </w:rPr>
        <w:t>is not responsible for the violation of the judicial guarantee of a reasonab</w:t>
      </w:r>
      <w:r w:rsidR="0051335D" w:rsidRPr="00610904">
        <w:rPr>
          <w:sz w:val="20"/>
          <w:szCs w:val="20"/>
          <w:lang w:eastAsia="es-CR"/>
        </w:rPr>
        <w:t>le time in the civil proceedings</w:t>
      </w:r>
      <w:r w:rsidR="004A6E8B" w:rsidRPr="00610904">
        <w:rPr>
          <w:sz w:val="20"/>
          <w:szCs w:val="20"/>
          <w:lang w:eastAsia="es-CR"/>
        </w:rPr>
        <w:t xml:space="preserve"> recognized in </w:t>
      </w:r>
      <w:r w:rsidRPr="00610904">
        <w:rPr>
          <w:sz w:val="20"/>
          <w:szCs w:val="20"/>
          <w:lang w:eastAsia="es-CR"/>
        </w:rPr>
        <w:t>Article</w:t>
      </w:r>
      <w:r w:rsidR="005C3B17" w:rsidRPr="00610904">
        <w:rPr>
          <w:sz w:val="20"/>
          <w:szCs w:val="20"/>
          <w:lang w:eastAsia="es-CR"/>
        </w:rPr>
        <w:t xml:space="preserve"> </w:t>
      </w:r>
      <w:r w:rsidR="004A6E8B" w:rsidRPr="00610904">
        <w:rPr>
          <w:sz w:val="20"/>
          <w:szCs w:val="20"/>
          <w:lang w:eastAsia="es-CR"/>
        </w:rPr>
        <w:t>8(1)</w:t>
      </w:r>
      <w:r w:rsidRPr="00610904">
        <w:rPr>
          <w:sz w:val="20"/>
          <w:szCs w:val="20"/>
          <w:lang w:eastAsia="es-CR"/>
        </w:rPr>
        <w:t xml:space="preserve"> of the American Convention</w:t>
      </w:r>
      <w:r w:rsidR="005C3B17" w:rsidRPr="00610904">
        <w:rPr>
          <w:sz w:val="20"/>
          <w:szCs w:val="20"/>
          <w:lang w:eastAsia="es-CR"/>
        </w:rPr>
        <w:t xml:space="preserve">, </w:t>
      </w:r>
      <w:r w:rsidR="004A6E8B" w:rsidRPr="00610904">
        <w:rPr>
          <w:sz w:val="20"/>
          <w:szCs w:val="20"/>
          <w:lang w:eastAsia="es-CR"/>
        </w:rPr>
        <w:t>in relation to</w:t>
      </w:r>
      <w:r w:rsidR="005C3B17" w:rsidRPr="00610904">
        <w:rPr>
          <w:sz w:val="20"/>
          <w:szCs w:val="20"/>
          <w:lang w:eastAsia="es-CR"/>
        </w:rPr>
        <w:t xml:space="preserve"> </w:t>
      </w:r>
      <w:r w:rsidRPr="00610904">
        <w:rPr>
          <w:sz w:val="20"/>
          <w:szCs w:val="20"/>
          <w:lang w:eastAsia="es-CR"/>
        </w:rPr>
        <w:t>Articles</w:t>
      </w:r>
      <w:r w:rsidR="005C3B17" w:rsidRPr="00610904">
        <w:rPr>
          <w:sz w:val="20"/>
          <w:szCs w:val="20"/>
          <w:lang w:eastAsia="es-CR"/>
        </w:rPr>
        <w:t xml:space="preserve"> 19</w:t>
      </w:r>
      <w:r w:rsidRPr="00610904">
        <w:rPr>
          <w:sz w:val="20"/>
          <w:szCs w:val="20"/>
          <w:lang w:eastAsia="es-CR"/>
        </w:rPr>
        <w:t xml:space="preserve"> and </w:t>
      </w:r>
      <w:r w:rsidR="004A6E8B" w:rsidRPr="00610904">
        <w:rPr>
          <w:sz w:val="20"/>
          <w:szCs w:val="20"/>
          <w:lang w:eastAsia="es-CR"/>
        </w:rPr>
        <w:t>1(</w:t>
      </w:r>
      <w:r w:rsidR="005C3B17" w:rsidRPr="00610904">
        <w:rPr>
          <w:sz w:val="20"/>
          <w:szCs w:val="20"/>
          <w:lang w:eastAsia="es-CR"/>
        </w:rPr>
        <w:t>1</w:t>
      </w:r>
      <w:r w:rsidR="004A6E8B" w:rsidRPr="00610904">
        <w:rPr>
          <w:sz w:val="20"/>
          <w:szCs w:val="20"/>
          <w:lang w:eastAsia="es-CR"/>
        </w:rPr>
        <w:t>)</w:t>
      </w:r>
      <w:r w:rsidR="005C3B17" w:rsidRPr="00610904">
        <w:rPr>
          <w:sz w:val="20"/>
          <w:szCs w:val="20"/>
          <w:lang w:eastAsia="es-CR"/>
        </w:rPr>
        <w:t xml:space="preserve"> </w:t>
      </w:r>
      <w:r w:rsidR="004A6E8B" w:rsidRPr="00610904">
        <w:rPr>
          <w:sz w:val="20"/>
          <w:szCs w:val="20"/>
          <w:lang w:eastAsia="es-CR"/>
        </w:rPr>
        <w:t>thereof</w:t>
      </w:r>
      <w:r w:rsidR="005C3B17" w:rsidRPr="00610904">
        <w:rPr>
          <w:sz w:val="20"/>
          <w:szCs w:val="20"/>
          <w:lang w:eastAsia="es-CR"/>
        </w:rPr>
        <w:t xml:space="preserve">, </w:t>
      </w:r>
      <w:r w:rsidR="004A6E8B" w:rsidRPr="00610904">
        <w:rPr>
          <w:rFonts w:cs="Arial"/>
          <w:sz w:val="20"/>
          <w:szCs w:val="20"/>
          <w:lang w:eastAsia="es-MX"/>
        </w:rPr>
        <w:t>to the detriment of</w:t>
      </w:r>
      <w:r w:rsidR="005C3B17" w:rsidRPr="00610904">
        <w:rPr>
          <w:rFonts w:cs="Arial"/>
          <w:sz w:val="20"/>
          <w:szCs w:val="20"/>
          <w:lang w:eastAsia="es-MX"/>
        </w:rPr>
        <w:t xml:space="preserve"> </w:t>
      </w:r>
      <w:r w:rsidR="00CD3738" w:rsidRPr="00610904">
        <w:rPr>
          <w:rFonts w:cs="Arial"/>
          <w:sz w:val="20"/>
          <w:szCs w:val="20"/>
        </w:rPr>
        <w:t>Talía</w:t>
      </w:r>
      <w:r w:rsidR="005C3B17" w:rsidRPr="00610904">
        <w:rPr>
          <w:rFonts w:cs="Arial"/>
          <w:sz w:val="20"/>
          <w:szCs w:val="20"/>
        </w:rPr>
        <w:t xml:space="preserve"> Gabriela Gonzales Lluy, </w:t>
      </w:r>
      <w:r w:rsidR="004A6E8B" w:rsidRPr="00610904">
        <w:rPr>
          <w:sz w:val="20"/>
          <w:szCs w:val="20"/>
        </w:rPr>
        <w:t>in accordance with</w:t>
      </w:r>
      <w:r w:rsidR="005C3B17" w:rsidRPr="00610904">
        <w:rPr>
          <w:spacing w:val="-2"/>
          <w:sz w:val="20"/>
          <w:szCs w:val="20"/>
          <w:lang w:eastAsia="es-CR"/>
        </w:rPr>
        <w:t xml:space="preserve"> </w:t>
      </w:r>
      <w:r w:rsidR="002112A8" w:rsidRPr="00610904">
        <w:rPr>
          <w:spacing w:val="-2"/>
          <w:sz w:val="20"/>
          <w:szCs w:val="20"/>
          <w:lang w:eastAsia="es-CR"/>
        </w:rPr>
        <w:t>paragraphs</w:t>
      </w:r>
      <w:r w:rsidR="005C3B17" w:rsidRPr="00610904">
        <w:rPr>
          <w:rFonts w:eastAsia="Batang" w:cs="Times"/>
          <w:spacing w:val="-2"/>
          <w:sz w:val="20"/>
          <w:szCs w:val="20"/>
        </w:rPr>
        <w:t xml:space="preserve"> </w:t>
      </w:r>
      <w:r w:rsidR="00BD0379" w:rsidRPr="00610904">
        <w:rPr>
          <w:rFonts w:eastAsia="Batang" w:cs="Times"/>
          <w:spacing w:val="-2"/>
          <w:sz w:val="20"/>
          <w:szCs w:val="20"/>
        </w:rPr>
        <w:t>322</w:t>
      </w:r>
      <w:r w:rsidRPr="00610904">
        <w:rPr>
          <w:rFonts w:eastAsia="Batang" w:cs="Times"/>
          <w:spacing w:val="-2"/>
          <w:sz w:val="20"/>
          <w:szCs w:val="20"/>
        </w:rPr>
        <w:t xml:space="preserve"> and </w:t>
      </w:r>
      <w:r w:rsidR="00BD0379" w:rsidRPr="00610904">
        <w:rPr>
          <w:rFonts w:eastAsia="Batang" w:cs="Times"/>
          <w:spacing w:val="-2"/>
          <w:sz w:val="20"/>
          <w:szCs w:val="20"/>
        </w:rPr>
        <w:t>32</w:t>
      </w:r>
      <w:r w:rsidR="009D7989" w:rsidRPr="00610904">
        <w:rPr>
          <w:rFonts w:eastAsia="Batang" w:cs="Times"/>
          <w:spacing w:val="-2"/>
          <w:sz w:val="20"/>
          <w:szCs w:val="20"/>
        </w:rPr>
        <w:t>7</w:t>
      </w:r>
      <w:r w:rsidR="005C3B17" w:rsidRPr="00610904">
        <w:rPr>
          <w:rFonts w:eastAsia="Batang" w:cs="Times"/>
          <w:spacing w:val="-2"/>
          <w:sz w:val="20"/>
          <w:szCs w:val="20"/>
        </w:rPr>
        <w:t xml:space="preserve"> </w:t>
      </w:r>
      <w:r w:rsidR="004A6E8B" w:rsidRPr="00610904">
        <w:rPr>
          <w:rFonts w:eastAsia="Batang" w:cs="Times"/>
          <w:spacing w:val="-2"/>
          <w:sz w:val="20"/>
          <w:szCs w:val="20"/>
        </w:rPr>
        <w:t>of this Judgment</w:t>
      </w:r>
      <w:r w:rsidR="005C3B17" w:rsidRPr="00610904">
        <w:rPr>
          <w:rFonts w:cs="Arial"/>
          <w:sz w:val="20"/>
          <w:szCs w:val="20"/>
        </w:rPr>
        <w:t>.</w:t>
      </w:r>
    </w:p>
    <w:p w:rsidR="0051335D" w:rsidRPr="00610904" w:rsidRDefault="0051335D" w:rsidP="00610904">
      <w:pPr>
        <w:pStyle w:val="ListParagraph"/>
        <w:rPr>
          <w:noProof w:val="0"/>
          <w:spacing w:val="-2"/>
          <w:szCs w:val="20"/>
          <w:lang w:val="en-US"/>
        </w:rPr>
      </w:pPr>
    </w:p>
    <w:p w:rsidR="0051335D" w:rsidRPr="00610904" w:rsidRDefault="0051335D" w:rsidP="00610904">
      <w:pPr>
        <w:pStyle w:val="Default"/>
        <w:numPr>
          <w:ilvl w:val="0"/>
          <w:numId w:val="15"/>
        </w:numPr>
        <w:ind w:left="0" w:firstLine="0"/>
        <w:jc w:val="both"/>
        <w:rPr>
          <w:rFonts w:eastAsia="Batang" w:cs="Times"/>
          <w:spacing w:val="-2"/>
          <w:sz w:val="20"/>
          <w:szCs w:val="20"/>
        </w:rPr>
      </w:pPr>
      <w:r w:rsidRPr="00610904">
        <w:rPr>
          <w:rFonts w:eastAsia="Batang" w:cs="Times"/>
          <w:spacing w:val="-2"/>
          <w:sz w:val="20"/>
          <w:szCs w:val="20"/>
        </w:rPr>
        <w:t>T</w:t>
      </w:r>
      <w:r w:rsidRPr="00610904">
        <w:rPr>
          <w:sz w:val="20"/>
          <w:szCs w:val="20"/>
          <w:lang w:eastAsia="es-CR"/>
        </w:rPr>
        <w:t xml:space="preserve">he State is not responsible for the violation of the right to judicial protection recognized in Article 25(1) of the American Convention, in relation to Article 1(1) thereof, </w:t>
      </w:r>
      <w:r w:rsidRPr="00610904">
        <w:rPr>
          <w:sz w:val="20"/>
          <w:szCs w:val="20"/>
        </w:rPr>
        <w:t>in accordance with</w:t>
      </w:r>
      <w:r w:rsidRPr="00610904">
        <w:rPr>
          <w:spacing w:val="-2"/>
          <w:sz w:val="20"/>
          <w:szCs w:val="20"/>
          <w:lang w:eastAsia="es-CR"/>
        </w:rPr>
        <w:t xml:space="preserve"> paragraphs</w:t>
      </w:r>
      <w:r w:rsidRPr="00610904">
        <w:rPr>
          <w:rFonts w:eastAsia="Batang" w:cs="Times"/>
          <w:spacing w:val="-2"/>
          <w:sz w:val="20"/>
          <w:szCs w:val="20"/>
        </w:rPr>
        <w:t xml:space="preserve"> 331 to 333 and 338 of this Judgment.</w:t>
      </w:r>
    </w:p>
    <w:p w:rsidR="003040F7" w:rsidRPr="00610904" w:rsidRDefault="003040F7" w:rsidP="00610904">
      <w:pPr>
        <w:pStyle w:val="Default"/>
        <w:jc w:val="both"/>
        <w:rPr>
          <w:rFonts w:ascii="Calibri" w:eastAsia="Batang" w:hAnsi="Calibri" w:cs="Times"/>
          <w:color w:val="auto"/>
          <w:spacing w:val="-2"/>
          <w:sz w:val="20"/>
          <w:szCs w:val="20"/>
        </w:rPr>
      </w:pPr>
    </w:p>
    <w:p w:rsidR="003040F7" w:rsidRPr="00610904" w:rsidRDefault="003040F7" w:rsidP="00610904">
      <w:pPr>
        <w:tabs>
          <w:tab w:val="left" w:pos="567"/>
          <w:tab w:val="left" w:pos="720"/>
        </w:tabs>
        <w:rPr>
          <w:rFonts w:cs="Verdana"/>
          <w:noProof w:val="0"/>
          <w:color w:val="000000"/>
          <w:spacing w:val="-2"/>
          <w:sz w:val="16"/>
          <w:szCs w:val="20"/>
          <w:lang w:val="en-US"/>
        </w:rPr>
      </w:pPr>
    </w:p>
    <w:p w:rsidR="003040F7" w:rsidRPr="00610904" w:rsidRDefault="004A6E8B" w:rsidP="00610904">
      <w:pPr>
        <w:tabs>
          <w:tab w:val="left" w:pos="567"/>
          <w:tab w:val="left" w:pos="720"/>
        </w:tabs>
        <w:rPr>
          <w:rFonts w:cs="Verdana"/>
          <w:b/>
          <w:noProof w:val="0"/>
          <w:color w:val="000000"/>
          <w:spacing w:val="-2"/>
          <w:szCs w:val="20"/>
          <w:lang w:val="en-US"/>
        </w:rPr>
      </w:pPr>
      <w:r w:rsidRPr="00610904">
        <w:rPr>
          <w:rFonts w:cs="Verdana"/>
          <w:b/>
          <w:noProof w:val="0"/>
          <w:color w:val="000000"/>
          <w:spacing w:val="-2"/>
          <w:szCs w:val="20"/>
          <w:lang w:val="en-US"/>
        </w:rPr>
        <w:t xml:space="preserve">AND ESTABLISHES, </w:t>
      </w:r>
    </w:p>
    <w:p w:rsidR="003040F7" w:rsidRPr="00610904" w:rsidRDefault="003040F7" w:rsidP="00610904">
      <w:pPr>
        <w:tabs>
          <w:tab w:val="left" w:pos="567"/>
          <w:tab w:val="left" w:pos="720"/>
        </w:tabs>
        <w:rPr>
          <w:rFonts w:cs="Verdana"/>
          <w:b/>
          <w:noProof w:val="0"/>
          <w:color w:val="000000"/>
          <w:spacing w:val="-2"/>
          <w:sz w:val="16"/>
          <w:szCs w:val="20"/>
          <w:lang w:val="en-US"/>
        </w:rPr>
      </w:pPr>
    </w:p>
    <w:p w:rsidR="003040F7" w:rsidRPr="00610904" w:rsidRDefault="004A6E8B" w:rsidP="00610904">
      <w:pPr>
        <w:tabs>
          <w:tab w:val="left" w:pos="720"/>
        </w:tabs>
        <w:rPr>
          <w:rFonts w:cs="Verdana"/>
          <w:noProof w:val="0"/>
          <w:color w:val="000000"/>
          <w:spacing w:val="-2"/>
          <w:szCs w:val="20"/>
          <w:lang w:val="en-US"/>
        </w:rPr>
      </w:pPr>
      <w:proofErr w:type="gramStart"/>
      <w:r w:rsidRPr="00610904">
        <w:rPr>
          <w:rFonts w:cs="Verdana"/>
          <w:noProof w:val="0"/>
          <w:color w:val="000000"/>
          <w:spacing w:val="-2"/>
          <w:szCs w:val="20"/>
          <w:lang w:val="en-US"/>
        </w:rPr>
        <w:t>unanimously</w:t>
      </w:r>
      <w:proofErr w:type="gramEnd"/>
      <w:r w:rsidRPr="00610904">
        <w:rPr>
          <w:rFonts w:cs="Verdana"/>
          <w:noProof w:val="0"/>
          <w:color w:val="000000"/>
          <w:spacing w:val="-2"/>
          <w:szCs w:val="20"/>
          <w:lang w:val="en-US"/>
        </w:rPr>
        <w:t>, that</w:t>
      </w:r>
      <w:r w:rsidR="003040F7" w:rsidRPr="00610904">
        <w:rPr>
          <w:rFonts w:cs="Verdana"/>
          <w:noProof w:val="0"/>
          <w:color w:val="000000"/>
          <w:spacing w:val="-2"/>
          <w:szCs w:val="20"/>
          <w:lang w:val="en-US"/>
        </w:rPr>
        <w:t>:</w:t>
      </w:r>
    </w:p>
    <w:p w:rsidR="003040F7" w:rsidRPr="00610904" w:rsidRDefault="003040F7" w:rsidP="00610904">
      <w:pPr>
        <w:tabs>
          <w:tab w:val="left" w:pos="567"/>
          <w:tab w:val="left" w:pos="720"/>
        </w:tabs>
        <w:rPr>
          <w:rFonts w:cs="Verdana"/>
          <w:noProof w:val="0"/>
          <w:color w:val="000000"/>
          <w:spacing w:val="-2"/>
          <w:sz w:val="16"/>
          <w:szCs w:val="20"/>
          <w:lang w:val="en-US"/>
        </w:rPr>
      </w:pPr>
    </w:p>
    <w:p w:rsidR="003040F7" w:rsidRPr="00610904" w:rsidRDefault="004A6E8B" w:rsidP="00610904">
      <w:pPr>
        <w:pStyle w:val="Default"/>
        <w:numPr>
          <w:ilvl w:val="0"/>
          <w:numId w:val="15"/>
        </w:numPr>
        <w:ind w:left="0" w:firstLine="0"/>
        <w:jc w:val="both"/>
        <w:rPr>
          <w:spacing w:val="-2"/>
          <w:sz w:val="20"/>
          <w:szCs w:val="20"/>
        </w:rPr>
      </w:pPr>
      <w:r w:rsidRPr="00610904">
        <w:rPr>
          <w:spacing w:val="-2"/>
          <w:sz w:val="20"/>
          <w:szCs w:val="20"/>
        </w:rPr>
        <w:t xml:space="preserve">This Judgment constitutes </w:t>
      </w:r>
      <w:r w:rsidR="003040F7" w:rsidRPr="00610904">
        <w:rPr>
          <w:i/>
          <w:spacing w:val="-2"/>
          <w:sz w:val="20"/>
          <w:szCs w:val="20"/>
        </w:rPr>
        <w:t>per se</w:t>
      </w:r>
      <w:r w:rsidRPr="00610904">
        <w:rPr>
          <w:spacing w:val="-2"/>
          <w:sz w:val="20"/>
          <w:szCs w:val="20"/>
        </w:rPr>
        <w:t xml:space="preserve"> a form of reparation</w:t>
      </w:r>
      <w:r w:rsidR="003040F7" w:rsidRPr="00610904">
        <w:rPr>
          <w:spacing w:val="-2"/>
          <w:sz w:val="20"/>
          <w:szCs w:val="20"/>
        </w:rPr>
        <w:t xml:space="preserve">. </w:t>
      </w:r>
    </w:p>
    <w:p w:rsidR="003040F7" w:rsidRPr="00610904" w:rsidRDefault="003040F7" w:rsidP="00610904">
      <w:pPr>
        <w:pStyle w:val="Default"/>
        <w:jc w:val="both"/>
        <w:rPr>
          <w:spacing w:val="-2"/>
          <w:sz w:val="16"/>
          <w:szCs w:val="20"/>
        </w:rPr>
      </w:pPr>
    </w:p>
    <w:p w:rsidR="003040F7" w:rsidRPr="00610904" w:rsidRDefault="009F3D78" w:rsidP="00610904">
      <w:pPr>
        <w:pStyle w:val="Default"/>
        <w:numPr>
          <w:ilvl w:val="0"/>
          <w:numId w:val="15"/>
        </w:numPr>
        <w:ind w:left="0" w:firstLine="0"/>
        <w:jc w:val="both"/>
        <w:rPr>
          <w:spacing w:val="-2"/>
          <w:sz w:val="20"/>
          <w:szCs w:val="20"/>
        </w:rPr>
      </w:pPr>
      <w:r w:rsidRPr="00610904">
        <w:rPr>
          <w:sz w:val="20"/>
          <w:szCs w:val="20"/>
        </w:rPr>
        <w:t>The State</w:t>
      </w:r>
      <w:r w:rsidR="003040F7" w:rsidRPr="00610904">
        <w:rPr>
          <w:spacing w:val="-2"/>
          <w:sz w:val="20"/>
          <w:szCs w:val="20"/>
        </w:rPr>
        <w:t xml:space="preserve"> </w:t>
      </w:r>
      <w:r w:rsidR="004A6E8B" w:rsidRPr="00610904">
        <w:rPr>
          <w:spacing w:val="-2"/>
          <w:sz w:val="20"/>
          <w:szCs w:val="20"/>
        </w:rPr>
        <w:t>must provide</w:t>
      </w:r>
      <w:r w:rsidR="0051335D" w:rsidRPr="00610904">
        <w:rPr>
          <w:spacing w:val="-2"/>
          <w:sz w:val="20"/>
          <w:szCs w:val="20"/>
        </w:rPr>
        <w:t xml:space="preserve"> </w:t>
      </w:r>
      <w:r w:rsidR="0051335D" w:rsidRPr="00610904">
        <w:rPr>
          <w:rFonts w:cs="Arial"/>
          <w:sz w:val="20"/>
          <w:szCs w:val="20"/>
        </w:rPr>
        <w:t>Talía Gabriela Gonzales Lluy</w:t>
      </w:r>
      <w:r w:rsidR="004A6E8B" w:rsidRPr="00610904">
        <w:rPr>
          <w:spacing w:val="-2"/>
          <w:sz w:val="20"/>
          <w:szCs w:val="20"/>
        </w:rPr>
        <w:t xml:space="preserve">, free of charge and </w:t>
      </w:r>
      <w:r w:rsidR="0051335D" w:rsidRPr="00610904">
        <w:rPr>
          <w:spacing w:val="-2"/>
          <w:sz w:val="20"/>
          <w:szCs w:val="20"/>
        </w:rPr>
        <w:t>promptly</w:t>
      </w:r>
      <w:r w:rsidR="004A6E8B" w:rsidRPr="00610904">
        <w:rPr>
          <w:spacing w:val="-2"/>
          <w:sz w:val="20"/>
          <w:szCs w:val="20"/>
        </w:rPr>
        <w:t xml:space="preserve">, </w:t>
      </w:r>
      <w:r w:rsidR="0051335D" w:rsidRPr="00610904">
        <w:rPr>
          <w:spacing w:val="-2"/>
          <w:sz w:val="20"/>
          <w:szCs w:val="20"/>
        </w:rPr>
        <w:t xml:space="preserve">with </w:t>
      </w:r>
      <w:r w:rsidR="004A6E8B" w:rsidRPr="00610904">
        <w:rPr>
          <w:spacing w:val="-2"/>
          <w:sz w:val="20"/>
          <w:szCs w:val="20"/>
        </w:rPr>
        <w:t xml:space="preserve">medical and psychological </w:t>
      </w:r>
      <w:r w:rsidR="0051335D" w:rsidRPr="00610904">
        <w:rPr>
          <w:spacing w:val="-2"/>
          <w:sz w:val="20"/>
          <w:szCs w:val="20"/>
        </w:rPr>
        <w:t>or psychiatric treatment</w:t>
      </w:r>
      <w:r w:rsidR="003040F7" w:rsidRPr="00610904">
        <w:rPr>
          <w:rFonts w:cs="Verdana-Italic"/>
          <w:spacing w:val="-2"/>
          <w:sz w:val="20"/>
          <w:szCs w:val="20"/>
          <w:lang w:bidi="en-US"/>
        </w:rPr>
        <w:t>,</w:t>
      </w:r>
      <w:r w:rsidR="003040F7" w:rsidRPr="00610904">
        <w:rPr>
          <w:spacing w:val="-2"/>
          <w:sz w:val="20"/>
          <w:szCs w:val="20"/>
        </w:rPr>
        <w:t xml:space="preserve"> inclu</w:t>
      </w:r>
      <w:r w:rsidR="004A6E8B" w:rsidRPr="00610904">
        <w:rPr>
          <w:spacing w:val="-2"/>
          <w:sz w:val="20"/>
          <w:szCs w:val="20"/>
        </w:rPr>
        <w:t>ding the provision o</w:t>
      </w:r>
      <w:r w:rsidR="0051335D" w:rsidRPr="00610904">
        <w:rPr>
          <w:spacing w:val="-2"/>
          <w:sz w:val="20"/>
          <w:szCs w:val="20"/>
        </w:rPr>
        <w:t>f the medicines she may require</w:t>
      </w:r>
      <w:r w:rsidR="004A6E8B" w:rsidRPr="00610904">
        <w:rPr>
          <w:spacing w:val="-2"/>
          <w:sz w:val="20"/>
          <w:szCs w:val="20"/>
        </w:rPr>
        <w:t xml:space="preserve"> also free of charge, </w:t>
      </w:r>
      <w:r w:rsidR="004A6E8B" w:rsidRPr="00610904">
        <w:rPr>
          <w:spacing w:val="-2"/>
          <w:sz w:val="20"/>
          <w:szCs w:val="20"/>
          <w:lang w:eastAsia="es-CR"/>
        </w:rPr>
        <w:t>in accordance with</w:t>
      </w:r>
      <w:r w:rsidR="003040F7" w:rsidRPr="00610904">
        <w:rPr>
          <w:spacing w:val="-2"/>
          <w:sz w:val="20"/>
          <w:szCs w:val="20"/>
          <w:lang w:eastAsia="es-CR"/>
        </w:rPr>
        <w:t xml:space="preserve"> </w:t>
      </w:r>
      <w:r w:rsidR="002112A8" w:rsidRPr="00610904">
        <w:rPr>
          <w:spacing w:val="-2"/>
          <w:sz w:val="20"/>
          <w:szCs w:val="20"/>
          <w:lang w:eastAsia="es-CR"/>
        </w:rPr>
        <w:t>paragraphs</w:t>
      </w:r>
      <w:r w:rsidR="003040F7" w:rsidRPr="00610904">
        <w:rPr>
          <w:spacing w:val="-2"/>
          <w:sz w:val="20"/>
          <w:szCs w:val="20"/>
          <w:lang w:eastAsia="es-CR"/>
        </w:rPr>
        <w:t xml:space="preserve"> </w:t>
      </w:r>
      <w:r w:rsidR="00A17642" w:rsidRPr="00610904">
        <w:rPr>
          <w:spacing w:val="-2"/>
          <w:sz w:val="20"/>
          <w:szCs w:val="20"/>
          <w:lang w:eastAsia="es-CR"/>
        </w:rPr>
        <w:t>35</w:t>
      </w:r>
      <w:r w:rsidR="003C0294" w:rsidRPr="00610904">
        <w:rPr>
          <w:spacing w:val="-2"/>
          <w:sz w:val="20"/>
          <w:szCs w:val="20"/>
          <w:lang w:eastAsia="es-CR"/>
        </w:rPr>
        <w:t>5</w:t>
      </w:r>
      <w:r w:rsidR="0051335D" w:rsidRPr="00610904">
        <w:rPr>
          <w:spacing w:val="-2"/>
          <w:sz w:val="20"/>
          <w:szCs w:val="20"/>
          <w:lang w:eastAsia="es-CR"/>
        </w:rPr>
        <w:t xml:space="preserve"> to </w:t>
      </w:r>
      <w:r w:rsidR="00A17642" w:rsidRPr="00610904">
        <w:rPr>
          <w:spacing w:val="-2"/>
          <w:sz w:val="20"/>
          <w:szCs w:val="20"/>
          <w:lang w:eastAsia="es-CR"/>
        </w:rPr>
        <w:t>36</w:t>
      </w:r>
      <w:r w:rsidR="003C0294" w:rsidRPr="00610904">
        <w:rPr>
          <w:spacing w:val="-2"/>
          <w:sz w:val="20"/>
          <w:szCs w:val="20"/>
          <w:lang w:eastAsia="es-CR"/>
        </w:rPr>
        <w:t>0</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lang w:eastAsia="es-CR"/>
        </w:rPr>
        <w:t>.</w:t>
      </w:r>
    </w:p>
    <w:p w:rsidR="003040F7" w:rsidRPr="00610904" w:rsidRDefault="003040F7" w:rsidP="00610904">
      <w:pPr>
        <w:pStyle w:val="Default"/>
        <w:jc w:val="both"/>
        <w:rPr>
          <w:spacing w:val="-2"/>
          <w:sz w:val="16"/>
          <w:szCs w:val="20"/>
        </w:rPr>
      </w:pPr>
    </w:p>
    <w:p w:rsidR="003040F7" w:rsidRPr="00610904" w:rsidRDefault="009F3D78" w:rsidP="00610904">
      <w:pPr>
        <w:pStyle w:val="Default"/>
        <w:numPr>
          <w:ilvl w:val="0"/>
          <w:numId w:val="15"/>
        </w:numPr>
        <w:ind w:left="0" w:firstLine="0"/>
        <w:jc w:val="both"/>
        <w:rPr>
          <w:spacing w:val="-2"/>
          <w:sz w:val="20"/>
          <w:szCs w:val="20"/>
        </w:rPr>
      </w:pPr>
      <w:r w:rsidRPr="00610904">
        <w:rPr>
          <w:spacing w:val="-2"/>
          <w:sz w:val="20"/>
          <w:szCs w:val="20"/>
        </w:rPr>
        <w:t>The State</w:t>
      </w:r>
      <w:r w:rsidR="003040F7" w:rsidRPr="00610904">
        <w:rPr>
          <w:spacing w:val="-2"/>
          <w:sz w:val="20"/>
          <w:szCs w:val="20"/>
        </w:rPr>
        <w:t xml:space="preserve"> </w:t>
      </w:r>
      <w:r w:rsidR="004A6E8B" w:rsidRPr="00610904">
        <w:rPr>
          <w:spacing w:val="-2"/>
          <w:sz w:val="20"/>
          <w:szCs w:val="20"/>
        </w:rPr>
        <w:t>must,</w:t>
      </w:r>
      <w:r w:rsidR="003040F7" w:rsidRPr="00610904">
        <w:rPr>
          <w:spacing w:val="-2"/>
          <w:sz w:val="20"/>
          <w:szCs w:val="20"/>
        </w:rPr>
        <w:t xml:space="preserve"> </w:t>
      </w:r>
      <w:r w:rsidR="004A6E8B" w:rsidRPr="00610904">
        <w:rPr>
          <w:spacing w:val="-2"/>
          <w:sz w:val="20"/>
          <w:szCs w:val="20"/>
        </w:rPr>
        <w:t>within six months</w:t>
      </w:r>
      <w:r w:rsidR="003040F7" w:rsidRPr="00610904">
        <w:rPr>
          <w:spacing w:val="-2"/>
          <w:sz w:val="20"/>
          <w:szCs w:val="20"/>
        </w:rPr>
        <w:t xml:space="preserve"> </w:t>
      </w:r>
      <w:r w:rsidR="004A6E8B" w:rsidRPr="00610904">
        <w:rPr>
          <w:spacing w:val="-2"/>
          <w:sz w:val="20"/>
          <w:szCs w:val="20"/>
        </w:rPr>
        <w:t>of notification of this Judgment</w:t>
      </w:r>
      <w:r w:rsidR="003040F7" w:rsidRPr="00610904">
        <w:rPr>
          <w:spacing w:val="-2"/>
          <w:sz w:val="20"/>
          <w:szCs w:val="20"/>
        </w:rPr>
        <w:t xml:space="preserve">, </w:t>
      </w:r>
      <w:r w:rsidR="004A6E8B" w:rsidRPr="00610904">
        <w:rPr>
          <w:spacing w:val="-2"/>
          <w:sz w:val="20"/>
          <w:szCs w:val="20"/>
        </w:rPr>
        <w:t xml:space="preserve">make the publications indicated in </w:t>
      </w:r>
      <w:r w:rsidR="00A8072E" w:rsidRPr="00610904">
        <w:rPr>
          <w:spacing w:val="-2"/>
          <w:sz w:val="20"/>
          <w:szCs w:val="20"/>
        </w:rPr>
        <w:t>paragraph</w:t>
      </w:r>
      <w:r w:rsidR="00A17642" w:rsidRPr="00610904">
        <w:rPr>
          <w:spacing w:val="-2"/>
          <w:sz w:val="20"/>
          <w:szCs w:val="20"/>
        </w:rPr>
        <w:t xml:space="preserve"> 36</w:t>
      </w:r>
      <w:r w:rsidR="003C0294" w:rsidRPr="00610904">
        <w:rPr>
          <w:spacing w:val="-2"/>
          <w:sz w:val="20"/>
          <w:szCs w:val="20"/>
        </w:rPr>
        <w:t>4</w:t>
      </w:r>
      <w:r w:rsidR="003040F7" w:rsidRPr="00610904">
        <w:rPr>
          <w:spacing w:val="-2"/>
          <w:sz w:val="20"/>
          <w:szCs w:val="20"/>
        </w:rPr>
        <w:t xml:space="preserve"> </w:t>
      </w:r>
      <w:r w:rsidR="004A6E8B" w:rsidRPr="00610904">
        <w:rPr>
          <w:spacing w:val="-2"/>
          <w:sz w:val="20"/>
          <w:szCs w:val="20"/>
        </w:rPr>
        <w:t>of this Judgment</w:t>
      </w:r>
      <w:r w:rsidR="003040F7" w:rsidRPr="00610904">
        <w:rPr>
          <w:spacing w:val="-2"/>
          <w:sz w:val="20"/>
          <w:szCs w:val="20"/>
        </w:rPr>
        <w:t>,</w:t>
      </w:r>
      <w:r w:rsidR="0051335D" w:rsidRPr="00610904">
        <w:rPr>
          <w:spacing w:val="-2"/>
          <w:sz w:val="20"/>
          <w:szCs w:val="20"/>
        </w:rPr>
        <w:t xml:space="preserve"> as determined herein. The</w:t>
      </w:r>
      <w:r w:rsidR="004A6E8B" w:rsidRPr="00610904">
        <w:rPr>
          <w:spacing w:val="-2"/>
          <w:sz w:val="20"/>
          <w:szCs w:val="20"/>
        </w:rPr>
        <w:t xml:space="preserve"> publication must remain on an official website for at least one year.</w:t>
      </w:r>
    </w:p>
    <w:p w:rsidR="003040F7" w:rsidRPr="00610904" w:rsidRDefault="003040F7" w:rsidP="00610904">
      <w:pPr>
        <w:pStyle w:val="Default"/>
        <w:jc w:val="both"/>
        <w:rPr>
          <w:spacing w:val="-2"/>
          <w:sz w:val="20"/>
          <w:szCs w:val="20"/>
        </w:rPr>
      </w:pPr>
    </w:p>
    <w:p w:rsidR="003040F7" w:rsidRPr="00610904" w:rsidRDefault="009F3D78" w:rsidP="00610904">
      <w:pPr>
        <w:pStyle w:val="Default"/>
        <w:numPr>
          <w:ilvl w:val="0"/>
          <w:numId w:val="15"/>
        </w:numPr>
        <w:ind w:left="0" w:firstLine="0"/>
        <w:jc w:val="both"/>
        <w:rPr>
          <w:spacing w:val="-2"/>
          <w:sz w:val="20"/>
          <w:szCs w:val="20"/>
        </w:rPr>
      </w:pPr>
      <w:r w:rsidRPr="00610904">
        <w:rPr>
          <w:spacing w:val="-2"/>
          <w:sz w:val="20"/>
          <w:szCs w:val="20"/>
        </w:rPr>
        <w:t>The State</w:t>
      </w:r>
      <w:r w:rsidR="003040F7" w:rsidRPr="00610904">
        <w:rPr>
          <w:spacing w:val="-2"/>
          <w:sz w:val="20"/>
          <w:szCs w:val="20"/>
        </w:rPr>
        <w:t xml:space="preserve"> </w:t>
      </w:r>
      <w:r w:rsidR="004A6E8B" w:rsidRPr="00610904">
        <w:rPr>
          <w:spacing w:val="-2"/>
          <w:sz w:val="20"/>
          <w:szCs w:val="20"/>
        </w:rPr>
        <w:t>must, within one year</w:t>
      </w:r>
      <w:r w:rsidR="003040F7" w:rsidRPr="00610904">
        <w:rPr>
          <w:spacing w:val="-2"/>
          <w:sz w:val="20"/>
          <w:szCs w:val="20"/>
        </w:rPr>
        <w:t xml:space="preserve"> </w:t>
      </w:r>
      <w:r w:rsidR="004A6E8B" w:rsidRPr="00610904">
        <w:rPr>
          <w:spacing w:val="-2"/>
          <w:sz w:val="20"/>
          <w:szCs w:val="20"/>
        </w:rPr>
        <w:t>of notification of this Judgment</w:t>
      </w:r>
      <w:r w:rsidR="003040F7" w:rsidRPr="00610904">
        <w:rPr>
          <w:spacing w:val="-2"/>
          <w:sz w:val="20"/>
          <w:szCs w:val="20"/>
        </w:rPr>
        <w:t xml:space="preserve">, </w:t>
      </w:r>
      <w:r w:rsidR="0051335D" w:rsidRPr="00610904">
        <w:rPr>
          <w:spacing w:val="-2"/>
          <w:sz w:val="20"/>
          <w:szCs w:val="20"/>
        </w:rPr>
        <w:t>organize</w:t>
      </w:r>
      <w:r w:rsidR="004A6E8B" w:rsidRPr="00610904">
        <w:rPr>
          <w:spacing w:val="-2"/>
          <w:sz w:val="20"/>
          <w:szCs w:val="20"/>
        </w:rPr>
        <w:t xml:space="preserve"> the</w:t>
      </w:r>
      <w:r w:rsidR="003040F7" w:rsidRPr="00610904">
        <w:rPr>
          <w:spacing w:val="-2"/>
          <w:sz w:val="20"/>
          <w:szCs w:val="20"/>
        </w:rPr>
        <w:t xml:space="preserve"> </w:t>
      </w:r>
      <w:r w:rsidR="004A6E8B" w:rsidRPr="00610904">
        <w:rPr>
          <w:sz w:val="20"/>
        </w:rPr>
        <w:t>p</w:t>
      </w:r>
      <w:r w:rsidR="00B45E43" w:rsidRPr="00610904">
        <w:rPr>
          <w:sz w:val="20"/>
        </w:rPr>
        <w:t>ublic act to acknowledge international responsibility</w:t>
      </w:r>
      <w:r w:rsidR="003040F7" w:rsidRPr="00610904">
        <w:rPr>
          <w:spacing w:val="-2"/>
          <w:sz w:val="20"/>
          <w:szCs w:val="20"/>
        </w:rPr>
        <w:t xml:space="preserve"> indica</w:t>
      </w:r>
      <w:r w:rsidR="004A6E8B" w:rsidRPr="00610904">
        <w:rPr>
          <w:spacing w:val="-2"/>
          <w:sz w:val="20"/>
          <w:szCs w:val="20"/>
        </w:rPr>
        <w:t>ted in</w:t>
      </w:r>
      <w:r w:rsidR="003040F7" w:rsidRPr="00610904">
        <w:rPr>
          <w:spacing w:val="-2"/>
          <w:sz w:val="20"/>
          <w:szCs w:val="20"/>
        </w:rPr>
        <w:t xml:space="preserve"> </w:t>
      </w:r>
      <w:r w:rsidR="00A8072E" w:rsidRPr="00610904">
        <w:rPr>
          <w:spacing w:val="-2"/>
          <w:sz w:val="20"/>
          <w:szCs w:val="20"/>
        </w:rPr>
        <w:t>paragraph</w:t>
      </w:r>
      <w:r w:rsidR="003040F7" w:rsidRPr="00610904">
        <w:rPr>
          <w:spacing w:val="-2"/>
          <w:sz w:val="20"/>
          <w:szCs w:val="20"/>
        </w:rPr>
        <w:t xml:space="preserve"> </w:t>
      </w:r>
      <w:r w:rsidR="00662F1A" w:rsidRPr="00610904">
        <w:rPr>
          <w:spacing w:val="-2"/>
          <w:sz w:val="20"/>
          <w:szCs w:val="20"/>
        </w:rPr>
        <w:t>3</w:t>
      </w:r>
      <w:r w:rsidR="003C0294" w:rsidRPr="00610904">
        <w:rPr>
          <w:spacing w:val="-2"/>
          <w:sz w:val="20"/>
          <w:szCs w:val="20"/>
        </w:rPr>
        <w:t>68</w:t>
      </w:r>
      <w:r w:rsidR="003040F7" w:rsidRPr="00610904">
        <w:rPr>
          <w:spacing w:val="-2"/>
          <w:sz w:val="20"/>
          <w:szCs w:val="20"/>
        </w:rPr>
        <w:t xml:space="preserve"> </w:t>
      </w:r>
      <w:r w:rsidR="004A6E8B" w:rsidRPr="00610904">
        <w:rPr>
          <w:spacing w:val="-2"/>
          <w:sz w:val="20"/>
          <w:szCs w:val="20"/>
        </w:rPr>
        <w:t>of this Judgment</w:t>
      </w:r>
      <w:r w:rsidR="003040F7" w:rsidRPr="00610904">
        <w:rPr>
          <w:spacing w:val="-2"/>
          <w:sz w:val="20"/>
          <w:szCs w:val="20"/>
        </w:rPr>
        <w:t>,</w:t>
      </w:r>
      <w:r w:rsidR="004A6E8B" w:rsidRPr="00610904">
        <w:rPr>
          <w:spacing w:val="-2"/>
          <w:sz w:val="20"/>
          <w:szCs w:val="20"/>
        </w:rPr>
        <w:t xml:space="preserve"> as established herein</w:t>
      </w:r>
      <w:r w:rsidR="003040F7" w:rsidRPr="00610904">
        <w:rPr>
          <w:spacing w:val="-2"/>
          <w:sz w:val="20"/>
          <w:szCs w:val="20"/>
        </w:rPr>
        <w:t xml:space="preserve">. </w:t>
      </w:r>
    </w:p>
    <w:p w:rsidR="003040F7" w:rsidRPr="00610904" w:rsidRDefault="003040F7" w:rsidP="00610904">
      <w:pPr>
        <w:pStyle w:val="MediumGrid1-Accent21"/>
        <w:autoSpaceDE w:val="0"/>
        <w:autoSpaceDN w:val="0"/>
        <w:adjustRightInd w:val="0"/>
        <w:ind w:left="0"/>
        <w:rPr>
          <w:noProof w:val="0"/>
          <w:spacing w:val="-2"/>
          <w:sz w:val="16"/>
          <w:szCs w:val="20"/>
          <w:lang w:val="en-US"/>
        </w:rPr>
      </w:pPr>
    </w:p>
    <w:p w:rsidR="003040F7" w:rsidRPr="00610904" w:rsidRDefault="009F3D78" w:rsidP="00610904">
      <w:pPr>
        <w:pStyle w:val="Default"/>
        <w:numPr>
          <w:ilvl w:val="0"/>
          <w:numId w:val="15"/>
        </w:numPr>
        <w:ind w:left="0" w:firstLine="0"/>
        <w:jc w:val="both"/>
        <w:rPr>
          <w:spacing w:val="-2"/>
          <w:sz w:val="20"/>
          <w:szCs w:val="20"/>
        </w:rPr>
      </w:pPr>
      <w:r w:rsidRPr="00610904">
        <w:rPr>
          <w:spacing w:val="-2"/>
          <w:sz w:val="20"/>
          <w:szCs w:val="20"/>
        </w:rPr>
        <w:t>The State</w:t>
      </w:r>
      <w:r w:rsidR="003040F7" w:rsidRPr="00610904">
        <w:rPr>
          <w:spacing w:val="-2"/>
          <w:sz w:val="20"/>
          <w:szCs w:val="20"/>
        </w:rPr>
        <w:t xml:space="preserve"> </w:t>
      </w:r>
      <w:r w:rsidR="004A6E8B" w:rsidRPr="00610904">
        <w:rPr>
          <w:spacing w:val="-2"/>
          <w:sz w:val="20"/>
          <w:szCs w:val="20"/>
        </w:rPr>
        <w:t xml:space="preserve">must </w:t>
      </w:r>
      <w:r w:rsidR="0051335D" w:rsidRPr="00610904">
        <w:rPr>
          <w:spacing w:val="-2"/>
          <w:sz w:val="20"/>
          <w:szCs w:val="20"/>
        </w:rPr>
        <w:t>award</w:t>
      </w:r>
      <w:r w:rsidR="003040F7" w:rsidRPr="00610904">
        <w:rPr>
          <w:sz w:val="20"/>
          <w:szCs w:val="20"/>
          <w:shd w:val="clear" w:color="auto" w:fill="FFFFFF"/>
        </w:rPr>
        <w:t xml:space="preserve"> </w:t>
      </w:r>
      <w:r w:rsidR="00CD3738" w:rsidRPr="00610904">
        <w:rPr>
          <w:rFonts w:cs="Arial"/>
          <w:sz w:val="20"/>
          <w:szCs w:val="20"/>
        </w:rPr>
        <w:t>Talía</w:t>
      </w:r>
      <w:r w:rsidR="003040F7" w:rsidRPr="00610904">
        <w:rPr>
          <w:rFonts w:cs="Arial"/>
          <w:sz w:val="20"/>
          <w:szCs w:val="20"/>
        </w:rPr>
        <w:t xml:space="preserve"> Gabriela Gonzales Lluy</w:t>
      </w:r>
      <w:r w:rsidR="003040F7" w:rsidRPr="00610904">
        <w:rPr>
          <w:sz w:val="20"/>
          <w:szCs w:val="20"/>
          <w:shd w:val="clear" w:color="auto" w:fill="FFFFFF"/>
        </w:rPr>
        <w:t xml:space="preserve"> </w:t>
      </w:r>
      <w:r w:rsidR="004A6E8B" w:rsidRPr="00610904">
        <w:rPr>
          <w:sz w:val="20"/>
          <w:szCs w:val="20"/>
          <w:shd w:val="clear" w:color="auto" w:fill="FFFFFF"/>
        </w:rPr>
        <w:t xml:space="preserve">a </w:t>
      </w:r>
      <w:r w:rsidR="0051335D" w:rsidRPr="00610904">
        <w:rPr>
          <w:sz w:val="20"/>
          <w:szCs w:val="20"/>
          <w:shd w:val="clear" w:color="auto" w:fill="FFFFFF"/>
        </w:rPr>
        <w:t>scholarship</w:t>
      </w:r>
      <w:r w:rsidR="004A6E8B" w:rsidRPr="00610904">
        <w:rPr>
          <w:sz w:val="20"/>
          <w:szCs w:val="20"/>
          <w:shd w:val="clear" w:color="auto" w:fill="FFFFFF"/>
        </w:rPr>
        <w:t xml:space="preserve"> to continue her university</w:t>
      </w:r>
      <w:r w:rsidR="0051335D" w:rsidRPr="00610904">
        <w:rPr>
          <w:sz w:val="20"/>
          <w:szCs w:val="20"/>
          <w:shd w:val="clear" w:color="auto" w:fill="FFFFFF"/>
        </w:rPr>
        <w:t xml:space="preserve"> studies that is not conditional</w:t>
      </w:r>
      <w:r w:rsidR="004A6E8B" w:rsidRPr="00610904">
        <w:rPr>
          <w:sz w:val="20"/>
          <w:szCs w:val="20"/>
          <w:shd w:val="clear" w:color="auto" w:fill="FFFFFF"/>
        </w:rPr>
        <w:t xml:space="preserve"> on obtaining the marks that </w:t>
      </w:r>
      <w:r w:rsidR="0051335D" w:rsidRPr="00610904">
        <w:rPr>
          <w:sz w:val="20"/>
          <w:szCs w:val="20"/>
          <w:shd w:val="clear" w:color="auto" w:fill="FFFFFF"/>
        </w:rPr>
        <w:t xml:space="preserve">would </w:t>
      </w:r>
      <w:r w:rsidR="004A6E8B" w:rsidRPr="00610904">
        <w:rPr>
          <w:sz w:val="20"/>
          <w:szCs w:val="20"/>
          <w:shd w:val="clear" w:color="auto" w:fill="FFFFFF"/>
        </w:rPr>
        <w:t xml:space="preserve">enable her to obtain a scholarship based on academic excellence, </w:t>
      </w:r>
      <w:r w:rsidR="004A6E8B" w:rsidRPr="00610904">
        <w:rPr>
          <w:spacing w:val="-2"/>
          <w:sz w:val="20"/>
          <w:szCs w:val="20"/>
          <w:lang w:eastAsia="es-CR"/>
        </w:rPr>
        <w:t>in accordance with</w:t>
      </w:r>
      <w:r w:rsidR="00A8072E" w:rsidRPr="00610904">
        <w:rPr>
          <w:spacing w:val="-2"/>
          <w:sz w:val="20"/>
          <w:szCs w:val="20"/>
          <w:lang w:eastAsia="es-CR"/>
        </w:rPr>
        <w:t xml:space="preserve"> paragraph</w:t>
      </w:r>
      <w:r w:rsidR="00662F1A" w:rsidRPr="00610904">
        <w:rPr>
          <w:spacing w:val="-2"/>
          <w:sz w:val="20"/>
          <w:szCs w:val="20"/>
          <w:lang w:eastAsia="es-CR"/>
        </w:rPr>
        <w:t xml:space="preserve"> 37</w:t>
      </w:r>
      <w:r w:rsidR="003C0294" w:rsidRPr="00610904">
        <w:rPr>
          <w:spacing w:val="-2"/>
          <w:sz w:val="20"/>
          <w:szCs w:val="20"/>
          <w:lang w:eastAsia="es-CR"/>
        </w:rPr>
        <w:t>2</w:t>
      </w:r>
      <w:r w:rsidR="003040F7" w:rsidRPr="00610904">
        <w:rPr>
          <w:spacing w:val="-2"/>
          <w:sz w:val="20"/>
          <w:szCs w:val="20"/>
          <w:lang w:eastAsia="es-CR"/>
        </w:rPr>
        <w:t xml:space="preserve"> </w:t>
      </w:r>
      <w:r w:rsidR="004A6E8B" w:rsidRPr="00610904">
        <w:rPr>
          <w:spacing w:val="-2"/>
          <w:sz w:val="20"/>
          <w:szCs w:val="20"/>
          <w:lang w:eastAsia="es-CR"/>
        </w:rPr>
        <w:t xml:space="preserve">of this </w:t>
      </w:r>
      <w:r w:rsidR="004A6E8B" w:rsidRPr="00610904">
        <w:rPr>
          <w:spacing w:val="-2"/>
          <w:sz w:val="20"/>
          <w:szCs w:val="20"/>
          <w:lang w:eastAsia="es-CR"/>
        </w:rPr>
        <w:lastRenderedPageBreak/>
        <w:t>Judgment</w:t>
      </w:r>
      <w:r w:rsidR="003040F7" w:rsidRPr="00610904">
        <w:rPr>
          <w:spacing w:val="-2"/>
          <w:sz w:val="20"/>
          <w:szCs w:val="20"/>
          <w:lang w:eastAsia="es-CR"/>
        </w:rPr>
        <w:t xml:space="preserve">. </w:t>
      </w:r>
      <w:r w:rsidR="004A6E8B" w:rsidRPr="00610904">
        <w:rPr>
          <w:sz w:val="20"/>
          <w:szCs w:val="20"/>
          <w:shd w:val="clear" w:color="auto" w:fill="FFFFFF"/>
        </w:rPr>
        <w:t>The victim or her</w:t>
      </w:r>
      <w:r w:rsidR="00795F5F" w:rsidRPr="00610904">
        <w:rPr>
          <w:sz w:val="20"/>
          <w:szCs w:val="20"/>
          <w:shd w:val="clear" w:color="auto" w:fill="FFFFFF"/>
        </w:rPr>
        <w:t xml:space="preserve"> representatives</w:t>
      </w:r>
      <w:r w:rsidR="004A6E8B" w:rsidRPr="00610904">
        <w:rPr>
          <w:sz w:val="20"/>
          <w:szCs w:val="20"/>
          <w:shd w:val="clear" w:color="auto" w:fill="FFFFFF"/>
        </w:rPr>
        <w:t xml:space="preserve"> must advise the State </w:t>
      </w:r>
      <w:r w:rsidR="0051335D" w:rsidRPr="00610904">
        <w:rPr>
          <w:sz w:val="20"/>
          <w:szCs w:val="20"/>
          <w:shd w:val="clear" w:color="auto" w:fill="FFFFFF"/>
        </w:rPr>
        <w:t>of her intention to receive the scholarship</w:t>
      </w:r>
      <w:r w:rsidR="004A6E8B" w:rsidRPr="00610904">
        <w:rPr>
          <w:sz w:val="20"/>
          <w:szCs w:val="20"/>
          <w:shd w:val="clear" w:color="auto" w:fill="FFFFFF"/>
        </w:rPr>
        <w:t xml:space="preserve"> within six months.</w:t>
      </w:r>
    </w:p>
    <w:p w:rsidR="003040F7" w:rsidRPr="00610904" w:rsidRDefault="003040F7" w:rsidP="00610904">
      <w:pPr>
        <w:pStyle w:val="Default"/>
        <w:jc w:val="both"/>
        <w:rPr>
          <w:spacing w:val="-2"/>
          <w:sz w:val="20"/>
          <w:szCs w:val="20"/>
        </w:rPr>
      </w:pPr>
    </w:p>
    <w:p w:rsidR="003040F7" w:rsidRPr="00610904" w:rsidRDefault="009F3D78" w:rsidP="00610904">
      <w:pPr>
        <w:pStyle w:val="Default"/>
        <w:numPr>
          <w:ilvl w:val="0"/>
          <w:numId w:val="15"/>
        </w:numPr>
        <w:ind w:left="0" w:firstLine="0"/>
        <w:jc w:val="both"/>
        <w:rPr>
          <w:spacing w:val="-2"/>
          <w:sz w:val="16"/>
          <w:szCs w:val="20"/>
        </w:rPr>
      </w:pPr>
      <w:r w:rsidRPr="00610904">
        <w:rPr>
          <w:spacing w:val="-2"/>
          <w:sz w:val="20"/>
          <w:szCs w:val="20"/>
        </w:rPr>
        <w:t>The State</w:t>
      </w:r>
      <w:r w:rsidR="003040F7" w:rsidRPr="00610904">
        <w:rPr>
          <w:spacing w:val="-2"/>
          <w:sz w:val="20"/>
          <w:szCs w:val="20"/>
        </w:rPr>
        <w:t xml:space="preserve"> </w:t>
      </w:r>
      <w:r w:rsidR="004A6E8B" w:rsidRPr="00610904">
        <w:rPr>
          <w:spacing w:val="-2"/>
          <w:sz w:val="20"/>
          <w:szCs w:val="20"/>
        </w:rPr>
        <w:t xml:space="preserve">must </w:t>
      </w:r>
      <w:r w:rsidR="0051335D" w:rsidRPr="00610904">
        <w:rPr>
          <w:spacing w:val="-2"/>
          <w:sz w:val="20"/>
          <w:szCs w:val="20"/>
        </w:rPr>
        <w:t>award</w:t>
      </w:r>
      <w:r w:rsidR="003040F7" w:rsidRPr="00610904">
        <w:rPr>
          <w:spacing w:val="-2"/>
          <w:sz w:val="20"/>
          <w:szCs w:val="20"/>
        </w:rPr>
        <w:t xml:space="preserve"> </w:t>
      </w:r>
      <w:r w:rsidR="00CD3738" w:rsidRPr="00610904">
        <w:rPr>
          <w:spacing w:val="-2"/>
          <w:sz w:val="20"/>
          <w:szCs w:val="20"/>
        </w:rPr>
        <w:t>Talía</w:t>
      </w:r>
      <w:r w:rsidR="00B7425D" w:rsidRPr="00610904">
        <w:rPr>
          <w:spacing w:val="-2"/>
          <w:sz w:val="20"/>
          <w:szCs w:val="20"/>
        </w:rPr>
        <w:t xml:space="preserve"> </w:t>
      </w:r>
      <w:r w:rsidR="00B7425D" w:rsidRPr="00610904">
        <w:rPr>
          <w:rFonts w:cs="Arial"/>
          <w:sz w:val="20"/>
          <w:szCs w:val="20"/>
        </w:rPr>
        <w:t>Gabriela Gonzales Lluy</w:t>
      </w:r>
      <w:r w:rsidR="003040F7" w:rsidRPr="00610904">
        <w:rPr>
          <w:spacing w:val="-2"/>
          <w:sz w:val="20"/>
          <w:szCs w:val="20"/>
        </w:rPr>
        <w:t xml:space="preserve"> </w:t>
      </w:r>
      <w:r w:rsidR="004A6E8B" w:rsidRPr="00610904">
        <w:rPr>
          <w:spacing w:val="-2"/>
          <w:sz w:val="20"/>
          <w:szCs w:val="20"/>
        </w:rPr>
        <w:t xml:space="preserve">a </w:t>
      </w:r>
      <w:r w:rsidR="009303FF" w:rsidRPr="00610904">
        <w:rPr>
          <w:spacing w:val="-2"/>
          <w:sz w:val="20"/>
          <w:szCs w:val="20"/>
        </w:rPr>
        <w:t>grant for post-graduate studies</w:t>
      </w:r>
      <w:r w:rsidR="0051335D" w:rsidRPr="00610904">
        <w:rPr>
          <w:spacing w:val="-2"/>
          <w:sz w:val="20"/>
          <w:szCs w:val="20"/>
        </w:rPr>
        <w:t xml:space="preserve"> that is not conditional on</w:t>
      </w:r>
      <w:r w:rsidR="004A6E8B" w:rsidRPr="00610904">
        <w:rPr>
          <w:spacing w:val="-2"/>
          <w:sz w:val="20"/>
          <w:szCs w:val="20"/>
        </w:rPr>
        <w:t xml:space="preserve"> her academic performance during her undergraduate studies, </w:t>
      </w:r>
      <w:r w:rsidR="004A6E8B" w:rsidRPr="00610904">
        <w:rPr>
          <w:spacing w:val="-2"/>
          <w:sz w:val="20"/>
          <w:szCs w:val="20"/>
          <w:lang w:eastAsia="es-CR"/>
        </w:rPr>
        <w:t>in accordance with</w:t>
      </w:r>
      <w:r w:rsidR="00A8072E" w:rsidRPr="00610904">
        <w:rPr>
          <w:spacing w:val="-2"/>
          <w:sz w:val="20"/>
          <w:szCs w:val="20"/>
          <w:lang w:eastAsia="es-CR"/>
        </w:rPr>
        <w:t xml:space="preserve"> paragraph</w:t>
      </w:r>
      <w:r w:rsidR="003040F7" w:rsidRPr="00610904">
        <w:rPr>
          <w:spacing w:val="-2"/>
          <w:sz w:val="20"/>
          <w:szCs w:val="20"/>
          <w:lang w:eastAsia="es-CR"/>
        </w:rPr>
        <w:t xml:space="preserve"> </w:t>
      </w:r>
      <w:r w:rsidR="00662F1A" w:rsidRPr="00610904">
        <w:rPr>
          <w:spacing w:val="-2"/>
          <w:sz w:val="20"/>
          <w:szCs w:val="20"/>
          <w:lang w:eastAsia="es-CR"/>
        </w:rPr>
        <w:t>37</w:t>
      </w:r>
      <w:r w:rsidR="003C0294" w:rsidRPr="00610904">
        <w:rPr>
          <w:spacing w:val="-2"/>
          <w:sz w:val="20"/>
          <w:szCs w:val="20"/>
          <w:lang w:eastAsia="es-CR"/>
        </w:rPr>
        <w:t>3</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rPr>
        <w:t xml:space="preserve">. </w:t>
      </w:r>
      <w:r w:rsidR="004A6E8B" w:rsidRPr="00610904">
        <w:rPr>
          <w:spacing w:val="-2"/>
          <w:sz w:val="20"/>
          <w:szCs w:val="20"/>
        </w:rPr>
        <w:t>To this end, once she has graduated,</w:t>
      </w:r>
      <w:r w:rsidR="003040F7" w:rsidRPr="00610904">
        <w:rPr>
          <w:spacing w:val="-2"/>
          <w:sz w:val="20"/>
          <w:szCs w:val="20"/>
        </w:rPr>
        <w:t xml:space="preserve"> </w:t>
      </w:r>
      <w:r w:rsidR="00CD3738" w:rsidRPr="00610904">
        <w:rPr>
          <w:spacing w:val="-2"/>
          <w:sz w:val="20"/>
          <w:szCs w:val="20"/>
        </w:rPr>
        <w:t>Talía</w:t>
      </w:r>
      <w:r w:rsidR="003040F7" w:rsidRPr="00610904">
        <w:rPr>
          <w:spacing w:val="-2"/>
          <w:sz w:val="20"/>
          <w:szCs w:val="20"/>
        </w:rPr>
        <w:t xml:space="preserve"> </w:t>
      </w:r>
      <w:r w:rsidR="004A6E8B" w:rsidRPr="00610904">
        <w:rPr>
          <w:spacing w:val="-2"/>
          <w:sz w:val="20"/>
          <w:szCs w:val="20"/>
        </w:rPr>
        <w:t>must inform the State and</w:t>
      </w:r>
      <w:r w:rsidR="003040F7" w:rsidRPr="00610904">
        <w:rPr>
          <w:spacing w:val="-2"/>
          <w:sz w:val="20"/>
          <w:szCs w:val="20"/>
        </w:rPr>
        <w:t xml:space="preserve"> </w:t>
      </w:r>
      <w:r w:rsidR="00A8072E" w:rsidRPr="00610904">
        <w:rPr>
          <w:spacing w:val="-2"/>
          <w:sz w:val="20"/>
          <w:szCs w:val="20"/>
        </w:rPr>
        <w:t>this Court</w:t>
      </w:r>
      <w:r w:rsidR="003040F7" w:rsidRPr="00610904">
        <w:rPr>
          <w:spacing w:val="-2"/>
          <w:sz w:val="20"/>
          <w:szCs w:val="20"/>
        </w:rPr>
        <w:t xml:space="preserve">, </w:t>
      </w:r>
      <w:r w:rsidR="004A6E8B" w:rsidRPr="00610904">
        <w:rPr>
          <w:spacing w:val="-2"/>
          <w:sz w:val="20"/>
          <w:szCs w:val="20"/>
        </w:rPr>
        <w:t>within 24 months, on the postgraduate studies that she wishes to pursue and that her application has been accepted.</w:t>
      </w:r>
    </w:p>
    <w:p w:rsidR="003040F7" w:rsidRPr="00610904" w:rsidRDefault="003040F7" w:rsidP="00610904">
      <w:pPr>
        <w:pStyle w:val="Default"/>
        <w:jc w:val="both"/>
        <w:rPr>
          <w:spacing w:val="-2"/>
          <w:sz w:val="16"/>
          <w:szCs w:val="20"/>
        </w:rPr>
      </w:pPr>
    </w:p>
    <w:p w:rsidR="003040F7" w:rsidRPr="00610904" w:rsidRDefault="009F3D78" w:rsidP="00610904">
      <w:pPr>
        <w:pStyle w:val="Default"/>
        <w:numPr>
          <w:ilvl w:val="0"/>
          <w:numId w:val="15"/>
        </w:numPr>
        <w:ind w:left="0" w:firstLine="0"/>
        <w:jc w:val="both"/>
        <w:rPr>
          <w:spacing w:val="-2"/>
          <w:sz w:val="20"/>
          <w:szCs w:val="20"/>
        </w:rPr>
      </w:pPr>
      <w:r w:rsidRPr="00610904">
        <w:rPr>
          <w:sz w:val="20"/>
          <w:szCs w:val="20"/>
          <w:lang w:bidi="en-US"/>
        </w:rPr>
        <w:t>The State</w:t>
      </w:r>
      <w:r w:rsidR="003040F7" w:rsidRPr="00610904">
        <w:rPr>
          <w:sz w:val="20"/>
          <w:szCs w:val="20"/>
          <w:lang w:bidi="en-US"/>
        </w:rPr>
        <w:t xml:space="preserve"> </w:t>
      </w:r>
      <w:r w:rsidR="004A6E8B" w:rsidRPr="00610904">
        <w:rPr>
          <w:sz w:val="20"/>
          <w:szCs w:val="20"/>
          <w:lang w:bidi="en-US"/>
        </w:rPr>
        <w:t>must provide</w:t>
      </w:r>
      <w:r w:rsidR="003040F7" w:rsidRPr="00610904">
        <w:rPr>
          <w:sz w:val="20"/>
          <w:szCs w:val="20"/>
          <w:lang w:bidi="en-US"/>
        </w:rPr>
        <w:t xml:space="preserve"> </w:t>
      </w:r>
      <w:r w:rsidR="00CD3738" w:rsidRPr="00610904">
        <w:rPr>
          <w:rFonts w:cs="Arial"/>
          <w:sz w:val="20"/>
          <w:szCs w:val="20"/>
        </w:rPr>
        <w:t>Talía</w:t>
      </w:r>
      <w:r w:rsidR="003040F7" w:rsidRPr="00610904">
        <w:rPr>
          <w:rFonts w:cs="Arial"/>
          <w:sz w:val="20"/>
          <w:szCs w:val="20"/>
        </w:rPr>
        <w:t xml:space="preserve"> Gabriela Gonzales Lluy</w:t>
      </w:r>
      <w:r w:rsidR="004A6E8B" w:rsidRPr="00610904">
        <w:rPr>
          <w:rFonts w:cs="Arial"/>
          <w:sz w:val="20"/>
          <w:szCs w:val="20"/>
        </w:rPr>
        <w:t>, free of charge,</w:t>
      </w:r>
      <w:r w:rsidR="003040F7" w:rsidRPr="00610904">
        <w:rPr>
          <w:sz w:val="20"/>
          <w:szCs w:val="20"/>
          <w:shd w:val="clear" w:color="auto" w:fill="FFFFFF"/>
        </w:rPr>
        <w:t xml:space="preserve"> </w:t>
      </w:r>
      <w:r w:rsidR="004A6E8B" w:rsidRPr="00610904">
        <w:rPr>
          <w:sz w:val="20"/>
          <w:szCs w:val="20"/>
          <w:shd w:val="clear" w:color="auto" w:fill="FFFFFF"/>
        </w:rPr>
        <w:t>with decent housing, within one year</w:t>
      </w:r>
      <w:r w:rsidR="003040F7" w:rsidRPr="00610904">
        <w:rPr>
          <w:sz w:val="20"/>
          <w:szCs w:val="20"/>
          <w:shd w:val="clear" w:color="auto" w:fill="FFFFFF"/>
        </w:rPr>
        <w:t xml:space="preserve">, </w:t>
      </w:r>
      <w:r w:rsidR="004A6E8B" w:rsidRPr="00610904">
        <w:rPr>
          <w:spacing w:val="-2"/>
          <w:sz w:val="20"/>
          <w:szCs w:val="20"/>
          <w:lang w:eastAsia="es-CR"/>
        </w:rPr>
        <w:t>in accordance with</w:t>
      </w:r>
      <w:r w:rsidR="00A8072E" w:rsidRPr="00610904">
        <w:rPr>
          <w:spacing w:val="-2"/>
          <w:sz w:val="20"/>
          <w:szCs w:val="20"/>
          <w:lang w:eastAsia="es-CR"/>
        </w:rPr>
        <w:t xml:space="preserve"> paragraph</w:t>
      </w:r>
      <w:r w:rsidR="003040F7" w:rsidRPr="00610904">
        <w:rPr>
          <w:spacing w:val="-2"/>
          <w:sz w:val="20"/>
          <w:szCs w:val="20"/>
          <w:lang w:eastAsia="es-CR"/>
        </w:rPr>
        <w:t xml:space="preserve"> </w:t>
      </w:r>
      <w:r w:rsidR="00C066A2" w:rsidRPr="00610904">
        <w:rPr>
          <w:spacing w:val="-2"/>
          <w:sz w:val="20"/>
          <w:szCs w:val="20"/>
          <w:lang w:eastAsia="es-CR"/>
        </w:rPr>
        <w:t>37</w:t>
      </w:r>
      <w:r w:rsidR="00B364E5" w:rsidRPr="00610904">
        <w:rPr>
          <w:spacing w:val="-2"/>
          <w:sz w:val="20"/>
          <w:szCs w:val="20"/>
          <w:lang w:eastAsia="es-CR"/>
        </w:rPr>
        <w:t>7</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lang w:eastAsia="es-CR"/>
        </w:rPr>
        <w:t xml:space="preserve">. </w:t>
      </w:r>
    </w:p>
    <w:p w:rsidR="003040F7" w:rsidRPr="00610904" w:rsidRDefault="003040F7" w:rsidP="00610904">
      <w:pPr>
        <w:pStyle w:val="Default"/>
        <w:jc w:val="both"/>
        <w:rPr>
          <w:spacing w:val="-2"/>
          <w:sz w:val="20"/>
          <w:szCs w:val="20"/>
        </w:rPr>
      </w:pPr>
    </w:p>
    <w:p w:rsidR="003040F7" w:rsidRPr="00610904" w:rsidRDefault="009F3D78" w:rsidP="00610904">
      <w:pPr>
        <w:pStyle w:val="Default"/>
        <w:numPr>
          <w:ilvl w:val="0"/>
          <w:numId w:val="15"/>
        </w:numPr>
        <w:ind w:left="0" w:firstLine="0"/>
        <w:jc w:val="both"/>
        <w:rPr>
          <w:spacing w:val="-2"/>
          <w:sz w:val="20"/>
          <w:szCs w:val="20"/>
        </w:rPr>
      </w:pPr>
      <w:r w:rsidRPr="00610904">
        <w:rPr>
          <w:sz w:val="20"/>
          <w:szCs w:val="20"/>
          <w:lang w:bidi="en-US"/>
        </w:rPr>
        <w:t>The State</w:t>
      </w:r>
      <w:r w:rsidR="003040F7" w:rsidRPr="00610904">
        <w:rPr>
          <w:sz w:val="20"/>
          <w:szCs w:val="20"/>
          <w:lang w:bidi="en-US"/>
        </w:rPr>
        <w:t xml:space="preserve"> </w:t>
      </w:r>
      <w:r w:rsidR="004A6E8B" w:rsidRPr="00610904">
        <w:rPr>
          <w:sz w:val="20"/>
          <w:szCs w:val="20"/>
          <w:lang w:bidi="en-US"/>
        </w:rPr>
        <w:t xml:space="preserve">must organize a program to train health officials on best practice and rights of patients with </w:t>
      </w:r>
      <w:r w:rsidR="00A8072E" w:rsidRPr="00610904">
        <w:rPr>
          <w:sz w:val="20"/>
          <w:szCs w:val="20"/>
          <w:shd w:val="clear" w:color="auto" w:fill="FFFFFF"/>
        </w:rPr>
        <w:t>HIV</w:t>
      </w:r>
      <w:r w:rsidR="003040F7" w:rsidRPr="00610904">
        <w:rPr>
          <w:sz w:val="20"/>
          <w:szCs w:val="20"/>
          <w:shd w:val="clear" w:color="auto" w:fill="FFFFFF"/>
        </w:rPr>
        <w:t xml:space="preserve">, </w:t>
      </w:r>
      <w:r w:rsidR="004A6E8B" w:rsidRPr="00610904">
        <w:rPr>
          <w:spacing w:val="-2"/>
          <w:sz w:val="20"/>
          <w:szCs w:val="20"/>
          <w:lang w:eastAsia="es-CR"/>
        </w:rPr>
        <w:t>in accordance with</w:t>
      </w:r>
      <w:r w:rsidR="00B364E5" w:rsidRPr="00610904">
        <w:rPr>
          <w:spacing w:val="-2"/>
          <w:sz w:val="20"/>
          <w:szCs w:val="20"/>
          <w:lang w:eastAsia="es-CR"/>
        </w:rPr>
        <w:t xml:space="preserve"> </w:t>
      </w:r>
      <w:r w:rsidR="002112A8" w:rsidRPr="00610904">
        <w:rPr>
          <w:spacing w:val="-2"/>
          <w:sz w:val="20"/>
          <w:szCs w:val="20"/>
          <w:lang w:eastAsia="es-CR"/>
        </w:rPr>
        <w:t>paragraphs</w:t>
      </w:r>
      <w:r w:rsidR="00B364E5" w:rsidRPr="00610904">
        <w:rPr>
          <w:spacing w:val="-2"/>
          <w:sz w:val="20"/>
          <w:szCs w:val="20"/>
          <w:lang w:eastAsia="es-CR"/>
        </w:rPr>
        <w:t xml:space="preserve"> 384</w:t>
      </w:r>
      <w:r w:rsidR="004A6E8B" w:rsidRPr="00610904">
        <w:rPr>
          <w:spacing w:val="-2"/>
          <w:sz w:val="20"/>
          <w:szCs w:val="20"/>
          <w:lang w:eastAsia="es-CR"/>
        </w:rPr>
        <w:t xml:space="preserve"> to</w:t>
      </w:r>
      <w:r w:rsidR="00EF3A11" w:rsidRPr="00610904">
        <w:rPr>
          <w:spacing w:val="-2"/>
          <w:sz w:val="20"/>
          <w:szCs w:val="20"/>
          <w:lang w:eastAsia="es-CR"/>
        </w:rPr>
        <w:t xml:space="preserve"> 38</w:t>
      </w:r>
      <w:r w:rsidR="00B364E5" w:rsidRPr="00610904">
        <w:rPr>
          <w:spacing w:val="-2"/>
          <w:sz w:val="20"/>
          <w:szCs w:val="20"/>
          <w:lang w:eastAsia="es-CR"/>
        </w:rPr>
        <w:t>6</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lang w:eastAsia="es-CR"/>
        </w:rPr>
        <w:t>.</w:t>
      </w:r>
    </w:p>
    <w:p w:rsidR="003040F7" w:rsidRPr="00610904" w:rsidRDefault="003040F7" w:rsidP="00610904">
      <w:pPr>
        <w:pStyle w:val="Default"/>
        <w:jc w:val="both"/>
        <w:rPr>
          <w:spacing w:val="-2"/>
          <w:sz w:val="16"/>
          <w:szCs w:val="20"/>
          <w:lang w:eastAsia="es-CR"/>
        </w:rPr>
      </w:pPr>
    </w:p>
    <w:p w:rsidR="003040F7" w:rsidRPr="00610904" w:rsidRDefault="009F3D78" w:rsidP="00610904">
      <w:pPr>
        <w:pStyle w:val="Default"/>
        <w:numPr>
          <w:ilvl w:val="0"/>
          <w:numId w:val="15"/>
        </w:numPr>
        <w:ind w:left="0" w:firstLine="0"/>
        <w:jc w:val="both"/>
        <w:rPr>
          <w:spacing w:val="-2"/>
          <w:sz w:val="20"/>
          <w:szCs w:val="20"/>
          <w:lang w:eastAsia="es-CR"/>
        </w:rPr>
      </w:pPr>
      <w:r w:rsidRPr="00610904">
        <w:rPr>
          <w:spacing w:val="-2"/>
          <w:sz w:val="20"/>
          <w:szCs w:val="20"/>
          <w:lang w:eastAsia="es-CR"/>
        </w:rPr>
        <w:t>The State</w:t>
      </w:r>
      <w:r w:rsidR="003040F7" w:rsidRPr="00610904">
        <w:rPr>
          <w:spacing w:val="-2"/>
          <w:sz w:val="20"/>
          <w:szCs w:val="20"/>
          <w:lang w:eastAsia="es-CR"/>
        </w:rPr>
        <w:t xml:space="preserve"> </w:t>
      </w:r>
      <w:r w:rsidR="004A6E8B" w:rsidRPr="00610904">
        <w:rPr>
          <w:spacing w:val="-2"/>
          <w:sz w:val="20"/>
          <w:szCs w:val="20"/>
          <w:lang w:eastAsia="es-ES"/>
        </w:rPr>
        <w:t>must pay</w:t>
      </w:r>
      <w:r w:rsidR="003040F7" w:rsidRPr="00610904">
        <w:rPr>
          <w:spacing w:val="-2"/>
          <w:sz w:val="20"/>
          <w:szCs w:val="20"/>
          <w:lang w:eastAsia="es-CR"/>
        </w:rPr>
        <w:t xml:space="preserve">, </w:t>
      </w:r>
      <w:r w:rsidR="004A6E8B" w:rsidRPr="00610904">
        <w:rPr>
          <w:spacing w:val="-2"/>
          <w:sz w:val="20"/>
          <w:szCs w:val="20"/>
        </w:rPr>
        <w:t>within one year of notification of this Judgment</w:t>
      </w:r>
      <w:r w:rsidR="004A6E8B" w:rsidRPr="00610904">
        <w:rPr>
          <w:spacing w:val="-2"/>
          <w:sz w:val="20"/>
          <w:szCs w:val="20"/>
          <w:lang w:eastAsia="es-CR"/>
        </w:rPr>
        <w:t xml:space="preserve">, the amounts established in </w:t>
      </w:r>
      <w:r w:rsidR="002112A8" w:rsidRPr="00610904">
        <w:rPr>
          <w:spacing w:val="-2"/>
          <w:sz w:val="20"/>
          <w:szCs w:val="20"/>
          <w:lang w:eastAsia="es-CR"/>
        </w:rPr>
        <w:t>paragraphs</w:t>
      </w:r>
      <w:r w:rsidR="00B364E5" w:rsidRPr="00610904">
        <w:rPr>
          <w:spacing w:val="-2"/>
          <w:sz w:val="20"/>
          <w:szCs w:val="20"/>
          <w:lang w:eastAsia="es-CR"/>
        </w:rPr>
        <w:t xml:space="preserve"> 409</w:t>
      </w:r>
      <w:r w:rsidRPr="00610904">
        <w:rPr>
          <w:spacing w:val="-2"/>
          <w:sz w:val="20"/>
          <w:szCs w:val="20"/>
          <w:lang w:eastAsia="es-CR"/>
        </w:rPr>
        <w:t xml:space="preserve"> and </w:t>
      </w:r>
      <w:r w:rsidR="00B364E5" w:rsidRPr="00610904">
        <w:rPr>
          <w:spacing w:val="-2"/>
          <w:sz w:val="20"/>
          <w:szCs w:val="20"/>
          <w:lang w:eastAsia="es-CR"/>
        </w:rPr>
        <w:t>416</w:t>
      </w:r>
      <w:r w:rsidR="00A30FA7" w:rsidRPr="00610904">
        <w:rPr>
          <w:spacing w:val="-2"/>
          <w:sz w:val="20"/>
          <w:szCs w:val="20"/>
          <w:lang w:eastAsia="es-CR"/>
        </w:rPr>
        <w:t xml:space="preserve"> </w:t>
      </w:r>
      <w:r w:rsidR="004A6E8B" w:rsidRPr="00610904">
        <w:rPr>
          <w:spacing w:val="-2"/>
          <w:sz w:val="20"/>
          <w:szCs w:val="20"/>
          <w:lang w:eastAsia="es-CR"/>
        </w:rPr>
        <w:t>as compensation for pecuniary and non-pecuniary damage, and to reimburse</w:t>
      </w:r>
      <w:r w:rsidR="003040F7" w:rsidRPr="00610904">
        <w:rPr>
          <w:spacing w:val="-2"/>
          <w:sz w:val="20"/>
          <w:szCs w:val="20"/>
          <w:lang w:eastAsia="es-CR"/>
        </w:rPr>
        <w:t xml:space="preserve"> </w:t>
      </w:r>
      <w:r w:rsidR="00830022" w:rsidRPr="00610904">
        <w:rPr>
          <w:spacing w:val="-2"/>
          <w:sz w:val="20"/>
          <w:szCs w:val="20"/>
          <w:lang w:eastAsia="es-CR"/>
        </w:rPr>
        <w:t>costs and expenses</w:t>
      </w:r>
      <w:r w:rsidR="003040F7" w:rsidRPr="00610904">
        <w:rPr>
          <w:spacing w:val="-2"/>
          <w:sz w:val="20"/>
          <w:szCs w:val="20"/>
          <w:lang w:eastAsia="es-CR"/>
        </w:rPr>
        <w:t xml:space="preserve">, </w:t>
      </w:r>
      <w:r w:rsidR="004A6E8B" w:rsidRPr="00610904">
        <w:rPr>
          <w:spacing w:val="-2"/>
          <w:sz w:val="20"/>
          <w:szCs w:val="20"/>
          <w:lang w:eastAsia="es-CR"/>
        </w:rPr>
        <w:t>in accordance with</w:t>
      </w:r>
      <w:r w:rsidR="00A8072E" w:rsidRPr="00610904">
        <w:rPr>
          <w:spacing w:val="-2"/>
          <w:sz w:val="20"/>
          <w:szCs w:val="20"/>
          <w:lang w:eastAsia="es-CR"/>
        </w:rPr>
        <w:t xml:space="preserve"> paragraph</w:t>
      </w:r>
      <w:r w:rsidR="003040F7" w:rsidRPr="00610904">
        <w:rPr>
          <w:spacing w:val="-2"/>
          <w:sz w:val="20"/>
          <w:szCs w:val="20"/>
          <w:lang w:eastAsia="es-CR"/>
        </w:rPr>
        <w:t xml:space="preserve"> </w:t>
      </w:r>
      <w:r w:rsidR="00B364E5" w:rsidRPr="00610904">
        <w:rPr>
          <w:spacing w:val="-2"/>
          <w:sz w:val="20"/>
          <w:szCs w:val="20"/>
          <w:lang w:eastAsia="es-CR"/>
        </w:rPr>
        <w:t>421</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lang w:eastAsia="es-CR"/>
        </w:rPr>
        <w:t>.</w:t>
      </w:r>
    </w:p>
    <w:p w:rsidR="003040F7" w:rsidRPr="00610904" w:rsidRDefault="003040F7" w:rsidP="00610904">
      <w:pPr>
        <w:pStyle w:val="Default"/>
        <w:jc w:val="both"/>
        <w:rPr>
          <w:spacing w:val="-2"/>
          <w:sz w:val="16"/>
          <w:szCs w:val="20"/>
          <w:lang w:eastAsia="es-CR"/>
        </w:rPr>
      </w:pPr>
    </w:p>
    <w:p w:rsidR="003040F7" w:rsidRPr="00610904" w:rsidRDefault="009F3D78" w:rsidP="00610904">
      <w:pPr>
        <w:pStyle w:val="Default"/>
        <w:numPr>
          <w:ilvl w:val="0"/>
          <w:numId w:val="15"/>
        </w:numPr>
        <w:ind w:left="0" w:firstLine="0"/>
        <w:jc w:val="both"/>
        <w:rPr>
          <w:spacing w:val="-2"/>
          <w:sz w:val="20"/>
          <w:szCs w:val="20"/>
          <w:lang w:eastAsia="es-CR"/>
        </w:rPr>
      </w:pPr>
      <w:r w:rsidRPr="00610904">
        <w:rPr>
          <w:spacing w:val="-2"/>
          <w:sz w:val="20"/>
          <w:szCs w:val="20"/>
          <w:lang w:eastAsia="es-CR"/>
        </w:rPr>
        <w:t>The State</w:t>
      </w:r>
      <w:r w:rsidR="004A6E8B" w:rsidRPr="00610904">
        <w:rPr>
          <w:spacing w:val="-2"/>
          <w:sz w:val="20"/>
          <w:szCs w:val="20"/>
          <w:lang w:eastAsia="es-CR"/>
        </w:rPr>
        <w:t xml:space="preserve"> must reimburse the Victims’ Legal </w:t>
      </w:r>
      <w:r w:rsidR="00795F5F" w:rsidRPr="00610904">
        <w:rPr>
          <w:spacing w:val="-2"/>
          <w:sz w:val="20"/>
          <w:szCs w:val="20"/>
          <w:lang w:eastAsia="es-CR"/>
        </w:rPr>
        <w:t>Assistance Fund</w:t>
      </w:r>
      <w:r w:rsidR="003040F7" w:rsidRPr="00610904">
        <w:rPr>
          <w:spacing w:val="-2"/>
          <w:sz w:val="20"/>
          <w:szCs w:val="20"/>
          <w:lang w:eastAsia="es-CR"/>
        </w:rPr>
        <w:t xml:space="preserve"> </w:t>
      </w:r>
      <w:r w:rsidRPr="00610904">
        <w:rPr>
          <w:spacing w:val="-2"/>
          <w:sz w:val="20"/>
          <w:szCs w:val="20"/>
          <w:lang w:eastAsia="es-CR"/>
        </w:rPr>
        <w:t>of the Inter-American Court of Human Rights</w:t>
      </w:r>
      <w:r w:rsidR="003040F7" w:rsidRPr="00610904">
        <w:rPr>
          <w:spacing w:val="-2"/>
          <w:sz w:val="20"/>
          <w:szCs w:val="20"/>
          <w:lang w:eastAsia="es-CR"/>
        </w:rPr>
        <w:t xml:space="preserve"> </w:t>
      </w:r>
      <w:r w:rsidR="004A6E8B" w:rsidRPr="00610904">
        <w:rPr>
          <w:spacing w:val="-2"/>
          <w:sz w:val="20"/>
          <w:szCs w:val="20"/>
          <w:lang w:eastAsia="es-CR"/>
        </w:rPr>
        <w:t>the amount disbursed during the processing of this case, in accordance with</w:t>
      </w:r>
      <w:r w:rsidR="00A8072E" w:rsidRPr="00610904">
        <w:rPr>
          <w:spacing w:val="-2"/>
          <w:sz w:val="20"/>
          <w:szCs w:val="20"/>
          <w:lang w:eastAsia="es-CR"/>
        </w:rPr>
        <w:t xml:space="preserve"> paragraph</w:t>
      </w:r>
      <w:r w:rsidR="0085517C" w:rsidRPr="00610904">
        <w:rPr>
          <w:spacing w:val="-2"/>
          <w:sz w:val="20"/>
          <w:szCs w:val="20"/>
          <w:lang w:eastAsia="es-CR"/>
        </w:rPr>
        <w:t xml:space="preserve"> 42</w:t>
      </w:r>
      <w:r w:rsidR="007E1208" w:rsidRPr="00610904">
        <w:rPr>
          <w:spacing w:val="-2"/>
          <w:sz w:val="20"/>
          <w:szCs w:val="20"/>
          <w:lang w:eastAsia="es-CR"/>
        </w:rPr>
        <w:t>3</w:t>
      </w:r>
      <w:r w:rsidR="003040F7" w:rsidRPr="00610904">
        <w:rPr>
          <w:spacing w:val="-2"/>
          <w:sz w:val="20"/>
          <w:szCs w:val="20"/>
          <w:lang w:eastAsia="es-CR"/>
        </w:rPr>
        <w:t xml:space="preserve"> </w:t>
      </w:r>
      <w:r w:rsidR="004A6E8B" w:rsidRPr="00610904">
        <w:rPr>
          <w:spacing w:val="-2"/>
          <w:sz w:val="20"/>
          <w:szCs w:val="20"/>
          <w:lang w:eastAsia="es-CR"/>
        </w:rPr>
        <w:t>of this Judgment</w:t>
      </w:r>
      <w:r w:rsidR="003040F7" w:rsidRPr="00610904">
        <w:rPr>
          <w:spacing w:val="-2"/>
          <w:sz w:val="20"/>
          <w:szCs w:val="20"/>
          <w:lang w:eastAsia="es-CR"/>
        </w:rPr>
        <w:t>.</w:t>
      </w:r>
    </w:p>
    <w:p w:rsidR="003040F7" w:rsidRPr="00610904" w:rsidRDefault="003040F7" w:rsidP="00610904">
      <w:pPr>
        <w:tabs>
          <w:tab w:val="left" w:pos="567"/>
        </w:tabs>
        <w:rPr>
          <w:rFonts w:cs="Verdana"/>
          <w:noProof w:val="0"/>
          <w:color w:val="000000"/>
          <w:spacing w:val="-2"/>
          <w:sz w:val="16"/>
          <w:szCs w:val="20"/>
          <w:lang w:val="en-US" w:eastAsia="es-CR"/>
        </w:rPr>
      </w:pPr>
    </w:p>
    <w:p w:rsidR="003040F7" w:rsidRPr="00610904" w:rsidRDefault="009F3D78" w:rsidP="00610904">
      <w:pPr>
        <w:pStyle w:val="Default"/>
        <w:numPr>
          <w:ilvl w:val="0"/>
          <w:numId w:val="15"/>
        </w:numPr>
        <w:ind w:left="0" w:firstLine="0"/>
        <w:jc w:val="both"/>
        <w:rPr>
          <w:spacing w:val="-2"/>
          <w:sz w:val="20"/>
          <w:szCs w:val="20"/>
          <w:lang w:eastAsia="es-CR"/>
        </w:rPr>
      </w:pPr>
      <w:r w:rsidRPr="00610904">
        <w:rPr>
          <w:spacing w:val="-2"/>
          <w:sz w:val="20"/>
          <w:szCs w:val="20"/>
          <w:lang w:eastAsia="es-CR"/>
        </w:rPr>
        <w:t>The State</w:t>
      </w:r>
      <w:r w:rsidR="003040F7" w:rsidRPr="00610904">
        <w:rPr>
          <w:spacing w:val="-2"/>
          <w:sz w:val="20"/>
          <w:szCs w:val="20"/>
          <w:lang w:eastAsia="es-CR"/>
        </w:rPr>
        <w:t xml:space="preserve"> </w:t>
      </w:r>
      <w:r w:rsidR="004A6E8B" w:rsidRPr="00610904">
        <w:rPr>
          <w:spacing w:val="-2"/>
          <w:sz w:val="20"/>
          <w:szCs w:val="20"/>
          <w:lang w:eastAsia="es-CR"/>
        </w:rPr>
        <w:t>must provide</w:t>
      </w:r>
      <w:r w:rsidRPr="00610904">
        <w:rPr>
          <w:spacing w:val="-2"/>
          <w:sz w:val="20"/>
          <w:szCs w:val="20"/>
          <w:lang w:eastAsia="es-CR"/>
        </w:rPr>
        <w:t xml:space="preserve"> the Court</w:t>
      </w:r>
      <w:r w:rsidR="003040F7" w:rsidRPr="00610904">
        <w:rPr>
          <w:spacing w:val="-2"/>
          <w:sz w:val="20"/>
          <w:szCs w:val="20"/>
          <w:lang w:eastAsia="es-CR"/>
        </w:rPr>
        <w:t xml:space="preserve"> </w:t>
      </w:r>
      <w:r w:rsidR="004A6E8B" w:rsidRPr="00610904">
        <w:rPr>
          <w:spacing w:val="-2"/>
          <w:sz w:val="20"/>
          <w:szCs w:val="20"/>
          <w:lang w:eastAsia="es-CR"/>
        </w:rPr>
        <w:t>with a report</w:t>
      </w:r>
      <w:r w:rsidR="0051335D" w:rsidRPr="00610904">
        <w:rPr>
          <w:spacing w:val="-2"/>
          <w:sz w:val="20"/>
          <w:szCs w:val="20"/>
          <w:lang w:eastAsia="es-CR"/>
        </w:rPr>
        <w:t xml:space="preserve"> on the measures taken to comply with this Judgment</w:t>
      </w:r>
      <w:r w:rsidR="003040F7" w:rsidRPr="00610904">
        <w:rPr>
          <w:spacing w:val="-2"/>
          <w:sz w:val="20"/>
          <w:szCs w:val="20"/>
          <w:lang w:eastAsia="es-CR"/>
        </w:rPr>
        <w:t xml:space="preserve">, </w:t>
      </w:r>
      <w:r w:rsidR="004A6E8B" w:rsidRPr="00610904">
        <w:rPr>
          <w:spacing w:val="-2"/>
          <w:sz w:val="20"/>
          <w:szCs w:val="20"/>
        </w:rPr>
        <w:t xml:space="preserve">within one year of </w:t>
      </w:r>
      <w:r w:rsidR="0051335D" w:rsidRPr="00610904">
        <w:rPr>
          <w:spacing w:val="-2"/>
          <w:sz w:val="20"/>
          <w:szCs w:val="20"/>
        </w:rPr>
        <w:t xml:space="preserve">its </w:t>
      </w:r>
      <w:r w:rsidR="004A6E8B" w:rsidRPr="00610904">
        <w:rPr>
          <w:spacing w:val="-2"/>
          <w:sz w:val="20"/>
          <w:szCs w:val="20"/>
        </w:rPr>
        <w:t>notification</w:t>
      </w:r>
      <w:r w:rsidR="004A6E8B" w:rsidRPr="00610904">
        <w:rPr>
          <w:spacing w:val="-2"/>
          <w:sz w:val="20"/>
          <w:szCs w:val="20"/>
          <w:lang w:eastAsia="es-CR"/>
        </w:rPr>
        <w:t xml:space="preserve">. The reports related to medical and psychological or psychiatric treatments shall be presented every three months. </w:t>
      </w:r>
    </w:p>
    <w:p w:rsidR="003040F7" w:rsidRPr="00610904" w:rsidRDefault="003040F7" w:rsidP="00610904">
      <w:pPr>
        <w:tabs>
          <w:tab w:val="left" w:pos="567"/>
        </w:tabs>
        <w:rPr>
          <w:rFonts w:cs="Verdana"/>
          <w:noProof w:val="0"/>
          <w:color w:val="000000"/>
          <w:spacing w:val="-2"/>
          <w:sz w:val="16"/>
          <w:szCs w:val="20"/>
          <w:lang w:val="en-US" w:eastAsia="es-CR"/>
        </w:rPr>
      </w:pPr>
    </w:p>
    <w:p w:rsidR="003040F7" w:rsidRPr="00610904" w:rsidRDefault="009F3D78" w:rsidP="00610904">
      <w:pPr>
        <w:rPr>
          <w:noProof w:val="0"/>
          <w:spacing w:val="-2"/>
          <w:szCs w:val="20"/>
          <w:lang w:val="en-US" w:eastAsia="es-CR"/>
        </w:rPr>
      </w:pPr>
      <w:r w:rsidRPr="00610904">
        <w:rPr>
          <w:noProof w:val="0"/>
          <w:spacing w:val="-2"/>
          <w:szCs w:val="20"/>
          <w:lang w:val="en-US" w:eastAsia="es-CR"/>
        </w:rPr>
        <w:t>The Court will monitor full compliance with this judgment, in exercise of its authority and in fulfillment of its obligations under the American Convention on Human Rights</w:t>
      </w:r>
      <w:r w:rsidR="003040F7" w:rsidRPr="00610904">
        <w:rPr>
          <w:noProof w:val="0"/>
          <w:spacing w:val="-2"/>
          <w:szCs w:val="20"/>
          <w:lang w:val="en-US" w:eastAsia="es-CR"/>
        </w:rPr>
        <w:t>,</w:t>
      </w:r>
      <w:r w:rsidRPr="00610904">
        <w:rPr>
          <w:noProof w:val="0"/>
          <w:spacing w:val="-2"/>
          <w:szCs w:val="20"/>
          <w:lang w:val="en-US" w:eastAsia="es-CR"/>
        </w:rPr>
        <w:t xml:space="preserve"> and will consider this case closed when the State has complied fully with all its provisions.</w:t>
      </w:r>
    </w:p>
    <w:p w:rsidR="009A4058" w:rsidRPr="00610904" w:rsidRDefault="009A4058" w:rsidP="00610904">
      <w:pPr>
        <w:rPr>
          <w:noProof w:val="0"/>
          <w:spacing w:val="-2"/>
          <w:szCs w:val="20"/>
          <w:lang w:val="en-US" w:eastAsia="es-CR"/>
        </w:rPr>
      </w:pPr>
    </w:p>
    <w:p w:rsidR="009A4058" w:rsidRPr="00610904" w:rsidRDefault="009F3D78" w:rsidP="00610904">
      <w:pPr>
        <w:rPr>
          <w:noProof w:val="0"/>
          <w:lang w:val="en-US"/>
        </w:rPr>
      </w:pPr>
      <w:r w:rsidRPr="00610904">
        <w:rPr>
          <w:noProof w:val="0"/>
          <w:spacing w:val="-2"/>
          <w:szCs w:val="20"/>
          <w:lang w:val="en-US" w:eastAsia="es-CR"/>
        </w:rPr>
        <w:t>Judges</w:t>
      </w:r>
      <w:r w:rsidR="00F67DBF" w:rsidRPr="00610904">
        <w:rPr>
          <w:noProof w:val="0"/>
          <w:spacing w:val="-2"/>
          <w:szCs w:val="20"/>
          <w:lang w:val="en-US" w:eastAsia="es-CR"/>
        </w:rPr>
        <w:t xml:space="preserve"> Humberto Antonio Sierra Porto</w:t>
      </w:r>
      <w:r w:rsidR="009A4058" w:rsidRPr="00610904">
        <w:rPr>
          <w:noProof w:val="0"/>
          <w:spacing w:val="-2"/>
          <w:szCs w:val="20"/>
          <w:lang w:val="en-US" w:eastAsia="es-CR"/>
        </w:rPr>
        <w:t>, Alberto Pérez Pérez</w:t>
      </w:r>
      <w:r w:rsidRPr="00610904">
        <w:rPr>
          <w:noProof w:val="0"/>
          <w:spacing w:val="-2"/>
          <w:szCs w:val="20"/>
          <w:lang w:val="en-US" w:eastAsia="es-CR"/>
        </w:rPr>
        <w:t xml:space="preserve"> and </w:t>
      </w:r>
      <w:r w:rsidR="009A4058" w:rsidRPr="00610904">
        <w:rPr>
          <w:noProof w:val="0"/>
          <w:spacing w:val="-2"/>
          <w:szCs w:val="20"/>
          <w:lang w:val="en-US" w:eastAsia="es-CR"/>
        </w:rPr>
        <w:t xml:space="preserve">Eduardo Ferrer Mac-Gregor Poisot </w:t>
      </w:r>
      <w:r w:rsidRPr="00610904">
        <w:rPr>
          <w:noProof w:val="0"/>
          <w:spacing w:val="-2"/>
          <w:szCs w:val="20"/>
          <w:lang w:val="en-US" w:eastAsia="es-CR"/>
        </w:rPr>
        <w:t xml:space="preserve">informed the Court of their concurring opinions, which accompany this judgment. </w:t>
      </w:r>
      <w:r w:rsidRPr="00610904">
        <w:rPr>
          <w:noProof w:val="0"/>
          <w:lang w:val="en-US"/>
        </w:rPr>
        <w:t>Judges</w:t>
      </w:r>
      <w:r w:rsidR="009C38E5" w:rsidRPr="00610904">
        <w:rPr>
          <w:noProof w:val="0"/>
          <w:lang w:val="en-US"/>
        </w:rPr>
        <w:t xml:space="preserve"> Roberto F. Caldas</w:t>
      </w:r>
      <w:r w:rsidRPr="00610904">
        <w:rPr>
          <w:noProof w:val="0"/>
          <w:lang w:val="en-US"/>
        </w:rPr>
        <w:t xml:space="preserve"> and </w:t>
      </w:r>
      <w:r w:rsidR="009C38E5" w:rsidRPr="00610904">
        <w:rPr>
          <w:noProof w:val="0"/>
          <w:lang w:val="en-US"/>
        </w:rPr>
        <w:t xml:space="preserve">Manuel E. Ventura Robles </w:t>
      </w:r>
      <w:r w:rsidRPr="00610904">
        <w:rPr>
          <w:noProof w:val="0"/>
          <w:lang w:val="en-US"/>
        </w:rPr>
        <w:t xml:space="preserve">adhered to the concurring opinion of </w:t>
      </w:r>
      <w:r w:rsidR="0051335D" w:rsidRPr="00610904">
        <w:rPr>
          <w:noProof w:val="0"/>
          <w:lang w:val="en-US"/>
        </w:rPr>
        <w:t xml:space="preserve">Judge </w:t>
      </w:r>
      <w:r w:rsidR="009C38E5" w:rsidRPr="00610904">
        <w:rPr>
          <w:noProof w:val="0"/>
          <w:spacing w:val="-2"/>
          <w:szCs w:val="20"/>
          <w:lang w:val="en-US" w:eastAsia="es-CR"/>
        </w:rPr>
        <w:t>Eduardo Ferrer Mac-Gregor Poisot</w:t>
      </w:r>
      <w:r w:rsidR="009C38E5" w:rsidRPr="00610904">
        <w:rPr>
          <w:noProof w:val="0"/>
          <w:lang w:val="en-US"/>
        </w:rPr>
        <w:t>.</w:t>
      </w:r>
    </w:p>
    <w:p w:rsidR="00033A41" w:rsidRPr="00610904" w:rsidRDefault="00033A41" w:rsidP="00610904">
      <w:pPr>
        <w:rPr>
          <w:noProof w:val="0"/>
          <w:lang w:val="en-US"/>
        </w:rPr>
      </w:pPr>
    </w:p>
    <w:p w:rsidR="00033A41" w:rsidRPr="00610904" w:rsidRDefault="009F3D78" w:rsidP="00610904">
      <w:pPr>
        <w:rPr>
          <w:noProof w:val="0"/>
          <w:lang w:val="en-US"/>
        </w:rPr>
      </w:pPr>
      <w:proofErr w:type="gramStart"/>
      <w:r w:rsidRPr="00610904">
        <w:rPr>
          <w:noProof w:val="0"/>
          <w:lang w:val="en-US"/>
        </w:rPr>
        <w:t xml:space="preserve">DONE, at </w:t>
      </w:r>
      <w:r w:rsidR="00033A41" w:rsidRPr="00610904">
        <w:rPr>
          <w:noProof w:val="0"/>
          <w:lang w:val="en-US"/>
        </w:rPr>
        <w:t xml:space="preserve">San José, Costa Rica, </w:t>
      </w:r>
      <w:r w:rsidRPr="00610904">
        <w:rPr>
          <w:noProof w:val="0"/>
          <w:lang w:val="en-US"/>
        </w:rPr>
        <w:t>on September 1, 2015, in the Spanish language.</w:t>
      </w:r>
      <w:proofErr w:type="gramEnd"/>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51351F" w:rsidRDefault="000148C4" w:rsidP="00610904">
      <w:pPr>
        <w:jc w:val="center"/>
        <w:rPr>
          <w:noProof w:val="0"/>
        </w:rPr>
      </w:pPr>
      <w:r w:rsidRPr="0051351F">
        <w:rPr>
          <w:noProof w:val="0"/>
        </w:rPr>
        <w:t>Humberto Antonio Sierra Porto</w:t>
      </w:r>
    </w:p>
    <w:p w:rsidR="000148C4" w:rsidRPr="0051351F" w:rsidRDefault="009F3D78" w:rsidP="00610904">
      <w:pPr>
        <w:jc w:val="center"/>
        <w:rPr>
          <w:noProof w:val="0"/>
        </w:rPr>
      </w:pPr>
      <w:r w:rsidRPr="0051351F">
        <w:rPr>
          <w:noProof w:val="0"/>
        </w:rPr>
        <w:t>President</w:t>
      </w:r>
      <w:r w:rsidR="000148C4" w:rsidRPr="0051351F">
        <w:rPr>
          <w:noProof w:val="0"/>
        </w:rPr>
        <w:t xml:space="preserve"> </w:t>
      </w: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r w:rsidRPr="0051351F">
        <w:rPr>
          <w:noProof w:val="0"/>
        </w:rPr>
        <w:t>Roberto F. Caldas</w:t>
      </w:r>
      <w:r w:rsidRPr="0051351F">
        <w:rPr>
          <w:noProof w:val="0"/>
        </w:rPr>
        <w:tab/>
      </w:r>
      <w:r w:rsidRPr="0051351F">
        <w:rPr>
          <w:noProof w:val="0"/>
        </w:rPr>
        <w:tab/>
      </w:r>
      <w:r w:rsidRPr="0051351F">
        <w:rPr>
          <w:noProof w:val="0"/>
        </w:rPr>
        <w:tab/>
      </w:r>
      <w:r w:rsidRPr="0051351F">
        <w:rPr>
          <w:noProof w:val="0"/>
        </w:rPr>
        <w:tab/>
      </w:r>
      <w:r w:rsidRPr="0051351F">
        <w:rPr>
          <w:noProof w:val="0"/>
        </w:rPr>
        <w:tab/>
      </w:r>
      <w:r w:rsidRPr="0051351F">
        <w:rPr>
          <w:noProof w:val="0"/>
        </w:rPr>
        <w:tab/>
        <w:t xml:space="preserve">    Manuel E. Ventura Robles</w:t>
      </w: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r w:rsidRPr="0051351F">
        <w:rPr>
          <w:noProof w:val="0"/>
        </w:rPr>
        <w:lastRenderedPageBreak/>
        <w:t>Diego García-Sayán</w:t>
      </w:r>
      <w:r w:rsidRPr="0051351F">
        <w:rPr>
          <w:noProof w:val="0"/>
        </w:rPr>
        <w:tab/>
      </w:r>
      <w:r w:rsidRPr="0051351F">
        <w:rPr>
          <w:noProof w:val="0"/>
        </w:rPr>
        <w:tab/>
      </w:r>
      <w:r w:rsidRPr="0051351F">
        <w:rPr>
          <w:noProof w:val="0"/>
        </w:rPr>
        <w:tab/>
      </w:r>
      <w:r w:rsidRPr="0051351F">
        <w:rPr>
          <w:noProof w:val="0"/>
        </w:rPr>
        <w:tab/>
      </w:r>
      <w:r w:rsidRPr="0051351F">
        <w:rPr>
          <w:noProof w:val="0"/>
        </w:rPr>
        <w:tab/>
        <w:t xml:space="preserve">                       Alberto Pérez Pérez</w:t>
      </w: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r w:rsidRPr="0051351F">
        <w:rPr>
          <w:noProof w:val="0"/>
        </w:rPr>
        <w:t>Eduardo Vio Grossi                                               Eduardo Ferrer Mac-Gregor Poisot</w:t>
      </w: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rPr>
          <w:noProof w:val="0"/>
        </w:rPr>
      </w:pPr>
    </w:p>
    <w:p w:rsidR="000148C4" w:rsidRPr="0051351F" w:rsidRDefault="000148C4" w:rsidP="00610904">
      <w:pPr>
        <w:jc w:val="center"/>
        <w:rPr>
          <w:noProof w:val="0"/>
        </w:rPr>
      </w:pPr>
      <w:r w:rsidRPr="0051351F">
        <w:rPr>
          <w:noProof w:val="0"/>
        </w:rPr>
        <w:t>Pablo Saavedra Alessandri</w:t>
      </w:r>
    </w:p>
    <w:p w:rsidR="000148C4" w:rsidRPr="00B31E31" w:rsidRDefault="009F3D78" w:rsidP="00610904">
      <w:pPr>
        <w:jc w:val="center"/>
        <w:rPr>
          <w:noProof w:val="0"/>
          <w:lang w:val="es-CR"/>
        </w:rPr>
      </w:pPr>
      <w:r w:rsidRPr="00B31E31">
        <w:rPr>
          <w:noProof w:val="0"/>
          <w:lang w:val="es-CR"/>
        </w:rPr>
        <w:t>Secretary</w:t>
      </w:r>
    </w:p>
    <w:p w:rsidR="000148C4" w:rsidRPr="00B31E31" w:rsidRDefault="000148C4" w:rsidP="00610904">
      <w:pPr>
        <w:rPr>
          <w:noProof w:val="0"/>
          <w:lang w:val="es-CR"/>
        </w:rPr>
      </w:pPr>
    </w:p>
    <w:p w:rsidR="009F3D78" w:rsidRPr="00B31E31" w:rsidRDefault="009F3D78" w:rsidP="00610904">
      <w:pPr>
        <w:rPr>
          <w:noProof w:val="0"/>
          <w:sz w:val="16"/>
          <w:szCs w:val="20"/>
          <w:lang w:val="es-CR"/>
        </w:rPr>
      </w:pPr>
    </w:p>
    <w:p w:rsidR="000148C4" w:rsidRPr="00B31E31" w:rsidRDefault="009F3D78" w:rsidP="00610904">
      <w:pPr>
        <w:rPr>
          <w:noProof w:val="0"/>
          <w:lang w:val="es-CR"/>
        </w:rPr>
      </w:pPr>
      <w:r w:rsidRPr="00B31E31">
        <w:rPr>
          <w:noProof w:val="0"/>
          <w:lang w:val="es-CR"/>
        </w:rPr>
        <w:t>So ordered</w:t>
      </w:r>
      <w:r w:rsidR="000148C4" w:rsidRPr="00B31E31">
        <w:rPr>
          <w:noProof w:val="0"/>
          <w:lang w:val="es-CR"/>
        </w:rPr>
        <w:t>,</w:t>
      </w:r>
    </w:p>
    <w:p w:rsidR="000148C4" w:rsidRPr="00B31E31" w:rsidRDefault="000148C4" w:rsidP="00610904">
      <w:pPr>
        <w:rPr>
          <w:noProof w:val="0"/>
          <w:lang w:val="es-CR"/>
        </w:rPr>
      </w:pPr>
    </w:p>
    <w:p w:rsidR="000148C4" w:rsidRPr="0051351F" w:rsidRDefault="000148C4" w:rsidP="00610904">
      <w:pPr>
        <w:rPr>
          <w:noProof w:val="0"/>
        </w:rPr>
      </w:pPr>
    </w:p>
    <w:p w:rsidR="000148C4" w:rsidRPr="0051351F" w:rsidRDefault="000148C4" w:rsidP="00610904">
      <w:pPr>
        <w:ind w:left="5040"/>
        <w:rPr>
          <w:noProof w:val="0"/>
        </w:rPr>
      </w:pPr>
      <w:r w:rsidRPr="0051351F">
        <w:rPr>
          <w:noProof w:val="0"/>
        </w:rPr>
        <w:t xml:space="preserve">       Humberto Antonio Sierra Porto</w:t>
      </w:r>
      <w:r w:rsidRPr="0051351F">
        <w:rPr>
          <w:noProof w:val="0"/>
        </w:rPr>
        <w:tab/>
      </w:r>
    </w:p>
    <w:p w:rsidR="000148C4" w:rsidRPr="00610904" w:rsidRDefault="009F3D78" w:rsidP="00610904">
      <w:pPr>
        <w:ind w:left="5760"/>
        <w:jc w:val="center"/>
        <w:rPr>
          <w:noProof w:val="0"/>
          <w:lang w:val="en-US"/>
        </w:rPr>
      </w:pPr>
      <w:r w:rsidRPr="00610904">
        <w:rPr>
          <w:noProof w:val="0"/>
          <w:lang w:val="en-US"/>
        </w:rPr>
        <w:t>President</w:t>
      </w: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p>
    <w:p w:rsidR="000148C4" w:rsidRPr="00610904" w:rsidRDefault="000148C4" w:rsidP="00610904">
      <w:pPr>
        <w:rPr>
          <w:noProof w:val="0"/>
          <w:lang w:val="en-US"/>
        </w:rPr>
      </w:pPr>
      <w:r w:rsidRPr="00610904">
        <w:rPr>
          <w:noProof w:val="0"/>
          <w:lang w:val="en-US"/>
        </w:rPr>
        <w:t>Pablo Saavedra Alessandri</w:t>
      </w:r>
    </w:p>
    <w:p w:rsidR="000148C4" w:rsidRPr="00610904" w:rsidRDefault="000148C4" w:rsidP="00610904">
      <w:pPr>
        <w:rPr>
          <w:noProof w:val="0"/>
          <w:lang w:val="en-US"/>
        </w:rPr>
      </w:pPr>
      <w:r w:rsidRPr="00610904">
        <w:rPr>
          <w:noProof w:val="0"/>
          <w:lang w:val="en-US"/>
        </w:rPr>
        <w:tab/>
      </w:r>
      <w:r w:rsidR="009F3D78" w:rsidRPr="00610904">
        <w:rPr>
          <w:noProof w:val="0"/>
          <w:lang w:val="en-US"/>
        </w:rPr>
        <w:t>Secretary</w:t>
      </w:r>
    </w:p>
    <w:p w:rsidR="000148C4" w:rsidRPr="00610904" w:rsidRDefault="000148C4" w:rsidP="00610904">
      <w:pPr>
        <w:rPr>
          <w:noProof w:val="0"/>
          <w:lang w:val="en-US"/>
        </w:rPr>
        <w:sectPr w:rsidR="000148C4" w:rsidRPr="00610904" w:rsidSect="006A0775">
          <w:headerReference w:type="default" r:id="rId9"/>
          <w:footerReference w:type="default" r:id="rId10"/>
          <w:headerReference w:type="first" r:id="rId11"/>
          <w:pgSz w:w="12240" w:h="15840"/>
          <w:pgMar w:top="1440" w:right="1325" w:bottom="1440" w:left="1440" w:header="720" w:footer="720" w:gutter="0"/>
          <w:cols w:space="720"/>
          <w:titlePg/>
          <w:docGrid w:linePitch="360"/>
        </w:sectPr>
      </w:pPr>
    </w:p>
    <w:p w:rsidR="003E12DE" w:rsidRPr="00610904" w:rsidRDefault="003B4284" w:rsidP="00610904">
      <w:pPr>
        <w:tabs>
          <w:tab w:val="left" w:pos="709"/>
        </w:tabs>
        <w:jc w:val="center"/>
        <w:rPr>
          <w:b/>
          <w:noProof w:val="0"/>
          <w:szCs w:val="20"/>
          <w:lang w:val="en-US"/>
        </w:rPr>
      </w:pPr>
      <w:r w:rsidRPr="00610904">
        <w:rPr>
          <w:b/>
          <w:noProof w:val="0"/>
          <w:szCs w:val="20"/>
          <w:lang w:val="en-US"/>
        </w:rPr>
        <w:lastRenderedPageBreak/>
        <w:t>CONCURRING OPINION OF</w:t>
      </w:r>
      <w:r w:rsidR="003E12DE" w:rsidRPr="00610904">
        <w:rPr>
          <w:b/>
          <w:noProof w:val="0"/>
          <w:szCs w:val="20"/>
          <w:lang w:val="en-US"/>
        </w:rPr>
        <w:t xml:space="preserve"> </w:t>
      </w:r>
      <w:r w:rsidR="009F3D78" w:rsidRPr="00610904">
        <w:rPr>
          <w:b/>
          <w:noProof w:val="0"/>
          <w:szCs w:val="20"/>
          <w:lang w:val="en-US"/>
        </w:rPr>
        <w:t>JUDGE</w:t>
      </w:r>
      <w:r w:rsidR="003E12DE" w:rsidRPr="00610904">
        <w:rPr>
          <w:b/>
          <w:noProof w:val="0"/>
          <w:szCs w:val="20"/>
          <w:lang w:val="en-US"/>
        </w:rPr>
        <w:t xml:space="preserve"> HUMBERTO ANTONIO SIERRA PORTO</w:t>
      </w:r>
    </w:p>
    <w:p w:rsidR="003E12DE" w:rsidRPr="00610904" w:rsidRDefault="003E12DE" w:rsidP="00610904">
      <w:pPr>
        <w:tabs>
          <w:tab w:val="left" w:pos="709"/>
        </w:tabs>
        <w:jc w:val="center"/>
        <w:rPr>
          <w:b/>
          <w:noProof w:val="0"/>
          <w:szCs w:val="20"/>
          <w:lang w:val="en-US"/>
        </w:rPr>
      </w:pPr>
    </w:p>
    <w:p w:rsidR="003E12DE" w:rsidRPr="00610904" w:rsidRDefault="003B4284" w:rsidP="00610904">
      <w:pPr>
        <w:tabs>
          <w:tab w:val="left" w:pos="709"/>
        </w:tabs>
        <w:jc w:val="center"/>
        <w:rPr>
          <w:b/>
          <w:noProof w:val="0"/>
          <w:szCs w:val="20"/>
          <w:lang w:val="en-US"/>
        </w:rPr>
      </w:pPr>
      <w:r w:rsidRPr="00610904">
        <w:rPr>
          <w:b/>
          <w:noProof w:val="0"/>
          <w:szCs w:val="20"/>
          <w:lang w:val="en-US"/>
        </w:rPr>
        <w:t>JUDGMENT OF THE</w:t>
      </w:r>
      <w:r w:rsidR="009F3D78" w:rsidRPr="00610904">
        <w:rPr>
          <w:b/>
          <w:noProof w:val="0"/>
          <w:szCs w:val="20"/>
          <w:lang w:val="en-US"/>
        </w:rPr>
        <w:t xml:space="preserve"> INTER-AMERICAN COURT OF HUMAN RIGHTS</w:t>
      </w:r>
    </w:p>
    <w:p w:rsidR="003E12DE" w:rsidRPr="00610904" w:rsidRDefault="003E12DE" w:rsidP="00610904">
      <w:pPr>
        <w:tabs>
          <w:tab w:val="left" w:pos="709"/>
        </w:tabs>
        <w:jc w:val="center"/>
        <w:rPr>
          <w:b/>
          <w:noProof w:val="0"/>
          <w:szCs w:val="20"/>
          <w:lang w:val="en-US"/>
        </w:rPr>
      </w:pPr>
    </w:p>
    <w:p w:rsidR="003E12DE" w:rsidRPr="0051351F" w:rsidRDefault="003B4284" w:rsidP="00610904">
      <w:pPr>
        <w:tabs>
          <w:tab w:val="left" w:pos="709"/>
        </w:tabs>
        <w:jc w:val="center"/>
        <w:rPr>
          <w:rFonts w:cs="Verdana Bold"/>
          <w:b/>
          <w:bCs/>
          <w:i/>
          <w:caps/>
          <w:noProof w:val="0"/>
          <w:szCs w:val="20"/>
          <w:u w:val="single"/>
        </w:rPr>
      </w:pPr>
      <w:r w:rsidRPr="0051351F">
        <w:rPr>
          <w:b/>
          <w:i/>
          <w:noProof w:val="0"/>
          <w:szCs w:val="20"/>
          <w:u w:val="single"/>
        </w:rPr>
        <w:t>CASE OF</w:t>
      </w:r>
      <w:r w:rsidR="003E12DE" w:rsidRPr="0051351F">
        <w:rPr>
          <w:rFonts w:eastAsia="MS Mincho"/>
          <w:b/>
          <w:i/>
          <w:noProof w:val="0"/>
          <w:szCs w:val="20"/>
          <w:u w:val="single"/>
        </w:rPr>
        <w:t xml:space="preserve"> GONZALES </w:t>
      </w:r>
      <w:r w:rsidRPr="0051351F">
        <w:rPr>
          <w:rFonts w:eastAsia="MS Mincho"/>
          <w:b/>
          <w:i/>
          <w:noProof w:val="0"/>
          <w:szCs w:val="20"/>
          <w:u w:val="single"/>
        </w:rPr>
        <w:t>LLUY</w:t>
      </w:r>
      <w:r w:rsidR="009F3D78" w:rsidRPr="0051351F">
        <w:rPr>
          <w:rFonts w:eastAsia="MS Mincho"/>
          <w:b/>
          <w:i/>
          <w:noProof w:val="0"/>
          <w:szCs w:val="20"/>
          <w:u w:val="single"/>
        </w:rPr>
        <w:t xml:space="preserve"> </w:t>
      </w:r>
      <w:r w:rsidRPr="0051351F">
        <w:rPr>
          <w:rFonts w:eastAsia="MS Mincho"/>
          <w:b/>
          <w:i/>
          <w:noProof w:val="0"/>
          <w:szCs w:val="20"/>
          <w:u w:val="single"/>
        </w:rPr>
        <w:t>ET AL</w:t>
      </w:r>
      <w:r w:rsidR="009F3D78" w:rsidRPr="0051351F">
        <w:rPr>
          <w:rFonts w:eastAsia="MS Mincho"/>
          <w:b/>
          <w:i/>
          <w:noProof w:val="0"/>
          <w:szCs w:val="20"/>
          <w:u w:val="single"/>
        </w:rPr>
        <w:t>.</w:t>
      </w:r>
      <w:r w:rsidRPr="0051351F">
        <w:rPr>
          <w:rFonts w:eastAsia="MS Mincho"/>
          <w:b/>
          <w:i/>
          <w:noProof w:val="0"/>
          <w:szCs w:val="20"/>
          <w:u w:val="single"/>
        </w:rPr>
        <w:t xml:space="preserve"> </w:t>
      </w:r>
      <w:r w:rsidR="00B31E31">
        <w:rPr>
          <w:rFonts w:eastAsia="MS Mincho"/>
          <w:b/>
          <w:i/>
          <w:noProof w:val="0"/>
          <w:szCs w:val="20"/>
          <w:u w:val="single"/>
        </w:rPr>
        <w:t>v</w:t>
      </w:r>
      <w:r w:rsidR="003E12DE" w:rsidRPr="0051351F">
        <w:rPr>
          <w:rFonts w:eastAsia="MS Mincho"/>
          <w:b/>
          <w:i/>
          <w:noProof w:val="0"/>
          <w:szCs w:val="20"/>
          <w:u w:val="single"/>
        </w:rPr>
        <w:t>. ECUADO</w:t>
      </w:r>
      <w:r w:rsidR="003E12DE" w:rsidRPr="0051351F">
        <w:rPr>
          <w:rFonts w:cs="Verdana Bold"/>
          <w:b/>
          <w:bCs/>
          <w:i/>
          <w:caps/>
          <w:noProof w:val="0"/>
          <w:szCs w:val="20"/>
          <w:u w:val="single"/>
        </w:rPr>
        <w:t>R</w:t>
      </w:r>
    </w:p>
    <w:p w:rsidR="003E12DE" w:rsidRPr="0051351F" w:rsidRDefault="003E12DE" w:rsidP="00610904">
      <w:pPr>
        <w:tabs>
          <w:tab w:val="left" w:pos="709"/>
        </w:tabs>
        <w:jc w:val="center"/>
        <w:rPr>
          <w:b/>
          <w:noProof w:val="0"/>
          <w:szCs w:val="20"/>
        </w:rPr>
      </w:pPr>
    </w:p>
    <w:p w:rsidR="003E12DE" w:rsidRPr="00610904" w:rsidRDefault="003B4284" w:rsidP="00610904">
      <w:pPr>
        <w:tabs>
          <w:tab w:val="left" w:pos="709"/>
        </w:tabs>
        <w:jc w:val="center"/>
        <w:rPr>
          <w:b/>
          <w:noProof w:val="0"/>
          <w:szCs w:val="20"/>
          <w:lang w:val="en-US"/>
        </w:rPr>
      </w:pPr>
      <w:r w:rsidRPr="00610904">
        <w:rPr>
          <w:b/>
          <w:noProof w:val="0"/>
          <w:szCs w:val="20"/>
          <w:lang w:val="en-US"/>
        </w:rPr>
        <w:t xml:space="preserve">JUDGMENT OF SEPTEMBER 1, </w:t>
      </w:r>
      <w:r w:rsidR="003E12DE" w:rsidRPr="00610904">
        <w:rPr>
          <w:b/>
          <w:noProof w:val="0"/>
          <w:szCs w:val="20"/>
          <w:lang w:val="en-US"/>
        </w:rPr>
        <w:t>2015</w:t>
      </w:r>
    </w:p>
    <w:p w:rsidR="003E12DE" w:rsidRPr="00610904" w:rsidRDefault="003E12DE" w:rsidP="00610904">
      <w:pPr>
        <w:tabs>
          <w:tab w:val="left" w:pos="709"/>
        </w:tabs>
        <w:rPr>
          <w:b/>
          <w:noProof w:val="0"/>
          <w:szCs w:val="20"/>
          <w:lang w:val="en-US"/>
        </w:rPr>
      </w:pPr>
    </w:p>
    <w:p w:rsidR="003E12DE" w:rsidRPr="00610904" w:rsidRDefault="003E12DE" w:rsidP="00610904">
      <w:pPr>
        <w:tabs>
          <w:tab w:val="left" w:pos="709"/>
        </w:tabs>
        <w:jc w:val="center"/>
        <w:rPr>
          <w:b/>
          <w:i/>
          <w:noProof w:val="0"/>
          <w:szCs w:val="20"/>
          <w:lang w:val="en-US"/>
        </w:rPr>
      </w:pPr>
      <w:r w:rsidRPr="00610904">
        <w:rPr>
          <w:b/>
          <w:i/>
          <w:noProof w:val="0"/>
          <w:szCs w:val="20"/>
          <w:lang w:val="en-US"/>
        </w:rPr>
        <w:t>(</w:t>
      </w:r>
      <w:r w:rsidR="00A8072E" w:rsidRPr="00610904">
        <w:rPr>
          <w:b/>
          <w:i/>
          <w:noProof w:val="0"/>
          <w:szCs w:val="20"/>
          <w:lang w:val="en-US"/>
        </w:rPr>
        <w:t>Preliminary objections</w:t>
      </w:r>
      <w:r w:rsidRPr="00610904">
        <w:rPr>
          <w:b/>
          <w:i/>
          <w:noProof w:val="0"/>
          <w:szCs w:val="20"/>
          <w:lang w:val="en-US"/>
        </w:rPr>
        <w:t xml:space="preserve">, </w:t>
      </w:r>
      <w:r w:rsidR="003B4284" w:rsidRPr="00610904">
        <w:rPr>
          <w:b/>
          <w:i/>
          <w:noProof w:val="0"/>
          <w:szCs w:val="20"/>
          <w:lang w:val="en-US"/>
        </w:rPr>
        <w:t>merits, reparations and costs</w:t>
      </w:r>
      <w:r w:rsidRPr="00610904">
        <w:rPr>
          <w:b/>
          <w:i/>
          <w:noProof w:val="0"/>
          <w:szCs w:val="20"/>
          <w:lang w:val="en-US"/>
        </w:rPr>
        <w:t>)</w:t>
      </w:r>
    </w:p>
    <w:p w:rsidR="003E12DE" w:rsidRPr="00610904" w:rsidRDefault="003E12DE" w:rsidP="00610904">
      <w:pPr>
        <w:tabs>
          <w:tab w:val="left" w:pos="709"/>
        </w:tabs>
        <w:jc w:val="center"/>
        <w:rPr>
          <w:b/>
          <w:noProof w:val="0"/>
          <w:szCs w:val="20"/>
          <w:lang w:val="en-US"/>
        </w:rPr>
      </w:pPr>
    </w:p>
    <w:p w:rsidR="003E12DE" w:rsidRPr="00610904" w:rsidRDefault="003E12DE" w:rsidP="00610904">
      <w:pPr>
        <w:tabs>
          <w:tab w:val="left" w:pos="709"/>
        </w:tabs>
        <w:rPr>
          <w:noProof w:val="0"/>
          <w:szCs w:val="20"/>
          <w:lang w:val="en-US"/>
        </w:rPr>
      </w:pPr>
    </w:p>
    <w:p w:rsidR="003E12DE" w:rsidRPr="00610904" w:rsidRDefault="003B4284" w:rsidP="00610904">
      <w:pPr>
        <w:pStyle w:val="ListParagraph"/>
        <w:numPr>
          <w:ilvl w:val="0"/>
          <w:numId w:val="18"/>
        </w:numPr>
        <w:tabs>
          <w:tab w:val="left" w:pos="709"/>
        </w:tabs>
        <w:contextualSpacing/>
        <w:jc w:val="left"/>
        <w:rPr>
          <w:b/>
          <w:noProof w:val="0"/>
          <w:szCs w:val="20"/>
          <w:lang w:val="en-US"/>
        </w:rPr>
      </w:pPr>
      <w:r w:rsidRPr="00610904">
        <w:rPr>
          <w:b/>
          <w:noProof w:val="0"/>
          <w:szCs w:val="20"/>
          <w:lang w:val="en-US"/>
        </w:rPr>
        <w:t>Introdu</w:t>
      </w:r>
      <w:r w:rsidR="003E12DE" w:rsidRPr="00610904">
        <w:rPr>
          <w:b/>
          <w:noProof w:val="0"/>
          <w:szCs w:val="20"/>
          <w:lang w:val="en-US"/>
        </w:rPr>
        <w:t>c</w:t>
      </w:r>
      <w:r w:rsidRPr="00610904">
        <w:rPr>
          <w:b/>
          <w:noProof w:val="0"/>
          <w:szCs w:val="20"/>
          <w:lang w:val="en-US"/>
        </w:rPr>
        <w:t>tion</w:t>
      </w:r>
    </w:p>
    <w:p w:rsidR="003E12DE" w:rsidRPr="00610904" w:rsidRDefault="003E12DE" w:rsidP="00610904">
      <w:pPr>
        <w:pStyle w:val="ListParagraph"/>
        <w:tabs>
          <w:tab w:val="left" w:pos="709"/>
        </w:tabs>
        <w:rPr>
          <w:b/>
          <w:noProof w:val="0"/>
          <w:szCs w:val="20"/>
          <w:lang w:val="en-US"/>
        </w:rPr>
      </w:pPr>
    </w:p>
    <w:p w:rsidR="003E12DE" w:rsidRPr="00610904" w:rsidRDefault="002310E6"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The purpose of this opinion is to expand on and supplement the reasons why I consider that it is not necessary to declare the violation of Article 26 of the American Convention on Human Rights (hereinafter “the Convention” or “the American Convention”) in order to achieve the effect</w:t>
      </w:r>
      <w:r w:rsidR="001F2FFF" w:rsidRPr="00610904">
        <w:rPr>
          <w:noProof w:val="0"/>
          <w:szCs w:val="20"/>
          <w:lang w:val="en-US"/>
        </w:rPr>
        <w:t>ive protection and guarantee of</w:t>
      </w:r>
      <w:r w:rsidR="00357398" w:rsidRPr="00610904">
        <w:rPr>
          <w:noProof w:val="0"/>
          <w:szCs w:val="20"/>
          <w:lang w:val="en-US"/>
        </w:rPr>
        <w:t xml:space="preserve"> economic, social and cultural rights</w:t>
      </w:r>
      <w:r w:rsidR="003E12DE" w:rsidRPr="00610904">
        <w:rPr>
          <w:noProof w:val="0"/>
          <w:szCs w:val="20"/>
          <w:lang w:val="en-US"/>
        </w:rPr>
        <w:t xml:space="preserve"> (</w:t>
      </w:r>
      <w:r w:rsidR="009F3D78" w:rsidRPr="00610904">
        <w:rPr>
          <w:noProof w:val="0"/>
          <w:szCs w:val="20"/>
          <w:lang w:val="en-US"/>
        </w:rPr>
        <w:t>hereinafter</w:t>
      </w:r>
      <w:r w:rsidR="003E12DE" w:rsidRPr="00610904">
        <w:rPr>
          <w:noProof w:val="0"/>
          <w:szCs w:val="20"/>
          <w:lang w:val="en-US"/>
        </w:rPr>
        <w:t xml:space="preserve"> “</w:t>
      </w:r>
      <w:r w:rsidRPr="00610904">
        <w:rPr>
          <w:noProof w:val="0"/>
          <w:szCs w:val="20"/>
          <w:lang w:val="en-US"/>
        </w:rPr>
        <w:t>ESCR</w:t>
      </w:r>
      <w:r w:rsidR="003E12DE" w:rsidRPr="00610904">
        <w:rPr>
          <w:noProof w:val="0"/>
          <w:szCs w:val="20"/>
          <w:lang w:val="en-US"/>
        </w:rPr>
        <w:t>”).</w:t>
      </w:r>
      <w:r w:rsidRPr="00610904">
        <w:rPr>
          <w:noProof w:val="0"/>
          <w:szCs w:val="20"/>
          <w:lang w:val="en-US"/>
        </w:rPr>
        <w:t xml:space="preserve"> To the contrary, my legal opinion on this matter is that using this way to tr</w:t>
      </w:r>
      <w:r w:rsidR="001F2FFF" w:rsidRPr="00610904">
        <w:rPr>
          <w:noProof w:val="0"/>
          <w:szCs w:val="20"/>
          <w:lang w:val="en-US"/>
        </w:rPr>
        <w:t>y and make the ESCR justiciable</w:t>
      </w:r>
      <w:r w:rsidRPr="00610904">
        <w:rPr>
          <w:noProof w:val="0"/>
          <w:szCs w:val="20"/>
          <w:lang w:val="en-US"/>
        </w:rPr>
        <w:t xml:space="preserve"> </w:t>
      </w:r>
      <w:r w:rsidR="001F2FFF" w:rsidRPr="00610904">
        <w:rPr>
          <w:noProof w:val="0"/>
          <w:szCs w:val="20"/>
          <w:lang w:val="en-US"/>
        </w:rPr>
        <w:t>under the inter-American system</w:t>
      </w:r>
      <w:r w:rsidRPr="00610904">
        <w:rPr>
          <w:noProof w:val="0"/>
          <w:szCs w:val="20"/>
          <w:lang w:val="en-US"/>
        </w:rPr>
        <w:t xml:space="preserve"> may be even more problematic than other ways that exist and have already been applied by the Court. For example, in this case, the Court protected the right to health by way of its </w:t>
      </w:r>
      <w:r w:rsidR="001F2FFF" w:rsidRPr="00610904">
        <w:rPr>
          <w:noProof w:val="0"/>
          <w:szCs w:val="20"/>
          <w:lang w:val="en-US"/>
        </w:rPr>
        <w:t>connectivity</w:t>
      </w:r>
      <w:r w:rsidRPr="00610904">
        <w:rPr>
          <w:noProof w:val="0"/>
          <w:szCs w:val="20"/>
          <w:lang w:val="en-US"/>
        </w:rPr>
        <w:t xml:space="preserve"> to the right to life and to personal integrity, by declaring the violation of “the obligation to monitor and supervise the provision of health care services, within the framework </w:t>
      </w:r>
      <w:r w:rsidR="00EF508D" w:rsidRPr="00610904">
        <w:rPr>
          <w:noProof w:val="0"/>
          <w:szCs w:val="20"/>
          <w:lang w:val="en-US"/>
        </w:rPr>
        <w:t>of the right to</w:t>
      </w:r>
      <w:r w:rsidR="008956E2" w:rsidRPr="00610904">
        <w:rPr>
          <w:noProof w:val="0"/>
          <w:szCs w:val="20"/>
          <w:lang w:val="en-US"/>
        </w:rPr>
        <w:t xml:space="preserve"> personal integrity</w:t>
      </w:r>
      <w:r w:rsidR="009F3D78" w:rsidRPr="00610904">
        <w:rPr>
          <w:noProof w:val="0"/>
          <w:szCs w:val="20"/>
          <w:lang w:val="en-US"/>
        </w:rPr>
        <w:t xml:space="preserve"> and </w:t>
      </w:r>
      <w:r w:rsidRPr="00610904">
        <w:rPr>
          <w:noProof w:val="0"/>
          <w:szCs w:val="20"/>
          <w:lang w:val="en-US"/>
        </w:rPr>
        <w:t>of the obligation not to endanger life.</w:t>
      </w:r>
      <w:r w:rsidR="003E12DE" w:rsidRPr="00610904">
        <w:rPr>
          <w:noProof w:val="0"/>
          <w:szCs w:val="20"/>
          <w:lang w:val="en-US"/>
        </w:rPr>
        <w:t>”</w:t>
      </w:r>
      <w:r w:rsidR="003E12DE" w:rsidRPr="00610904">
        <w:rPr>
          <w:rStyle w:val="FootnoteReference"/>
          <w:noProof w:val="0"/>
          <w:lang w:val="en-US"/>
        </w:rPr>
        <w:footnoteReference w:id="433"/>
      </w:r>
    </w:p>
    <w:p w:rsidR="002310E6" w:rsidRPr="00610904" w:rsidRDefault="002310E6" w:rsidP="00610904">
      <w:pPr>
        <w:pStyle w:val="ListParagraph"/>
        <w:tabs>
          <w:tab w:val="left" w:pos="709"/>
        </w:tabs>
        <w:ind w:left="0"/>
        <w:rPr>
          <w:noProof w:val="0"/>
          <w:szCs w:val="20"/>
          <w:lang w:val="en-US"/>
        </w:rPr>
      </w:pPr>
    </w:p>
    <w:p w:rsidR="003E12DE" w:rsidRPr="00610904" w:rsidRDefault="003E12DE"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 </w:t>
      </w:r>
      <w:r w:rsidR="002310E6" w:rsidRPr="00610904">
        <w:rPr>
          <w:noProof w:val="0"/>
          <w:szCs w:val="20"/>
          <w:lang w:val="en-US"/>
        </w:rPr>
        <w:t>In this regard, I would like to clarify that I am basing my opinion on the premise that mechanisms must exist to protect these rights, and for this reason I understand the good intentio</w:t>
      </w:r>
      <w:r w:rsidR="001F2FFF" w:rsidRPr="00610904">
        <w:rPr>
          <w:noProof w:val="0"/>
          <w:szCs w:val="20"/>
          <w:lang w:val="en-US"/>
        </w:rPr>
        <w:t>ns</w:t>
      </w:r>
      <w:r w:rsidR="002310E6" w:rsidRPr="00610904">
        <w:rPr>
          <w:noProof w:val="0"/>
          <w:szCs w:val="20"/>
          <w:lang w:val="en-US"/>
        </w:rPr>
        <w:t xml:space="preserve"> of the j</w:t>
      </w:r>
      <w:r w:rsidR="005B3E6E" w:rsidRPr="00610904">
        <w:rPr>
          <w:noProof w:val="0"/>
          <w:szCs w:val="20"/>
          <w:lang w:val="en-US"/>
        </w:rPr>
        <w:t>udges and academics who propose the</w:t>
      </w:r>
      <w:r w:rsidR="002310E6" w:rsidRPr="00610904">
        <w:rPr>
          <w:noProof w:val="0"/>
          <w:szCs w:val="20"/>
          <w:lang w:val="en-US"/>
        </w:rPr>
        <w:t xml:space="preserve"> direct application of Article 26 of the Conve</w:t>
      </w:r>
      <w:r w:rsidR="001F2FFF" w:rsidRPr="00610904">
        <w:rPr>
          <w:noProof w:val="0"/>
          <w:szCs w:val="20"/>
          <w:lang w:val="en-US"/>
        </w:rPr>
        <w:t xml:space="preserve">ntion. However, I believe it </w:t>
      </w:r>
      <w:r w:rsidR="002310E6" w:rsidRPr="00610904">
        <w:rPr>
          <w:noProof w:val="0"/>
          <w:szCs w:val="20"/>
          <w:lang w:val="en-US"/>
        </w:rPr>
        <w:t>important to point out the main problems that, in my opinion, arise from this proposal an</w:t>
      </w:r>
      <w:r w:rsidR="0076589E">
        <w:rPr>
          <w:noProof w:val="0"/>
          <w:szCs w:val="20"/>
          <w:lang w:val="en-US"/>
        </w:rPr>
        <w:t>d that are, in turn, the reason</w:t>
      </w:r>
      <w:r w:rsidR="002310E6" w:rsidRPr="00610904">
        <w:rPr>
          <w:noProof w:val="0"/>
          <w:szCs w:val="20"/>
          <w:lang w:val="en-US"/>
        </w:rPr>
        <w:t xml:space="preserve"> why I consider that </w:t>
      </w:r>
      <w:r w:rsidR="009F3D78" w:rsidRPr="00610904">
        <w:rPr>
          <w:noProof w:val="0"/>
          <w:szCs w:val="20"/>
          <w:lang w:val="en-US"/>
        </w:rPr>
        <w:t>the Inter-American Court</w:t>
      </w:r>
      <w:r w:rsidRPr="00610904">
        <w:rPr>
          <w:noProof w:val="0"/>
          <w:szCs w:val="20"/>
          <w:lang w:val="en-US"/>
        </w:rPr>
        <w:t xml:space="preserve"> </w:t>
      </w:r>
      <w:r w:rsidR="002310E6" w:rsidRPr="00610904">
        <w:rPr>
          <w:noProof w:val="0"/>
          <w:szCs w:val="20"/>
          <w:lang w:val="en-US"/>
        </w:rPr>
        <w:t>should not ad</w:t>
      </w:r>
      <w:r w:rsidR="005B3E6E" w:rsidRPr="00610904">
        <w:rPr>
          <w:noProof w:val="0"/>
          <w:szCs w:val="20"/>
          <w:lang w:val="en-US"/>
        </w:rPr>
        <w:t>o</w:t>
      </w:r>
      <w:r w:rsidR="002310E6" w:rsidRPr="00610904">
        <w:rPr>
          <w:noProof w:val="0"/>
          <w:szCs w:val="20"/>
          <w:lang w:val="en-US"/>
        </w:rPr>
        <w:t>pt this position.</w:t>
      </w:r>
    </w:p>
    <w:p w:rsidR="003E12DE" w:rsidRPr="00610904" w:rsidRDefault="003E12DE" w:rsidP="00610904">
      <w:pPr>
        <w:pStyle w:val="ListParagraph"/>
        <w:tabs>
          <w:tab w:val="left" w:pos="709"/>
        </w:tabs>
        <w:rPr>
          <w:noProof w:val="0"/>
          <w:szCs w:val="20"/>
          <w:lang w:val="en-US"/>
        </w:rPr>
      </w:pPr>
    </w:p>
    <w:p w:rsidR="003E12DE" w:rsidRPr="00610904" w:rsidRDefault="002310E6"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To support the foregoing, I will proceed to analyze</w:t>
      </w:r>
      <w:r w:rsidR="003E12DE" w:rsidRPr="00610904">
        <w:rPr>
          <w:noProof w:val="0"/>
          <w:szCs w:val="20"/>
          <w:lang w:val="en-US"/>
        </w:rPr>
        <w:t xml:space="preserve">: </w:t>
      </w:r>
      <w:r w:rsidRPr="00610904">
        <w:rPr>
          <w:noProof w:val="0"/>
          <w:szCs w:val="20"/>
          <w:lang w:val="en-US"/>
        </w:rPr>
        <w:t>(</w:t>
      </w:r>
      <w:r w:rsidR="003E12DE" w:rsidRPr="00610904">
        <w:rPr>
          <w:noProof w:val="0"/>
          <w:szCs w:val="20"/>
          <w:lang w:val="en-US"/>
        </w:rPr>
        <w:t xml:space="preserve">i) </w:t>
      </w:r>
      <w:r w:rsidRPr="00610904">
        <w:rPr>
          <w:noProof w:val="0"/>
          <w:szCs w:val="20"/>
          <w:lang w:val="en-US"/>
        </w:rPr>
        <w:t>the scope</w:t>
      </w:r>
      <w:r w:rsidR="003E12DE" w:rsidRPr="00610904">
        <w:rPr>
          <w:noProof w:val="0"/>
          <w:szCs w:val="20"/>
          <w:lang w:val="en-US"/>
        </w:rPr>
        <w:t xml:space="preserve"> </w:t>
      </w:r>
      <w:r w:rsidR="006E502B" w:rsidRPr="00610904">
        <w:rPr>
          <w:noProof w:val="0"/>
          <w:szCs w:val="20"/>
          <w:lang w:val="en-US"/>
        </w:rPr>
        <w:t>of Article</w:t>
      </w:r>
      <w:r w:rsidR="003E12DE" w:rsidRPr="00610904">
        <w:rPr>
          <w:noProof w:val="0"/>
          <w:szCs w:val="20"/>
          <w:lang w:val="en-US"/>
        </w:rPr>
        <w:t xml:space="preserve"> 26</w:t>
      </w:r>
      <w:r w:rsidR="009F3D78" w:rsidRPr="00610904">
        <w:rPr>
          <w:noProof w:val="0"/>
          <w:szCs w:val="20"/>
          <w:lang w:val="en-US"/>
        </w:rPr>
        <w:t xml:space="preserve"> of the American Convention</w:t>
      </w:r>
      <w:r w:rsidR="003E12DE" w:rsidRPr="00610904">
        <w:rPr>
          <w:noProof w:val="0"/>
          <w:szCs w:val="20"/>
          <w:lang w:val="en-US"/>
        </w:rPr>
        <w:t xml:space="preserve">; </w:t>
      </w:r>
      <w:r w:rsidRPr="00610904">
        <w:rPr>
          <w:noProof w:val="0"/>
          <w:szCs w:val="20"/>
          <w:lang w:val="en-US"/>
        </w:rPr>
        <w:t>(</w:t>
      </w:r>
      <w:r w:rsidR="003E12DE" w:rsidRPr="00610904">
        <w:rPr>
          <w:noProof w:val="0"/>
          <w:szCs w:val="20"/>
          <w:lang w:val="en-US"/>
        </w:rPr>
        <w:t xml:space="preserve">ii) </w:t>
      </w:r>
      <w:r w:rsidRPr="00610904">
        <w:rPr>
          <w:noProof w:val="0"/>
          <w:szCs w:val="20"/>
          <w:lang w:val="en-US"/>
        </w:rPr>
        <w:t xml:space="preserve">the limitation of competence established in the </w:t>
      </w:r>
      <w:r w:rsidR="00852A2E" w:rsidRPr="00610904">
        <w:rPr>
          <w:noProof w:val="0"/>
          <w:szCs w:val="20"/>
          <w:lang w:val="en-US"/>
        </w:rPr>
        <w:t>Protocol of</w:t>
      </w:r>
      <w:r w:rsidR="003E12DE" w:rsidRPr="00610904">
        <w:rPr>
          <w:noProof w:val="0"/>
          <w:szCs w:val="20"/>
          <w:lang w:val="en-US"/>
        </w:rPr>
        <w:t xml:space="preserve"> San Salvador,</w:t>
      </w:r>
      <w:r w:rsidR="009F3D78" w:rsidRPr="00610904">
        <w:rPr>
          <w:noProof w:val="0"/>
          <w:szCs w:val="20"/>
          <w:lang w:val="en-US"/>
        </w:rPr>
        <w:t xml:space="preserve"> and </w:t>
      </w:r>
      <w:r w:rsidRPr="00610904">
        <w:rPr>
          <w:noProof w:val="0"/>
          <w:szCs w:val="20"/>
          <w:lang w:val="en-US"/>
        </w:rPr>
        <w:t>(</w:t>
      </w:r>
      <w:r w:rsidR="003E12DE" w:rsidRPr="00610904">
        <w:rPr>
          <w:noProof w:val="0"/>
          <w:szCs w:val="20"/>
          <w:lang w:val="en-US"/>
        </w:rPr>
        <w:t xml:space="preserve">iii) </w:t>
      </w:r>
      <w:r w:rsidRPr="00610904">
        <w:rPr>
          <w:noProof w:val="0"/>
          <w:szCs w:val="20"/>
          <w:lang w:val="en-US"/>
        </w:rPr>
        <w:t xml:space="preserve">the use of evolutive interpretation and the </w:t>
      </w:r>
      <w:r w:rsidR="003E12DE" w:rsidRPr="00610904">
        <w:rPr>
          <w:i/>
          <w:noProof w:val="0"/>
          <w:szCs w:val="20"/>
          <w:lang w:val="en-US"/>
        </w:rPr>
        <w:t>pro homine</w:t>
      </w:r>
      <w:r w:rsidRPr="00610904">
        <w:rPr>
          <w:noProof w:val="0"/>
          <w:szCs w:val="20"/>
          <w:lang w:val="en-US"/>
        </w:rPr>
        <w:t xml:space="preserve"> principle.</w:t>
      </w:r>
      <w:r w:rsidR="003E12DE" w:rsidRPr="00610904">
        <w:rPr>
          <w:noProof w:val="0"/>
          <w:szCs w:val="20"/>
          <w:lang w:val="en-US"/>
        </w:rPr>
        <w:t xml:space="preserve"> </w:t>
      </w:r>
      <w:r w:rsidRPr="00610904">
        <w:rPr>
          <w:noProof w:val="0"/>
          <w:szCs w:val="20"/>
          <w:lang w:val="en-US"/>
        </w:rPr>
        <w:t>Lastly, and in conclusion, I will include some general considerations on the nature and competence of human rights courts.</w:t>
      </w:r>
    </w:p>
    <w:p w:rsidR="003E12DE" w:rsidRPr="00610904" w:rsidRDefault="003E12DE" w:rsidP="00610904">
      <w:pPr>
        <w:tabs>
          <w:tab w:val="left" w:pos="709"/>
        </w:tabs>
        <w:rPr>
          <w:noProof w:val="0"/>
          <w:szCs w:val="20"/>
          <w:lang w:val="en-US"/>
        </w:rPr>
      </w:pPr>
    </w:p>
    <w:p w:rsidR="003E12DE" w:rsidRPr="00610904" w:rsidRDefault="005B3E6E" w:rsidP="00610904">
      <w:pPr>
        <w:pStyle w:val="ListParagraph"/>
        <w:numPr>
          <w:ilvl w:val="0"/>
          <w:numId w:val="18"/>
        </w:numPr>
        <w:tabs>
          <w:tab w:val="left" w:pos="709"/>
        </w:tabs>
        <w:contextualSpacing/>
        <w:jc w:val="left"/>
        <w:rPr>
          <w:b/>
          <w:noProof w:val="0"/>
          <w:szCs w:val="20"/>
          <w:lang w:val="en-US"/>
        </w:rPr>
      </w:pPr>
      <w:r w:rsidRPr="00610904">
        <w:rPr>
          <w:b/>
          <w:noProof w:val="0"/>
          <w:szCs w:val="20"/>
          <w:lang w:val="en-US"/>
        </w:rPr>
        <w:t>Scope</w:t>
      </w:r>
      <w:r w:rsidR="003E12DE" w:rsidRPr="00610904">
        <w:rPr>
          <w:b/>
          <w:noProof w:val="0"/>
          <w:szCs w:val="20"/>
          <w:lang w:val="en-US"/>
        </w:rPr>
        <w:t xml:space="preserve"> </w:t>
      </w:r>
      <w:r w:rsidR="006E502B" w:rsidRPr="00610904">
        <w:rPr>
          <w:b/>
          <w:noProof w:val="0"/>
          <w:szCs w:val="20"/>
          <w:lang w:val="en-US"/>
        </w:rPr>
        <w:t>of Article</w:t>
      </w:r>
      <w:r w:rsidR="003E12DE" w:rsidRPr="00610904">
        <w:rPr>
          <w:b/>
          <w:noProof w:val="0"/>
          <w:szCs w:val="20"/>
          <w:lang w:val="en-US"/>
        </w:rPr>
        <w:t xml:space="preserve"> 26</w:t>
      </w:r>
      <w:r w:rsidR="009F3D78" w:rsidRPr="00610904">
        <w:rPr>
          <w:b/>
          <w:noProof w:val="0"/>
          <w:szCs w:val="20"/>
          <w:lang w:val="en-US"/>
        </w:rPr>
        <w:t xml:space="preserve"> of the American Convention</w:t>
      </w:r>
    </w:p>
    <w:p w:rsidR="003E12DE" w:rsidRPr="00610904" w:rsidRDefault="003E12DE" w:rsidP="00610904">
      <w:pPr>
        <w:pStyle w:val="ListParagraph"/>
        <w:tabs>
          <w:tab w:val="left" w:pos="709"/>
        </w:tabs>
        <w:rPr>
          <w:b/>
          <w:noProof w:val="0"/>
          <w:szCs w:val="20"/>
          <w:lang w:val="en-US"/>
        </w:rPr>
      </w:pPr>
    </w:p>
    <w:p w:rsidR="005B3E6E" w:rsidRPr="00610904" w:rsidRDefault="005B3E6E"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Before beginning to examine </w:t>
      </w:r>
      <w:r w:rsidR="006E502B"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Pr="00610904">
        <w:rPr>
          <w:noProof w:val="0"/>
          <w:szCs w:val="20"/>
          <w:lang w:val="en-US"/>
        </w:rPr>
        <w:t xml:space="preserve">, I would like to </w:t>
      </w:r>
      <w:r w:rsidR="001F2FFF" w:rsidRPr="00610904">
        <w:rPr>
          <w:noProof w:val="0"/>
          <w:szCs w:val="20"/>
          <w:lang w:val="en-US"/>
        </w:rPr>
        <w:t>clarify</w:t>
      </w:r>
      <w:r w:rsidRPr="00610904">
        <w:rPr>
          <w:noProof w:val="0"/>
          <w:szCs w:val="20"/>
          <w:lang w:val="en-US"/>
        </w:rPr>
        <w:t xml:space="preserve"> that my position on this issue refers exclusively to the competence of </w:t>
      </w:r>
      <w:r w:rsidR="009F3D78" w:rsidRPr="00610904">
        <w:rPr>
          <w:noProof w:val="0"/>
          <w:szCs w:val="20"/>
          <w:lang w:val="en-US"/>
        </w:rPr>
        <w:t>the Inter-American Court</w:t>
      </w:r>
      <w:r w:rsidR="003E12DE" w:rsidRPr="00610904">
        <w:rPr>
          <w:noProof w:val="0"/>
          <w:szCs w:val="20"/>
          <w:lang w:val="en-US"/>
        </w:rPr>
        <w:t xml:space="preserve"> </w:t>
      </w:r>
      <w:r w:rsidRPr="00610904">
        <w:rPr>
          <w:noProof w:val="0"/>
          <w:szCs w:val="20"/>
          <w:lang w:val="en-US"/>
        </w:rPr>
        <w:t xml:space="preserve">to declare a violation of the rights established in the </w:t>
      </w:r>
      <w:r w:rsidR="00852A2E" w:rsidRPr="00610904">
        <w:rPr>
          <w:noProof w:val="0"/>
          <w:szCs w:val="20"/>
          <w:lang w:val="en-US"/>
        </w:rPr>
        <w:t>Protocol of</w:t>
      </w:r>
      <w:r w:rsidR="003E12DE" w:rsidRPr="00610904">
        <w:rPr>
          <w:noProof w:val="0"/>
          <w:szCs w:val="20"/>
          <w:lang w:val="en-US"/>
        </w:rPr>
        <w:t xml:space="preserve"> San Salvado</w:t>
      </w:r>
      <w:r w:rsidR="00E0223B" w:rsidRPr="00610904">
        <w:rPr>
          <w:noProof w:val="0"/>
          <w:szCs w:val="20"/>
          <w:lang w:val="en-US"/>
        </w:rPr>
        <w:t>r; c</w:t>
      </w:r>
      <w:r w:rsidR="001F2FFF" w:rsidRPr="00610904">
        <w:rPr>
          <w:noProof w:val="0"/>
          <w:szCs w:val="20"/>
          <w:lang w:val="en-US"/>
        </w:rPr>
        <w:t>onsequently,</w:t>
      </w:r>
      <w:r w:rsidRPr="00610904">
        <w:rPr>
          <w:noProof w:val="0"/>
          <w:szCs w:val="20"/>
          <w:lang w:val="en-US"/>
        </w:rPr>
        <w:t xml:space="preserve"> I will not refer in great detail to some </w:t>
      </w:r>
      <w:r w:rsidR="001F2FFF" w:rsidRPr="00610904">
        <w:rPr>
          <w:noProof w:val="0"/>
          <w:szCs w:val="20"/>
          <w:lang w:val="en-US"/>
        </w:rPr>
        <w:t xml:space="preserve">of the </w:t>
      </w:r>
      <w:r w:rsidRPr="00610904">
        <w:rPr>
          <w:noProof w:val="0"/>
          <w:szCs w:val="20"/>
          <w:lang w:val="en-US"/>
        </w:rPr>
        <w:t xml:space="preserve">discussions that exist in the context of the </w:t>
      </w:r>
      <w:r w:rsidR="001F2FFF" w:rsidRPr="00610904">
        <w:rPr>
          <w:noProof w:val="0"/>
          <w:szCs w:val="20"/>
          <w:lang w:val="en-US"/>
        </w:rPr>
        <w:t>debate on the justiciability of</w:t>
      </w:r>
      <w:r w:rsidR="002310E6" w:rsidRPr="00610904">
        <w:rPr>
          <w:noProof w:val="0"/>
          <w:szCs w:val="20"/>
          <w:lang w:val="en-US"/>
        </w:rPr>
        <w:t xml:space="preserve"> ESCR</w:t>
      </w:r>
      <w:r w:rsidR="003E12DE" w:rsidRPr="00610904">
        <w:rPr>
          <w:noProof w:val="0"/>
          <w:szCs w:val="20"/>
          <w:lang w:val="en-US"/>
        </w:rPr>
        <w:t xml:space="preserve">. </w:t>
      </w:r>
      <w:r w:rsidRPr="00610904">
        <w:rPr>
          <w:noProof w:val="0"/>
          <w:szCs w:val="20"/>
          <w:lang w:val="en-US"/>
        </w:rPr>
        <w:t>I</w:t>
      </w:r>
      <w:r w:rsidR="003E12DE" w:rsidRPr="00610904">
        <w:rPr>
          <w:noProof w:val="0"/>
          <w:szCs w:val="20"/>
          <w:lang w:val="en-US"/>
        </w:rPr>
        <w:t xml:space="preserve">n particular, </w:t>
      </w:r>
      <w:r w:rsidRPr="00610904">
        <w:rPr>
          <w:noProof w:val="0"/>
          <w:szCs w:val="20"/>
          <w:lang w:val="en-US"/>
        </w:rPr>
        <w:t xml:space="preserve">I do not </w:t>
      </w:r>
      <w:r w:rsidR="00E0223B" w:rsidRPr="00610904">
        <w:rPr>
          <w:noProof w:val="0"/>
          <w:szCs w:val="20"/>
          <w:lang w:val="en-US"/>
        </w:rPr>
        <w:t>find</w:t>
      </w:r>
      <w:r w:rsidR="001F2FFF" w:rsidRPr="00610904">
        <w:rPr>
          <w:noProof w:val="0"/>
          <w:szCs w:val="20"/>
          <w:lang w:val="en-US"/>
        </w:rPr>
        <w:t xml:space="preserve"> it</w:t>
      </w:r>
      <w:r w:rsidRPr="00610904">
        <w:rPr>
          <w:noProof w:val="0"/>
          <w:szCs w:val="20"/>
          <w:lang w:val="en-US"/>
        </w:rPr>
        <w:t xml:space="preserve"> relevant to engage in a more in-depth discussion of the nature of </w:t>
      </w:r>
      <w:r w:rsidR="001F2FFF" w:rsidRPr="00610904">
        <w:rPr>
          <w:noProof w:val="0"/>
          <w:szCs w:val="20"/>
          <w:lang w:val="en-US"/>
        </w:rPr>
        <w:t xml:space="preserve">ESCR as </w:t>
      </w:r>
      <w:r w:rsidR="00E0223B" w:rsidRPr="00610904">
        <w:rPr>
          <w:noProof w:val="0"/>
          <w:szCs w:val="20"/>
          <w:lang w:val="en-US"/>
        </w:rPr>
        <w:t>rights that require action by the public authorities (</w:t>
      </w:r>
      <w:r w:rsidR="0076589E">
        <w:rPr>
          <w:i/>
          <w:noProof w:val="0"/>
          <w:szCs w:val="20"/>
          <w:lang w:val="en-US"/>
        </w:rPr>
        <w:t>derechos p</w:t>
      </w:r>
      <w:r w:rsidR="00E0223B" w:rsidRPr="00610904">
        <w:rPr>
          <w:i/>
          <w:noProof w:val="0"/>
          <w:szCs w:val="20"/>
          <w:lang w:val="en-US"/>
        </w:rPr>
        <w:t>restacionales</w:t>
      </w:r>
      <w:r w:rsidR="00E0223B" w:rsidRPr="00610904">
        <w:rPr>
          <w:noProof w:val="0"/>
          <w:szCs w:val="20"/>
          <w:lang w:val="en-US"/>
        </w:rPr>
        <w:t>)</w:t>
      </w:r>
      <w:proofErr w:type="gramStart"/>
      <w:r w:rsidRPr="00610904">
        <w:rPr>
          <w:noProof w:val="0"/>
          <w:szCs w:val="20"/>
          <w:lang w:val="en-US"/>
        </w:rPr>
        <w:t>,</w:t>
      </w:r>
      <w:proofErr w:type="gramEnd"/>
      <w:r w:rsidRPr="00610904">
        <w:rPr>
          <w:noProof w:val="0"/>
          <w:szCs w:val="20"/>
          <w:lang w:val="en-US"/>
        </w:rPr>
        <w:t xml:space="preserve"> because it is clear that every </w:t>
      </w:r>
      <w:r w:rsidR="00E0223B" w:rsidRPr="00610904">
        <w:rPr>
          <w:noProof w:val="0"/>
          <w:szCs w:val="20"/>
          <w:lang w:val="en-US"/>
        </w:rPr>
        <w:t>right requires</w:t>
      </w:r>
      <w:r w:rsidRPr="00610904">
        <w:rPr>
          <w:noProof w:val="0"/>
          <w:szCs w:val="20"/>
          <w:lang w:val="en-US"/>
        </w:rPr>
        <w:t xml:space="preserve"> this to a greater or lesser extent. Furthermore, I do not consider that my position </w:t>
      </w:r>
      <w:r w:rsidR="00E0223B" w:rsidRPr="00610904">
        <w:rPr>
          <w:noProof w:val="0"/>
          <w:szCs w:val="20"/>
          <w:lang w:val="en-US"/>
        </w:rPr>
        <w:t>disregards</w:t>
      </w:r>
      <w:r w:rsidRPr="00610904">
        <w:rPr>
          <w:noProof w:val="0"/>
          <w:szCs w:val="20"/>
          <w:lang w:val="en-US"/>
        </w:rPr>
        <w:t xml:space="preserve"> the indivisible nature of human rights, </w:t>
      </w:r>
      <w:r w:rsidR="00E0223B" w:rsidRPr="00610904">
        <w:rPr>
          <w:noProof w:val="0"/>
          <w:szCs w:val="20"/>
          <w:lang w:val="en-US"/>
        </w:rPr>
        <w:t>because</w:t>
      </w:r>
      <w:r w:rsidRPr="00610904">
        <w:rPr>
          <w:noProof w:val="0"/>
          <w:szCs w:val="20"/>
          <w:lang w:val="en-US"/>
        </w:rPr>
        <w:t xml:space="preserve"> I make a distinction between the obligations that a State undertakes to meet by the </w:t>
      </w:r>
      <w:r w:rsidRPr="00610904">
        <w:rPr>
          <w:noProof w:val="0"/>
          <w:szCs w:val="20"/>
          <w:lang w:val="en-US"/>
        </w:rPr>
        <w:lastRenderedPageBreak/>
        <w:t xml:space="preserve">signature and ratification </w:t>
      </w:r>
      <w:r w:rsidR="00E0223B" w:rsidRPr="00610904">
        <w:rPr>
          <w:noProof w:val="0"/>
          <w:szCs w:val="20"/>
          <w:lang w:val="en-US"/>
        </w:rPr>
        <w:t>of a</w:t>
      </w:r>
      <w:r w:rsidRPr="00610904">
        <w:rPr>
          <w:noProof w:val="0"/>
          <w:szCs w:val="20"/>
          <w:lang w:val="en-US"/>
        </w:rPr>
        <w:t xml:space="preserve"> treaty, and the competences that the said treaty may accord to the organ or court that monitors it. In this regard, it is true that all rights are intrinsically connected and should not b</w:t>
      </w:r>
      <w:r w:rsidR="00E0223B" w:rsidRPr="00610904">
        <w:rPr>
          <w:noProof w:val="0"/>
          <w:szCs w:val="20"/>
          <w:lang w:val="en-US"/>
        </w:rPr>
        <w:t>e considered in isolation – which</w:t>
      </w:r>
      <w:r w:rsidRPr="00610904">
        <w:rPr>
          <w:noProof w:val="0"/>
          <w:szCs w:val="20"/>
          <w:lang w:val="en-US"/>
        </w:rPr>
        <w:t xml:space="preserve"> is why I s</w:t>
      </w:r>
      <w:r w:rsidR="00E0223B" w:rsidRPr="00610904">
        <w:rPr>
          <w:noProof w:val="0"/>
          <w:szCs w:val="20"/>
          <w:lang w:val="en-US"/>
        </w:rPr>
        <w:t>upport the justiciability of</w:t>
      </w:r>
      <w:r w:rsidRPr="00610904">
        <w:rPr>
          <w:noProof w:val="0"/>
          <w:szCs w:val="20"/>
          <w:lang w:val="en-US"/>
        </w:rPr>
        <w:t xml:space="preserve"> ESCR by </w:t>
      </w:r>
      <w:r w:rsidR="00E0223B" w:rsidRPr="00610904">
        <w:rPr>
          <w:noProof w:val="0"/>
          <w:szCs w:val="20"/>
          <w:lang w:val="en-US"/>
        </w:rPr>
        <w:t>way of connectivity – but the indivisible nature of</w:t>
      </w:r>
      <w:r w:rsidRPr="00610904">
        <w:rPr>
          <w:noProof w:val="0"/>
          <w:szCs w:val="20"/>
          <w:lang w:val="en-US"/>
        </w:rPr>
        <w:t xml:space="preserve"> rights is not </w:t>
      </w:r>
      <w:r w:rsidR="00E0223B" w:rsidRPr="00610904">
        <w:rPr>
          <w:noProof w:val="0"/>
          <w:szCs w:val="20"/>
          <w:lang w:val="en-US"/>
        </w:rPr>
        <w:t xml:space="preserve">a </w:t>
      </w:r>
      <w:r w:rsidRPr="00610904">
        <w:rPr>
          <w:noProof w:val="0"/>
          <w:szCs w:val="20"/>
          <w:lang w:val="en-US"/>
        </w:rPr>
        <w:t xml:space="preserve">sufficient </w:t>
      </w:r>
      <w:r w:rsidR="00E0223B" w:rsidRPr="00610904">
        <w:rPr>
          <w:noProof w:val="0"/>
          <w:szCs w:val="20"/>
          <w:lang w:val="en-US"/>
        </w:rPr>
        <w:t xml:space="preserve">reason </w:t>
      </w:r>
      <w:r w:rsidRPr="00610904">
        <w:rPr>
          <w:noProof w:val="0"/>
          <w:szCs w:val="20"/>
          <w:lang w:val="en-US"/>
        </w:rPr>
        <w:t>to modify the competence of a court, as proposed by those who seek direct justiciability by means of a broad interpretation of Article 26 of the Convention.</w:t>
      </w:r>
    </w:p>
    <w:p w:rsidR="003E12DE" w:rsidRPr="00610904" w:rsidRDefault="003E12DE" w:rsidP="00610904">
      <w:pPr>
        <w:pStyle w:val="ListParagraph"/>
        <w:tabs>
          <w:tab w:val="left" w:pos="709"/>
        </w:tabs>
        <w:ind w:left="0"/>
        <w:rPr>
          <w:noProof w:val="0"/>
          <w:szCs w:val="20"/>
          <w:lang w:val="en-US"/>
        </w:rPr>
      </w:pPr>
    </w:p>
    <w:p w:rsidR="003E12DE" w:rsidRPr="00610904" w:rsidRDefault="005B3E6E"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Having clarified the foregoing, I consider it pertinent, in the first place, to establish the obligations that arise from </w:t>
      </w:r>
      <w:r w:rsidR="006E502B"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This article stipulates that</w:t>
      </w:r>
      <w:r w:rsidR="003E12DE" w:rsidRPr="00610904">
        <w:rPr>
          <w:noProof w:val="0"/>
          <w:szCs w:val="20"/>
          <w:lang w:val="en-US"/>
        </w:rPr>
        <w:t>:</w:t>
      </w:r>
    </w:p>
    <w:p w:rsidR="003E12DE" w:rsidRPr="00610904" w:rsidRDefault="003E12DE" w:rsidP="00610904">
      <w:pPr>
        <w:pStyle w:val="ListParagraph"/>
        <w:tabs>
          <w:tab w:val="left" w:pos="426"/>
          <w:tab w:val="left" w:pos="709"/>
        </w:tabs>
        <w:ind w:left="0"/>
        <w:rPr>
          <w:noProof w:val="0"/>
          <w:sz w:val="16"/>
          <w:szCs w:val="16"/>
          <w:lang w:val="en-US"/>
        </w:rPr>
      </w:pPr>
    </w:p>
    <w:p w:rsidR="003E12DE" w:rsidRPr="00610904" w:rsidRDefault="003E12DE" w:rsidP="00610904">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r w:rsidRPr="00610904">
        <w:rPr>
          <w:rFonts w:ascii="Verdana" w:hAnsi="Verdana" w:cs="Tahoma"/>
          <w:bCs/>
          <w:noProof w:val="0"/>
          <w:color w:val="000000"/>
          <w:sz w:val="16"/>
          <w:szCs w:val="16"/>
          <w:lang w:val="en-US"/>
        </w:rPr>
        <w:t>C</w:t>
      </w:r>
      <w:r w:rsidR="005B3E6E" w:rsidRPr="00610904">
        <w:rPr>
          <w:rFonts w:ascii="Verdana" w:hAnsi="Verdana" w:cs="Tahoma"/>
          <w:bCs/>
          <w:noProof w:val="0"/>
          <w:color w:val="000000"/>
          <w:sz w:val="16"/>
          <w:szCs w:val="16"/>
          <w:lang w:val="en-US"/>
        </w:rPr>
        <w:t>HAPTER</w:t>
      </w:r>
      <w:r w:rsidRPr="00610904">
        <w:rPr>
          <w:rFonts w:ascii="Verdana" w:hAnsi="Verdana" w:cs="Tahoma"/>
          <w:bCs/>
          <w:noProof w:val="0"/>
          <w:color w:val="000000"/>
          <w:sz w:val="16"/>
          <w:szCs w:val="16"/>
          <w:lang w:val="en-US"/>
        </w:rPr>
        <w:t xml:space="preserve"> III</w:t>
      </w:r>
    </w:p>
    <w:p w:rsidR="003E12DE" w:rsidRPr="00610904" w:rsidRDefault="005B3E6E" w:rsidP="00610904">
      <w:pPr>
        <w:pStyle w:val="NormalWeb"/>
        <w:tabs>
          <w:tab w:val="left" w:pos="709"/>
        </w:tabs>
        <w:spacing w:before="0" w:beforeAutospacing="0" w:after="0" w:afterAutospacing="0"/>
        <w:ind w:left="426" w:right="333"/>
        <w:jc w:val="center"/>
        <w:rPr>
          <w:rFonts w:ascii="Verdana" w:hAnsi="Verdana" w:cs="Tahoma"/>
          <w:bCs/>
          <w:noProof w:val="0"/>
          <w:color w:val="000000"/>
          <w:sz w:val="18"/>
          <w:szCs w:val="18"/>
          <w:lang w:val="en-US"/>
        </w:rPr>
      </w:pPr>
      <w:r w:rsidRPr="00610904">
        <w:rPr>
          <w:rFonts w:ascii="Verdana" w:hAnsi="Verdana" w:cs="Tahoma"/>
          <w:bCs/>
          <w:noProof w:val="0"/>
          <w:color w:val="000000"/>
          <w:sz w:val="16"/>
          <w:szCs w:val="16"/>
          <w:lang w:val="en-US"/>
        </w:rPr>
        <w:t>ECONOMIC, SOCIAL AND CULTURAL RIGHTS</w:t>
      </w:r>
    </w:p>
    <w:p w:rsidR="003E12DE" w:rsidRPr="00610904" w:rsidRDefault="003E12DE" w:rsidP="00610904">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p>
    <w:p w:rsidR="003E12DE" w:rsidRPr="00610904" w:rsidRDefault="00A8072E" w:rsidP="00610904">
      <w:pPr>
        <w:pStyle w:val="NormalWeb"/>
        <w:tabs>
          <w:tab w:val="left" w:pos="709"/>
        </w:tabs>
        <w:spacing w:before="0" w:beforeAutospacing="0" w:after="0" w:afterAutospacing="0"/>
        <w:ind w:left="426" w:right="333"/>
        <w:jc w:val="center"/>
        <w:rPr>
          <w:rFonts w:ascii="Verdana" w:hAnsi="Verdana" w:cs="Tahoma"/>
          <w:bCs/>
          <w:noProof w:val="0"/>
          <w:color w:val="000000"/>
          <w:sz w:val="18"/>
          <w:szCs w:val="18"/>
          <w:lang w:val="en-US"/>
        </w:rPr>
      </w:pPr>
      <w:proofErr w:type="gramStart"/>
      <w:r w:rsidRPr="00610904">
        <w:rPr>
          <w:rFonts w:ascii="Verdana" w:hAnsi="Verdana" w:cs="Tahoma"/>
          <w:bCs/>
          <w:noProof w:val="0"/>
          <w:color w:val="000000"/>
          <w:sz w:val="16"/>
          <w:szCs w:val="16"/>
          <w:lang w:val="en-US"/>
        </w:rPr>
        <w:t>Article</w:t>
      </w:r>
      <w:r w:rsidR="005B3E6E" w:rsidRPr="00610904">
        <w:rPr>
          <w:rFonts w:ascii="Verdana" w:hAnsi="Verdana" w:cs="Tahoma"/>
          <w:bCs/>
          <w:noProof w:val="0"/>
          <w:color w:val="000000"/>
          <w:sz w:val="16"/>
          <w:szCs w:val="16"/>
          <w:lang w:val="en-US"/>
        </w:rPr>
        <w:t xml:space="preserve"> 26.</w:t>
      </w:r>
      <w:proofErr w:type="gramEnd"/>
      <w:r w:rsidR="005B3E6E" w:rsidRPr="00610904">
        <w:rPr>
          <w:rFonts w:ascii="Verdana" w:hAnsi="Verdana" w:cs="Tahoma"/>
          <w:bCs/>
          <w:noProof w:val="0"/>
          <w:color w:val="000000"/>
          <w:sz w:val="16"/>
          <w:szCs w:val="16"/>
          <w:lang w:val="en-US"/>
        </w:rPr>
        <w:t>  Progressive Development</w:t>
      </w:r>
    </w:p>
    <w:p w:rsidR="003E12DE" w:rsidRPr="00610904" w:rsidRDefault="003E12DE" w:rsidP="00610904">
      <w:pPr>
        <w:pStyle w:val="NormalWeb"/>
        <w:tabs>
          <w:tab w:val="left" w:pos="709"/>
        </w:tabs>
        <w:spacing w:before="0" w:beforeAutospacing="0" w:after="0" w:afterAutospacing="0"/>
        <w:ind w:left="426" w:right="333"/>
        <w:jc w:val="center"/>
        <w:rPr>
          <w:rFonts w:ascii="Verdana" w:hAnsi="Verdana" w:cs="Tahoma"/>
          <w:noProof w:val="0"/>
          <w:color w:val="000000"/>
          <w:sz w:val="16"/>
          <w:szCs w:val="16"/>
          <w:lang w:val="en-US"/>
        </w:rPr>
      </w:pPr>
    </w:p>
    <w:p w:rsidR="005B3E6E" w:rsidRPr="00610904" w:rsidRDefault="005B3E6E" w:rsidP="00610904">
      <w:pPr>
        <w:pStyle w:val="NormalWeb"/>
        <w:tabs>
          <w:tab w:val="left" w:pos="709"/>
        </w:tabs>
        <w:spacing w:before="0" w:beforeAutospacing="0" w:after="0" w:afterAutospacing="0"/>
        <w:ind w:left="426" w:right="333"/>
        <w:jc w:val="both"/>
        <w:rPr>
          <w:rFonts w:ascii="Verdana" w:hAnsi="Verdana"/>
          <w:noProof w:val="0"/>
          <w:spacing w:val="-3"/>
          <w:sz w:val="16"/>
          <w:szCs w:val="16"/>
          <w:lang w:val="en-US"/>
        </w:rPr>
      </w:pPr>
      <w:r w:rsidRPr="00610904">
        <w:rPr>
          <w:rFonts w:ascii="Verdana" w:hAnsi="Verdana"/>
          <w:noProof w:val="0"/>
          <w:spacing w:val="-3"/>
          <w:sz w:val="16"/>
          <w:szCs w:val="16"/>
          <w:lang w:val="en-US"/>
        </w:rPr>
        <w:t xml:space="preserve">The States Parties undertake to adopt measures, both internally and through international cooperation, especially those of an economic and technical nature, with a view to achieving </w:t>
      </w:r>
      <w:r w:rsidRPr="00610904">
        <w:rPr>
          <w:rFonts w:ascii="Verdana" w:hAnsi="Verdana"/>
          <w:noProof w:val="0"/>
          <w:spacing w:val="-3"/>
          <w:sz w:val="16"/>
          <w:szCs w:val="16"/>
          <w:u w:val="single"/>
          <w:lang w:val="en-US"/>
        </w:rPr>
        <w:t>progressively,</w:t>
      </w:r>
      <w:r w:rsidRPr="00610904">
        <w:rPr>
          <w:rFonts w:ascii="Verdana" w:hAnsi="Verdana"/>
          <w:noProof w:val="0"/>
          <w:spacing w:val="-3"/>
          <w:sz w:val="16"/>
          <w:szCs w:val="16"/>
          <w:lang w:val="en-US"/>
        </w:rPr>
        <w:t xml:space="preserve"> by legislation or other appropriate means, </w:t>
      </w:r>
      <w:r w:rsidRPr="00610904">
        <w:rPr>
          <w:rFonts w:ascii="Verdana" w:hAnsi="Verdana"/>
          <w:noProof w:val="0"/>
          <w:spacing w:val="-3"/>
          <w:sz w:val="16"/>
          <w:szCs w:val="16"/>
          <w:u w:val="single"/>
          <w:lang w:val="en-US"/>
        </w:rPr>
        <w:t>the full realization of the rights implicit in the economic, social, educational, scientific, and cultural standards set forth in the Charter of the Organization of American State</w:t>
      </w:r>
      <w:r w:rsidRPr="00610904">
        <w:rPr>
          <w:rFonts w:ascii="Verdana" w:hAnsi="Verdana"/>
          <w:noProof w:val="0"/>
          <w:spacing w:val="-3"/>
          <w:sz w:val="16"/>
          <w:szCs w:val="16"/>
          <w:lang w:val="en-US"/>
        </w:rPr>
        <w:t xml:space="preserve">s as amended by the Protocol of Buenos </w:t>
      </w:r>
      <w:r w:rsidR="00A308F2" w:rsidRPr="00610904">
        <w:rPr>
          <w:rFonts w:ascii="Verdana" w:hAnsi="Verdana"/>
          <w:noProof w:val="0"/>
          <w:spacing w:val="-3"/>
          <w:sz w:val="16"/>
          <w:szCs w:val="16"/>
          <w:lang w:val="en-US"/>
        </w:rPr>
        <w:t>Aires (u</w:t>
      </w:r>
      <w:r w:rsidRPr="00610904">
        <w:rPr>
          <w:rFonts w:ascii="Verdana" w:hAnsi="Verdana"/>
          <w:noProof w:val="0"/>
          <w:spacing w:val="-3"/>
          <w:sz w:val="16"/>
          <w:szCs w:val="16"/>
          <w:lang w:val="en-US"/>
        </w:rPr>
        <w:t>nderlining added)</w:t>
      </w:r>
      <w:r w:rsidR="00A308F2" w:rsidRPr="00610904">
        <w:rPr>
          <w:rFonts w:ascii="Verdana" w:hAnsi="Verdana"/>
          <w:noProof w:val="0"/>
          <w:spacing w:val="-3"/>
          <w:sz w:val="16"/>
          <w:szCs w:val="16"/>
          <w:lang w:val="en-US"/>
        </w:rPr>
        <w:t>.</w:t>
      </w:r>
    </w:p>
    <w:p w:rsidR="003E12DE" w:rsidRPr="00610904" w:rsidRDefault="003E12DE" w:rsidP="00610904">
      <w:pPr>
        <w:tabs>
          <w:tab w:val="left" w:pos="709"/>
        </w:tabs>
        <w:rPr>
          <w:noProof w:val="0"/>
          <w:szCs w:val="20"/>
          <w:lang w:val="en-US"/>
        </w:rPr>
      </w:pPr>
    </w:p>
    <w:p w:rsidR="003E12DE" w:rsidRPr="00610904" w:rsidRDefault="005B3E6E"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scope </w:t>
      </w:r>
      <w:r w:rsidR="00B50271" w:rsidRPr="00610904">
        <w:rPr>
          <w:noProof w:val="0"/>
          <w:szCs w:val="20"/>
          <w:lang w:val="en-US"/>
        </w:rPr>
        <w:t xml:space="preserve">of </w:t>
      </w:r>
      <w:r w:rsidR="006E502B" w:rsidRPr="00610904">
        <w:rPr>
          <w:noProof w:val="0"/>
          <w:szCs w:val="20"/>
          <w:lang w:val="en-US"/>
        </w:rPr>
        <w:t>Article</w:t>
      </w:r>
      <w:r w:rsidR="003E12DE" w:rsidRPr="00610904">
        <w:rPr>
          <w:noProof w:val="0"/>
          <w:szCs w:val="20"/>
          <w:lang w:val="en-US"/>
        </w:rPr>
        <w:t xml:space="preserve"> 26, </w:t>
      </w:r>
      <w:r w:rsidR="009F3D78" w:rsidRPr="00610904">
        <w:rPr>
          <w:noProof w:val="0"/>
          <w:szCs w:val="20"/>
          <w:lang w:val="en-US"/>
        </w:rPr>
        <w:t>the Court</w:t>
      </w:r>
      <w:r w:rsidR="003E12DE" w:rsidRPr="00610904">
        <w:rPr>
          <w:noProof w:val="0"/>
          <w:szCs w:val="20"/>
          <w:lang w:val="en-US"/>
        </w:rPr>
        <w:t xml:space="preserve"> ha</w:t>
      </w:r>
      <w:r w:rsidRPr="00610904">
        <w:rPr>
          <w:noProof w:val="0"/>
          <w:szCs w:val="20"/>
          <w:lang w:val="en-US"/>
        </w:rPr>
        <w:t>s</w:t>
      </w:r>
      <w:r w:rsidR="003E12DE" w:rsidRPr="00610904">
        <w:rPr>
          <w:noProof w:val="0"/>
          <w:szCs w:val="20"/>
          <w:lang w:val="en-US"/>
        </w:rPr>
        <w:t xml:space="preserve"> indica</w:t>
      </w:r>
      <w:r w:rsidRPr="00610904">
        <w:rPr>
          <w:noProof w:val="0"/>
          <w:szCs w:val="20"/>
          <w:lang w:val="en-US"/>
        </w:rPr>
        <w:t>te</w:t>
      </w:r>
      <w:r w:rsidR="00B50271" w:rsidRPr="00610904">
        <w:rPr>
          <w:noProof w:val="0"/>
          <w:szCs w:val="20"/>
          <w:lang w:val="en-US"/>
        </w:rPr>
        <w:t>d that the main obligation arising</w:t>
      </w:r>
      <w:r w:rsidRPr="00610904">
        <w:rPr>
          <w:noProof w:val="0"/>
          <w:szCs w:val="20"/>
          <w:lang w:val="en-US"/>
        </w:rPr>
        <w:t xml:space="preserve"> from this article is the progressive </w:t>
      </w:r>
      <w:r w:rsidR="00B50271" w:rsidRPr="00610904">
        <w:rPr>
          <w:noProof w:val="0"/>
          <w:szCs w:val="20"/>
          <w:lang w:val="en-US"/>
        </w:rPr>
        <w:t>development</w:t>
      </w:r>
      <w:r w:rsidRPr="00610904">
        <w:rPr>
          <w:noProof w:val="0"/>
          <w:szCs w:val="20"/>
          <w:lang w:val="en-US"/>
        </w:rPr>
        <w:t xml:space="preserve"> of </w:t>
      </w:r>
      <w:r w:rsidR="00357398" w:rsidRPr="00610904">
        <w:rPr>
          <w:rFonts w:eastAsia="Times"/>
          <w:noProof w:val="0"/>
          <w:szCs w:val="20"/>
          <w:lang w:val="en-US"/>
        </w:rPr>
        <w:t>economic, social and cultural rights</w:t>
      </w:r>
      <w:r w:rsidRPr="00610904">
        <w:rPr>
          <w:rFonts w:eastAsia="Times"/>
          <w:noProof w:val="0"/>
          <w:szCs w:val="20"/>
          <w:lang w:val="en-US"/>
        </w:rPr>
        <w:t>,</w:t>
      </w:r>
      <w:r w:rsidR="003E12DE" w:rsidRPr="00610904">
        <w:rPr>
          <w:rStyle w:val="FootnoteReference"/>
          <w:rFonts w:eastAsia="Times"/>
          <w:noProof w:val="0"/>
          <w:lang w:val="en-US"/>
        </w:rPr>
        <w:footnoteReference w:id="434"/>
      </w:r>
      <w:r w:rsidRPr="00610904">
        <w:rPr>
          <w:rFonts w:eastAsia="Times"/>
          <w:noProof w:val="0"/>
          <w:szCs w:val="20"/>
          <w:lang w:val="en-US"/>
        </w:rPr>
        <w:t xml:space="preserve"> which entails “an obligation – although conditional – of non-regressivity, that should not always be understood as </w:t>
      </w:r>
      <w:r w:rsidR="00B50271" w:rsidRPr="00610904">
        <w:rPr>
          <w:rFonts w:eastAsia="Times"/>
          <w:noProof w:val="0"/>
          <w:szCs w:val="20"/>
          <w:lang w:val="en-US"/>
        </w:rPr>
        <w:t>prohibiting</w:t>
      </w:r>
      <w:r w:rsidRPr="00610904">
        <w:rPr>
          <w:rFonts w:eastAsia="Times"/>
          <w:noProof w:val="0"/>
          <w:szCs w:val="20"/>
          <w:lang w:val="en-US"/>
        </w:rPr>
        <w:t xml:space="preserve"> measures that r</w:t>
      </w:r>
      <w:r w:rsidR="00B50271" w:rsidRPr="00610904">
        <w:rPr>
          <w:rFonts w:eastAsia="Times"/>
          <w:noProof w:val="0"/>
          <w:szCs w:val="20"/>
          <w:lang w:val="en-US"/>
        </w:rPr>
        <w:t>estrict the exercise of a right</w:t>
      </w:r>
      <w:r w:rsidRPr="00610904">
        <w:rPr>
          <w:rFonts w:eastAsia="Times"/>
          <w:noProof w:val="0"/>
          <w:szCs w:val="20"/>
          <w:lang w:val="en-US"/>
        </w:rPr>
        <w:t>.</w:t>
      </w:r>
      <w:r w:rsidR="003E12DE" w:rsidRPr="00610904">
        <w:rPr>
          <w:rFonts w:eastAsia="Times"/>
          <w:noProof w:val="0"/>
          <w:szCs w:val="20"/>
          <w:lang w:val="en-US"/>
        </w:rPr>
        <w:t>”</w:t>
      </w:r>
      <w:r w:rsidR="003E12DE" w:rsidRPr="00610904">
        <w:rPr>
          <w:rStyle w:val="FootnoteReference"/>
          <w:rFonts w:eastAsia="Times"/>
          <w:noProof w:val="0"/>
          <w:lang w:val="en-US"/>
        </w:rPr>
        <w:footnoteReference w:id="435"/>
      </w:r>
      <w:r w:rsidR="003E12DE" w:rsidRPr="00610904">
        <w:rPr>
          <w:rFonts w:eastAsia="Times"/>
          <w:noProof w:val="0"/>
          <w:szCs w:val="20"/>
          <w:lang w:val="en-US"/>
        </w:rPr>
        <w:t xml:space="preserve"> </w:t>
      </w:r>
      <w:r w:rsidRPr="00610904">
        <w:rPr>
          <w:rFonts w:eastAsia="Times"/>
          <w:noProof w:val="0"/>
          <w:szCs w:val="20"/>
          <w:lang w:val="en-US"/>
        </w:rPr>
        <w:t>In addition</w:t>
      </w:r>
      <w:r w:rsidR="003E12DE" w:rsidRPr="00610904">
        <w:rPr>
          <w:rFonts w:eastAsia="Times"/>
          <w:noProof w:val="0"/>
          <w:szCs w:val="20"/>
          <w:lang w:val="en-US"/>
        </w:rPr>
        <w:t xml:space="preserve">, </w:t>
      </w:r>
      <w:r w:rsidR="009F3D78" w:rsidRPr="00610904">
        <w:rPr>
          <w:rFonts w:eastAsia="Times"/>
          <w:noProof w:val="0"/>
          <w:szCs w:val="20"/>
          <w:lang w:val="en-US"/>
        </w:rPr>
        <w:t>the Court</w:t>
      </w:r>
      <w:r w:rsidR="003E12DE" w:rsidRPr="00610904">
        <w:rPr>
          <w:rFonts w:eastAsia="Times"/>
          <w:noProof w:val="0"/>
          <w:szCs w:val="20"/>
          <w:lang w:val="en-US"/>
        </w:rPr>
        <w:t xml:space="preserve"> </w:t>
      </w:r>
      <w:r w:rsidRPr="00610904">
        <w:rPr>
          <w:rFonts w:eastAsia="Times"/>
          <w:noProof w:val="0"/>
          <w:szCs w:val="20"/>
          <w:lang w:val="en-US"/>
        </w:rPr>
        <w:t>has asserted that the g</w:t>
      </w:r>
      <w:r w:rsidR="00B50271" w:rsidRPr="00610904">
        <w:rPr>
          <w:rFonts w:eastAsia="Times"/>
          <w:noProof w:val="0"/>
          <w:szCs w:val="20"/>
          <w:lang w:val="en-US"/>
        </w:rPr>
        <w:t>e</w:t>
      </w:r>
      <w:r w:rsidRPr="00610904">
        <w:rPr>
          <w:rFonts w:eastAsia="Times"/>
          <w:noProof w:val="0"/>
          <w:szCs w:val="20"/>
          <w:lang w:val="en-US"/>
        </w:rPr>
        <w:t>neral obligations under</w:t>
      </w:r>
      <w:r w:rsidR="003E12DE" w:rsidRPr="00610904">
        <w:rPr>
          <w:rFonts w:eastAsia="Times"/>
          <w:noProof w:val="0"/>
          <w:szCs w:val="20"/>
          <w:lang w:val="en-US"/>
        </w:rPr>
        <w:t xml:space="preserve"> </w:t>
      </w:r>
      <w:r w:rsidR="009F3D78" w:rsidRPr="00610904">
        <w:rPr>
          <w:rFonts w:eastAsia="Times"/>
          <w:noProof w:val="0"/>
          <w:szCs w:val="20"/>
          <w:lang w:val="en-US"/>
        </w:rPr>
        <w:t>Articles</w:t>
      </w:r>
      <w:r w:rsidR="003E12DE" w:rsidRPr="00610904">
        <w:rPr>
          <w:rFonts w:eastAsia="Times"/>
          <w:noProof w:val="0"/>
          <w:szCs w:val="20"/>
          <w:lang w:val="en-US"/>
        </w:rPr>
        <w:t xml:space="preserve"> 1</w:t>
      </w:r>
      <w:r w:rsidR="009F3D78" w:rsidRPr="00610904">
        <w:rPr>
          <w:rFonts w:eastAsia="Times"/>
          <w:noProof w:val="0"/>
          <w:szCs w:val="20"/>
          <w:lang w:val="en-US"/>
        </w:rPr>
        <w:t xml:space="preserve"> and </w:t>
      </w:r>
      <w:r w:rsidR="003E12DE" w:rsidRPr="00610904">
        <w:rPr>
          <w:rFonts w:eastAsia="Times"/>
          <w:noProof w:val="0"/>
          <w:szCs w:val="20"/>
          <w:lang w:val="en-US"/>
        </w:rPr>
        <w:t>2</w:t>
      </w:r>
      <w:r w:rsidR="009F3D78" w:rsidRPr="00610904">
        <w:rPr>
          <w:rFonts w:eastAsia="Times"/>
          <w:noProof w:val="0"/>
          <w:szCs w:val="20"/>
          <w:lang w:val="en-US"/>
        </w:rPr>
        <w:t xml:space="preserve"> of the Convention</w:t>
      </w:r>
      <w:r w:rsidR="003E12DE" w:rsidRPr="00610904">
        <w:rPr>
          <w:rFonts w:eastAsia="Times"/>
          <w:noProof w:val="0"/>
          <w:szCs w:val="20"/>
          <w:lang w:val="en-US"/>
        </w:rPr>
        <w:t xml:space="preserve"> </w:t>
      </w:r>
      <w:r w:rsidRPr="00610904">
        <w:rPr>
          <w:rFonts w:eastAsia="Times"/>
          <w:noProof w:val="0"/>
          <w:szCs w:val="20"/>
          <w:lang w:val="en-US"/>
        </w:rPr>
        <w:t>are also applicable to this article.</w:t>
      </w:r>
      <w:r w:rsidR="003E12DE" w:rsidRPr="00610904">
        <w:rPr>
          <w:rStyle w:val="FootnoteReference"/>
          <w:noProof w:val="0"/>
          <w:lang w:val="en-US"/>
        </w:rPr>
        <w:footnoteReference w:id="436"/>
      </w:r>
    </w:p>
    <w:p w:rsidR="003E12DE" w:rsidRPr="00610904" w:rsidRDefault="003E12DE" w:rsidP="00610904">
      <w:pPr>
        <w:pStyle w:val="ListParagraph"/>
        <w:tabs>
          <w:tab w:val="left" w:pos="709"/>
        </w:tabs>
        <w:ind w:left="0"/>
        <w:rPr>
          <w:noProof w:val="0"/>
          <w:szCs w:val="20"/>
          <w:lang w:val="en-US"/>
        </w:rPr>
      </w:pPr>
    </w:p>
    <w:p w:rsidR="003E12DE" w:rsidRPr="00610904" w:rsidRDefault="00B50271"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However</w:t>
      </w:r>
      <w:r w:rsidR="003E12DE" w:rsidRPr="00610904">
        <w:rPr>
          <w:noProof w:val="0"/>
          <w:szCs w:val="20"/>
          <w:lang w:val="en-US"/>
        </w:rPr>
        <w:t xml:space="preserve">, </w:t>
      </w:r>
      <w:r w:rsidR="009F3D78" w:rsidRPr="00610904">
        <w:rPr>
          <w:noProof w:val="0"/>
          <w:szCs w:val="20"/>
          <w:lang w:val="en-US"/>
        </w:rPr>
        <w:t>Article</w:t>
      </w:r>
      <w:r w:rsidR="00A308F2" w:rsidRPr="00610904">
        <w:rPr>
          <w:noProof w:val="0"/>
          <w:szCs w:val="20"/>
          <w:lang w:val="en-US"/>
        </w:rPr>
        <w:t xml:space="preserve"> 26 does not establish a list of righ</w:t>
      </w:r>
      <w:r w:rsidRPr="00610904">
        <w:rPr>
          <w:noProof w:val="0"/>
          <w:szCs w:val="20"/>
          <w:lang w:val="en-US"/>
        </w:rPr>
        <w:t>ts, but refers directly</w:t>
      </w:r>
      <w:r w:rsidR="00A308F2" w:rsidRPr="00610904">
        <w:rPr>
          <w:noProof w:val="0"/>
          <w:szCs w:val="20"/>
          <w:lang w:val="en-US"/>
        </w:rPr>
        <w:t xml:space="preserve"> to </w:t>
      </w:r>
      <w:r w:rsidR="0013395A" w:rsidRPr="00610904">
        <w:rPr>
          <w:noProof w:val="0"/>
          <w:szCs w:val="20"/>
          <w:lang w:val="en-US"/>
        </w:rPr>
        <w:t>the Charter of the Organization of American States</w:t>
      </w:r>
      <w:r w:rsidR="003E12DE" w:rsidRPr="00610904">
        <w:rPr>
          <w:noProof w:val="0"/>
          <w:szCs w:val="20"/>
          <w:lang w:val="en-US"/>
        </w:rPr>
        <w:t xml:space="preserve"> (</w:t>
      </w:r>
      <w:r w:rsidR="009F3D78" w:rsidRPr="00610904">
        <w:rPr>
          <w:noProof w:val="0"/>
          <w:szCs w:val="20"/>
          <w:lang w:val="en-US"/>
        </w:rPr>
        <w:t>hereinafter</w:t>
      </w:r>
      <w:r w:rsidR="003E12DE" w:rsidRPr="00610904">
        <w:rPr>
          <w:noProof w:val="0"/>
          <w:szCs w:val="20"/>
          <w:lang w:val="en-US"/>
        </w:rPr>
        <w:t xml:space="preserve"> “</w:t>
      </w:r>
      <w:r w:rsidR="00A308F2" w:rsidRPr="00610904">
        <w:rPr>
          <w:noProof w:val="0"/>
          <w:szCs w:val="20"/>
          <w:lang w:val="en-US"/>
        </w:rPr>
        <w:t>the Charter</w:t>
      </w:r>
      <w:r w:rsidR="003E12DE" w:rsidRPr="00610904">
        <w:rPr>
          <w:noProof w:val="0"/>
          <w:szCs w:val="20"/>
          <w:lang w:val="en-US"/>
        </w:rPr>
        <w:t>” o</w:t>
      </w:r>
      <w:r w:rsidR="00A308F2" w:rsidRPr="00610904">
        <w:rPr>
          <w:noProof w:val="0"/>
          <w:szCs w:val="20"/>
          <w:lang w:val="en-US"/>
        </w:rPr>
        <w:t>r “the OAS Charter</w:t>
      </w:r>
      <w:r w:rsidR="003E12DE" w:rsidRPr="00610904">
        <w:rPr>
          <w:noProof w:val="0"/>
          <w:szCs w:val="20"/>
          <w:lang w:val="en-US"/>
        </w:rPr>
        <w:t xml:space="preserve">”). </w:t>
      </w:r>
      <w:r w:rsidR="00597512" w:rsidRPr="00610904">
        <w:rPr>
          <w:noProof w:val="0"/>
          <w:szCs w:val="20"/>
          <w:lang w:val="en-US"/>
        </w:rPr>
        <w:t>A reading of the Charter re</w:t>
      </w:r>
      <w:r w:rsidRPr="00610904">
        <w:rPr>
          <w:noProof w:val="0"/>
          <w:szCs w:val="20"/>
          <w:lang w:val="en-US"/>
        </w:rPr>
        <w:t>veals that this does not contain a</w:t>
      </w:r>
      <w:r w:rsidR="00597512" w:rsidRPr="00610904">
        <w:rPr>
          <w:noProof w:val="0"/>
          <w:szCs w:val="20"/>
          <w:lang w:val="en-US"/>
        </w:rPr>
        <w:t xml:space="preserve"> list of subjective, clear and precise rights either; rather, to the contrary, it includes a list of expectations and goals that the States of the region are striving to attain, which makes it difficult to surmise which rights the article is referring to. In brief, there </w:t>
      </w:r>
      <w:r w:rsidRPr="00610904">
        <w:rPr>
          <w:noProof w:val="0"/>
          <w:szCs w:val="20"/>
          <w:lang w:val="en-US"/>
        </w:rPr>
        <w:t>are no express references to the</w:t>
      </w:r>
      <w:r w:rsidR="00597512" w:rsidRPr="00610904">
        <w:rPr>
          <w:noProof w:val="0"/>
          <w:szCs w:val="20"/>
          <w:lang w:val="en-US"/>
        </w:rPr>
        <w:t xml:space="preserve"> ESCR and, i</w:t>
      </w:r>
      <w:r w:rsidRPr="00610904">
        <w:rPr>
          <w:noProof w:val="0"/>
          <w:szCs w:val="20"/>
          <w:lang w:val="en-US"/>
        </w:rPr>
        <w:t>n order to affirm that they are, in fact, established in the Charter, it is necessary to perform a</w:t>
      </w:r>
      <w:r w:rsidR="00597512" w:rsidRPr="00610904">
        <w:rPr>
          <w:noProof w:val="0"/>
          <w:szCs w:val="20"/>
          <w:lang w:val="en-US"/>
        </w:rPr>
        <w:t xml:space="preserve"> fairly extensive task of interpretation. An example of this is the right to health, which was analyzed in this case. Some authors affirm that this right is clearly established in the Charter; however, when one looks for this in the text, one finds only two indistinct references in</w:t>
      </w:r>
      <w:r w:rsidR="003E12DE" w:rsidRPr="00610904">
        <w:rPr>
          <w:noProof w:val="0"/>
          <w:szCs w:val="20"/>
          <w:lang w:val="en-US"/>
        </w:rPr>
        <w:t xml:space="preserve"> </w:t>
      </w:r>
      <w:r w:rsidR="009F3D78" w:rsidRPr="00610904">
        <w:rPr>
          <w:noProof w:val="0"/>
          <w:szCs w:val="20"/>
          <w:lang w:val="en-US"/>
        </w:rPr>
        <w:t>Articles</w:t>
      </w:r>
      <w:r w:rsidR="003E12DE" w:rsidRPr="00610904">
        <w:rPr>
          <w:noProof w:val="0"/>
          <w:szCs w:val="20"/>
          <w:lang w:val="en-US"/>
        </w:rPr>
        <w:t xml:space="preserve"> 34</w:t>
      </w:r>
      <w:r w:rsidR="003E12DE" w:rsidRPr="00610904">
        <w:rPr>
          <w:rStyle w:val="FootnoteReference"/>
          <w:noProof w:val="0"/>
          <w:lang w:val="en-US"/>
        </w:rPr>
        <w:footnoteReference w:id="437"/>
      </w:r>
      <w:r w:rsidR="009F3D78" w:rsidRPr="00610904">
        <w:rPr>
          <w:noProof w:val="0"/>
          <w:szCs w:val="20"/>
          <w:lang w:val="en-US"/>
        </w:rPr>
        <w:t xml:space="preserve"> and </w:t>
      </w:r>
      <w:r w:rsidR="003E12DE" w:rsidRPr="00610904">
        <w:rPr>
          <w:noProof w:val="0"/>
          <w:szCs w:val="20"/>
          <w:lang w:val="en-US"/>
        </w:rPr>
        <w:t>45</w:t>
      </w:r>
      <w:r w:rsidR="00597512" w:rsidRPr="00610904">
        <w:rPr>
          <w:noProof w:val="0"/>
          <w:szCs w:val="20"/>
          <w:lang w:val="en-US"/>
        </w:rPr>
        <w:t>.</w:t>
      </w:r>
      <w:r w:rsidR="003E12DE" w:rsidRPr="00610904">
        <w:rPr>
          <w:rStyle w:val="FootnoteReference"/>
          <w:noProof w:val="0"/>
          <w:lang w:val="en-US"/>
        </w:rPr>
        <w:footnoteReference w:id="438"/>
      </w:r>
      <w:r w:rsidR="00597512" w:rsidRPr="00610904">
        <w:rPr>
          <w:noProof w:val="0"/>
          <w:szCs w:val="20"/>
          <w:lang w:val="en-US"/>
        </w:rPr>
        <w:t xml:space="preserve"> In this regard, I fully agree that “it</w:t>
      </w:r>
      <w:r w:rsidR="00597512" w:rsidRPr="00610904">
        <w:rPr>
          <w:rFonts w:eastAsia="Calibri" w:cs="MinionPro-Regular"/>
          <w:noProof w:val="0"/>
          <w:szCs w:val="20"/>
          <w:lang w:val="en-US"/>
        </w:rPr>
        <w:t xml:space="preserve"> is not enough just to infer a right by </w:t>
      </w:r>
      <w:r w:rsidR="00597512" w:rsidRPr="00610904">
        <w:rPr>
          <w:rFonts w:eastAsia="Calibri" w:cs="MinionPro-Regular"/>
          <w:noProof w:val="0"/>
          <w:szCs w:val="20"/>
          <w:lang w:val="en-US"/>
        </w:rPr>
        <w:lastRenderedPageBreak/>
        <w:t>its name from the Charter, it is also necessary that the Charter provides a minimum content for that right. This minimum content could then be clarified – to a certain extent – by other international instruments. Defining the entire content and scope of a right by means of other instruments would invariably result in a modification of the Charter</w:t>
      </w:r>
      <w:r w:rsidR="00597512" w:rsidRPr="00610904">
        <w:rPr>
          <w:noProof w:val="0"/>
          <w:szCs w:val="20"/>
          <w:lang w:val="en-US"/>
        </w:rPr>
        <w:t>.</w:t>
      </w:r>
      <w:r w:rsidR="003E12DE" w:rsidRPr="00610904">
        <w:rPr>
          <w:noProof w:val="0"/>
          <w:szCs w:val="20"/>
          <w:lang w:val="en-US"/>
        </w:rPr>
        <w:t>”</w:t>
      </w:r>
      <w:r w:rsidR="003E12DE" w:rsidRPr="00610904">
        <w:rPr>
          <w:rStyle w:val="FootnoteReference"/>
          <w:noProof w:val="0"/>
          <w:lang w:val="en-US"/>
        </w:rPr>
        <w:footnoteReference w:id="439"/>
      </w:r>
    </w:p>
    <w:p w:rsidR="003E12DE" w:rsidRPr="00610904" w:rsidRDefault="003E12DE" w:rsidP="00610904">
      <w:pPr>
        <w:pStyle w:val="ListParagraph"/>
        <w:tabs>
          <w:tab w:val="left" w:pos="709"/>
        </w:tabs>
        <w:rPr>
          <w:noProof w:val="0"/>
          <w:szCs w:val="20"/>
          <w:lang w:val="en-US"/>
        </w:rPr>
      </w:pPr>
    </w:p>
    <w:p w:rsidR="003E12DE" w:rsidRPr="00610904" w:rsidRDefault="00597512"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In this regard, it is worth stressing that: </w:t>
      </w:r>
    </w:p>
    <w:p w:rsidR="003E12DE" w:rsidRPr="00610904" w:rsidRDefault="003E12DE" w:rsidP="00610904">
      <w:pPr>
        <w:pStyle w:val="ListParagraph"/>
        <w:tabs>
          <w:tab w:val="left" w:pos="709"/>
        </w:tabs>
        <w:rPr>
          <w:noProof w:val="0"/>
          <w:szCs w:val="20"/>
          <w:lang w:val="en-US"/>
        </w:rPr>
      </w:pPr>
    </w:p>
    <w:p w:rsidR="003E12DE" w:rsidRPr="00610904" w:rsidRDefault="003E12DE" w:rsidP="00610904">
      <w:pPr>
        <w:tabs>
          <w:tab w:val="left" w:pos="426"/>
          <w:tab w:val="left" w:pos="709"/>
        </w:tabs>
        <w:ind w:left="426" w:right="333"/>
        <w:rPr>
          <w:noProof w:val="0"/>
          <w:sz w:val="16"/>
          <w:szCs w:val="16"/>
          <w:lang w:val="en-US"/>
        </w:rPr>
      </w:pPr>
      <w:r w:rsidRPr="00610904">
        <w:rPr>
          <w:noProof w:val="0"/>
          <w:sz w:val="16"/>
          <w:szCs w:val="16"/>
          <w:lang w:val="en-US"/>
        </w:rPr>
        <w:t>“</w:t>
      </w:r>
      <w:r w:rsidR="00597512" w:rsidRPr="00610904">
        <w:rPr>
          <w:noProof w:val="0"/>
          <w:sz w:val="16"/>
          <w:szCs w:val="16"/>
          <w:lang w:val="en-US"/>
        </w:rPr>
        <w:t xml:space="preserve">The inclusion </w:t>
      </w:r>
      <w:r w:rsidRPr="00610904">
        <w:rPr>
          <w:noProof w:val="0"/>
          <w:sz w:val="16"/>
          <w:szCs w:val="16"/>
          <w:lang w:val="en-US"/>
        </w:rPr>
        <w:t>[</w:t>
      </w:r>
      <w:r w:rsidR="006E502B" w:rsidRPr="00610904">
        <w:rPr>
          <w:noProof w:val="0"/>
          <w:sz w:val="16"/>
          <w:szCs w:val="16"/>
          <w:lang w:val="en-US"/>
        </w:rPr>
        <w:t>of Article</w:t>
      </w:r>
      <w:r w:rsidRPr="00610904">
        <w:rPr>
          <w:noProof w:val="0"/>
          <w:sz w:val="16"/>
          <w:szCs w:val="16"/>
          <w:lang w:val="en-US"/>
        </w:rPr>
        <w:t xml:space="preserve"> 26] </w:t>
      </w:r>
      <w:r w:rsidR="00597512" w:rsidRPr="00610904">
        <w:rPr>
          <w:noProof w:val="0"/>
          <w:sz w:val="16"/>
          <w:szCs w:val="16"/>
          <w:lang w:val="en-US"/>
        </w:rPr>
        <w:t xml:space="preserve">in the text of the Convention requires a theoretical effort in order to endow it with meaning in </w:t>
      </w:r>
      <w:r w:rsidR="00856968" w:rsidRPr="00610904">
        <w:rPr>
          <w:noProof w:val="0"/>
          <w:sz w:val="16"/>
          <w:szCs w:val="16"/>
          <w:lang w:val="en-US"/>
        </w:rPr>
        <w:t>accordance</w:t>
      </w:r>
      <w:r w:rsidR="00597512" w:rsidRPr="00610904">
        <w:rPr>
          <w:noProof w:val="0"/>
          <w:sz w:val="16"/>
          <w:szCs w:val="16"/>
          <w:lang w:val="en-US"/>
        </w:rPr>
        <w:t xml:space="preserve"> with the other articles of the Convention and the principles that regulate its interpretation, avoiding two position that we understand are incorrect, [including] the temptation to introduce, by means of this article, a complete list of social rights that, clearly, the States did not intend to incorporate into the system of the Convention, which was designed above all to protect civil and political rights.</w:t>
      </w:r>
      <w:r w:rsidRPr="00610904">
        <w:rPr>
          <w:noProof w:val="0"/>
          <w:sz w:val="16"/>
          <w:szCs w:val="16"/>
          <w:lang w:val="en-US"/>
        </w:rPr>
        <w:t>”</w:t>
      </w:r>
      <w:r w:rsidRPr="00610904">
        <w:rPr>
          <w:rStyle w:val="FootnoteReference"/>
          <w:noProof w:val="0"/>
          <w:sz w:val="16"/>
          <w:szCs w:val="16"/>
          <w:lang w:val="en-US"/>
        </w:rPr>
        <w:footnoteReference w:id="440"/>
      </w:r>
      <w:r w:rsidRPr="00610904">
        <w:rPr>
          <w:noProof w:val="0"/>
          <w:sz w:val="16"/>
          <w:szCs w:val="16"/>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597512"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Even though it would have been desirable when Article 26 was drafted to use a less problematic legislative technique than the complex system of referrals to the OAS Charter, the truth is that the referral is to the Charter and not to </w:t>
      </w:r>
      <w:r w:rsidR="0013395A" w:rsidRPr="00610904">
        <w:rPr>
          <w:noProof w:val="0"/>
          <w:szCs w:val="20"/>
          <w:lang w:val="en-US"/>
        </w:rPr>
        <w:t>the American Declaration of the Rights and Duties of Man</w:t>
      </w:r>
      <w:r w:rsidR="003E12DE" w:rsidRPr="00610904">
        <w:rPr>
          <w:noProof w:val="0"/>
          <w:szCs w:val="20"/>
          <w:lang w:val="en-US"/>
        </w:rPr>
        <w:t xml:space="preserve">, </w:t>
      </w:r>
      <w:r w:rsidRPr="00610904">
        <w:rPr>
          <w:noProof w:val="0"/>
          <w:szCs w:val="20"/>
          <w:lang w:val="en-US"/>
        </w:rPr>
        <w:t xml:space="preserve">which could have led to a different interpretation, because the Declaration does contain more precise references to </w:t>
      </w:r>
      <w:r w:rsidR="002310E6" w:rsidRPr="00610904">
        <w:rPr>
          <w:noProof w:val="0"/>
          <w:szCs w:val="20"/>
          <w:lang w:val="en-US"/>
        </w:rPr>
        <w:t>the ESCR</w:t>
      </w:r>
      <w:r w:rsidRPr="00610904">
        <w:rPr>
          <w:noProof w:val="0"/>
          <w:szCs w:val="20"/>
          <w:lang w:val="en-US"/>
        </w:rPr>
        <w:t>.</w:t>
      </w:r>
      <w:r w:rsidR="003E12DE" w:rsidRPr="00610904">
        <w:rPr>
          <w:rStyle w:val="FootnoteReference"/>
          <w:noProof w:val="0"/>
          <w:lang w:val="en-US"/>
        </w:rPr>
        <w:footnoteReference w:id="441"/>
      </w:r>
      <w:r w:rsidRPr="00610904">
        <w:rPr>
          <w:noProof w:val="0"/>
          <w:szCs w:val="20"/>
          <w:lang w:val="en-US"/>
        </w:rPr>
        <w:t xml:space="preserve"> Unfortunately, this is not the case.</w:t>
      </w:r>
      <w:r w:rsidR="003E12DE" w:rsidRPr="00610904">
        <w:rPr>
          <w:rStyle w:val="FootnoteReference"/>
          <w:noProof w:val="0"/>
          <w:lang w:val="en-US"/>
        </w:rPr>
        <w:footnoteReference w:id="442"/>
      </w:r>
    </w:p>
    <w:p w:rsidR="003E12DE" w:rsidRPr="00610904" w:rsidRDefault="003E12DE" w:rsidP="00610904">
      <w:pPr>
        <w:pStyle w:val="ListParagraph"/>
        <w:tabs>
          <w:tab w:val="left" w:pos="709"/>
        </w:tabs>
        <w:ind w:left="0"/>
        <w:rPr>
          <w:noProof w:val="0"/>
          <w:szCs w:val="20"/>
          <w:lang w:val="en-US"/>
        </w:rPr>
      </w:pPr>
    </w:p>
    <w:p w:rsidR="003E12DE" w:rsidRPr="00610904" w:rsidRDefault="00597512"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In addition, it has been affirmed that</w:t>
      </w:r>
      <w:r w:rsidR="00F856B4" w:rsidRPr="00610904">
        <w:rPr>
          <w:noProof w:val="0"/>
          <w:szCs w:val="20"/>
          <w:lang w:val="en-US"/>
        </w:rPr>
        <w:t xml:space="preserve">, in the case of </w:t>
      </w:r>
      <w:r w:rsidRPr="00610904">
        <w:rPr>
          <w:i/>
          <w:noProof w:val="0"/>
          <w:szCs w:val="20"/>
          <w:lang w:val="en-US"/>
        </w:rPr>
        <w:t xml:space="preserve">Acevedo Buendía et al. (“Discharged and Retired Employees of the Comptroller’s Office”) </w:t>
      </w:r>
      <w:r w:rsidR="009F3D78" w:rsidRPr="00610904">
        <w:rPr>
          <w:i/>
          <w:noProof w:val="0"/>
          <w:szCs w:val="20"/>
          <w:lang w:val="en-US"/>
        </w:rPr>
        <w:t>v.</w:t>
      </w:r>
      <w:r w:rsidR="003E12DE" w:rsidRPr="00610904">
        <w:rPr>
          <w:i/>
          <w:noProof w:val="0"/>
          <w:szCs w:val="20"/>
          <w:lang w:val="en-US"/>
        </w:rPr>
        <w:t xml:space="preserve"> Per</w:t>
      </w:r>
      <w:r w:rsidR="00F856B4" w:rsidRPr="00610904">
        <w:rPr>
          <w:i/>
          <w:noProof w:val="0"/>
          <w:szCs w:val="20"/>
          <w:lang w:val="en-US"/>
        </w:rPr>
        <w:t>u,</w:t>
      </w:r>
      <w:r w:rsidR="003E12DE" w:rsidRPr="00610904">
        <w:rPr>
          <w:noProof w:val="0"/>
          <w:szCs w:val="20"/>
          <w:lang w:val="en-US"/>
        </w:rPr>
        <w:t xml:space="preserve"> </w:t>
      </w:r>
      <w:r w:rsidR="00F856B4" w:rsidRPr="00610904">
        <w:rPr>
          <w:noProof w:val="0"/>
          <w:szCs w:val="20"/>
          <w:lang w:val="en-US"/>
        </w:rPr>
        <w:t>the Inter-American Court accepted that</w:t>
      </w:r>
      <w:r w:rsidR="003E12DE" w:rsidRPr="00610904">
        <w:rPr>
          <w:noProof w:val="0"/>
          <w:szCs w:val="20"/>
          <w:lang w:val="en-US"/>
        </w:rPr>
        <w:t xml:space="preserve">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cont</w:t>
      </w:r>
      <w:r w:rsidR="00B50271" w:rsidRPr="00610904">
        <w:rPr>
          <w:noProof w:val="0"/>
          <w:szCs w:val="20"/>
          <w:lang w:val="en-US"/>
        </w:rPr>
        <w:t>ained</w:t>
      </w:r>
      <w:r w:rsidR="00F856B4" w:rsidRPr="00610904">
        <w:rPr>
          <w:noProof w:val="0"/>
          <w:szCs w:val="20"/>
          <w:lang w:val="en-US"/>
        </w:rPr>
        <w:t xml:space="preserve"> a precise list of</w:t>
      </w:r>
      <w:r w:rsidR="003E12DE" w:rsidRPr="00610904">
        <w:rPr>
          <w:noProof w:val="0"/>
          <w:szCs w:val="20"/>
          <w:lang w:val="en-US"/>
        </w:rPr>
        <w:t xml:space="preserve"> </w:t>
      </w:r>
      <w:r w:rsidR="00864DEB">
        <w:rPr>
          <w:noProof w:val="0"/>
          <w:szCs w:val="20"/>
          <w:lang w:val="en-US"/>
        </w:rPr>
        <w:t xml:space="preserve">the </w:t>
      </w:r>
      <w:r w:rsidR="002310E6" w:rsidRPr="00610904">
        <w:rPr>
          <w:noProof w:val="0"/>
          <w:szCs w:val="20"/>
          <w:lang w:val="en-US"/>
        </w:rPr>
        <w:t>ESCR</w:t>
      </w:r>
      <w:r w:rsidR="00864DEB">
        <w:rPr>
          <w:noProof w:val="0"/>
          <w:szCs w:val="20"/>
          <w:lang w:val="en-US"/>
        </w:rPr>
        <w:t xml:space="preserve"> that</w:t>
      </w:r>
      <w:r w:rsidR="00F856B4" w:rsidRPr="00610904">
        <w:rPr>
          <w:noProof w:val="0"/>
          <w:szCs w:val="20"/>
          <w:lang w:val="en-US"/>
        </w:rPr>
        <w:t xml:space="preserve"> could be enforced directly. In my opinion, this gives an excessive scope to that judgment. First, the judgment does not declare the violation of Article 26 and</w:t>
      </w:r>
      <w:r w:rsidR="00B50271" w:rsidRPr="00610904">
        <w:rPr>
          <w:noProof w:val="0"/>
          <w:szCs w:val="20"/>
          <w:lang w:val="en-US"/>
        </w:rPr>
        <w:t xml:space="preserve"> the considerations made relate</w:t>
      </w:r>
      <w:r w:rsidR="00F856B4" w:rsidRPr="00610904">
        <w:rPr>
          <w:noProof w:val="0"/>
          <w:szCs w:val="20"/>
          <w:lang w:val="en-US"/>
        </w:rPr>
        <w:t xml:space="preserve"> precisely to the obligation of progressive</w:t>
      </w:r>
      <w:r w:rsidR="00B50271" w:rsidRPr="00610904">
        <w:rPr>
          <w:noProof w:val="0"/>
          <w:szCs w:val="20"/>
          <w:lang w:val="en-US"/>
        </w:rPr>
        <w:t xml:space="preserve"> development </w:t>
      </w:r>
      <w:r w:rsidR="00F856B4" w:rsidRPr="00610904">
        <w:rPr>
          <w:noProof w:val="0"/>
          <w:szCs w:val="20"/>
          <w:lang w:val="en-US"/>
        </w:rPr>
        <w:t xml:space="preserve">and not to a direct enforceability of any right in particular. Second, the judgment does not define or clarify </w:t>
      </w:r>
      <w:r w:rsidR="00B50271" w:rsidRPr="00610904">
        <w:rPr>
          <w:noProof w:val="0"/>
          <w:szCs w:val="20"/>
          <w:lang w:val="en-US"/>
        </w:rPr>
        <w:t>either the scope or</w:t>
      </w:r>
      <w:r w:rsidR="00F856B4" w:rsidRPr="00610904">
        <w:rPr>
          <w:noProof w:val="0"/>
          <w:szCs w:val="20"/>
          <w:lang w:val="en-US"/>
        </w:rPr>
        <w:t xml:space="preserve"> minimum content</w:t>
      </w:r>
      <w:r w:rsidR="00B50271" w:rsidRPr="00610904">
        <w:rPr>
          <w:noProof w:val="0"/>
          <w:szCs w:val="20"/>
          <w:lang w:val="en-US"/>
        </w:rPr>
        <w:t xml:space="preserve"> of the ESCR that would be protected</w:t>
      </w:r>
      <w:r w:rsidR="00F856B4" w:rsidRPr="00610904">
        <w:rPr>
          <w:noProof w:val="0"/>
          <w:szCs w:val="20"/>
          <w:lang w:val="en-US"/>
        </w:rPr>
        <w:t xml:space="preserve">. Third, even if the </w:t>
      </w:r>
      <w:r w:rsidR="00B50271" w:rsidRPr="00610904">
        <w:rPr>
          <w:noProof w:val="0"/>
          <w:szCs w:val="20"/>
          <w:lang w:val="en-US"/>
        </w:rPr>
        <w:t>intention</w:t>
      </w:r>
      <w:r w:rsidR="00F856B4" w:rsidRPr="00610904">
        <w:rPr>
          <w:noProof w:val="0"/>
          <w:szCs w:val="20"/>
          <w:lang w:val="en-US"/>
        </w:rPr>
        <w:t xml:space="preserve"> was to derive some type of direct justiciability</w:t>
      </w:r>
      <w:r w:rsidR="00B50271" w:rsidRPr="00610904">
        <w:rPr>
          <w:noProof w:val="0"/>
          <w:szCs w:val="20"/>
          <w:lang w:val="en-US"/>
        </w:rPr>
        <w:t xml:space="preserve"> from the affirmation that </w:t>
      </w:r>
      <w:r w:rsidR="00F856B4" w:rsidRPr="00610904">
        <w:rPr>
          <w:noProof w:val="0"/>
          <w:szCs w:val="20"/>
          <w:lang w:val="en-US"/>
        </w:rPr>
        <w:t xml:space="preserve">the obligations of respect and guarantee are applicable to Article 26 of the Convention, it should be stressed that this affirmation is an </w:t>
      </w:r>
      <w:r w:rsidR="003E12DE" w:rsidRPr="00610904">
        <w:rPr>
          <w:i/>
          <w:noProof w:val="0"/>
          <w:szCs w:val="20"/>
          <w:lang w:val="en-US"/>
        </w:rPr>
        <w:t>obiter dictum</w:t>
      </w:r>
      <w:r w:rsidR="003E12DE" w:rsidRPr="00610904">
        <w:rPr>
          <w:noProof w:val="0"/>
          <w:szCs w:val="20"/>
          <w:lang w:val="en-US"/>
        </w:rPr>
        <w:t xml:space="preserve"> </w:t>
      </w:r>
      <w:r w:rsidR="00B50271" w:rsidRPr="00610904">
        <w:rPr>
          <w:noProof w:val="0"/>
          <w:szCs w:val="20"/>
          <w:lang w:val="en-US"/>
        </w:rPr>
        <w:t>of that j</w:t>
      </w:r>
      <w:r w:rsidR="004A6E8B" w:rsidRPr="00610904">
        <w:rPr>
          <w:noProof w:val="0"/>
          <w:szCs w:val="20"/>
          <w:lang w:val="en-US"/>
        </w:rPr>
        <w:t>udgment</w:t>
      </w:r>
      <w:r w:rsidR="003E12DE" w:rsidRPr="00610904">
        <w:rPr>
          <w:noProof w:val="0"/>
          <w:szCs w:val="20"/>
          <w:lang w:val="en-US"/>
        </w:rPr>
        <w:t xml:space="preserve">, </w:t>
      </w:r>
      <w:r w:rsidR="00F856B4" w:rsidRPr="00610904">
        <w:rPr>
          <w:noProof w:val="0"/>
          <w:szCs w:val="20"/>
          <w:lang w:val="en-US"/>
        </w:rPr>
        <w:t xml:space="preserve">and thus has no direct relationship to the final decision which </w:t>
      </w:r>
      <w:r w:rsidR="00F856B4" w:rsidRPr="00610904">
        <w:rPr>
          <w:noProof w:val="0"/>
          <w:szCs w:val="20"/>
          <w:lang w:val="en-US"/>
        </w:rPr>
        <w:lastRenderedPageBreak/>
        <w:t>was to declare that Article 26 had not been violated.</w:t>
      </w:r>
      <w:r w:rsidR="003E12DE" w:rsidRPr="00610904">
        <w:rPr>
          <w:rStyle w:val="FootnoteReference"/>
          <w:noProof w:val="0"/>
          <w:lang w:val="en-US"/>
        </w:rPr>
        <w:footnoteReference w:id="443"/>
      </w:r>
      <w:r w:rsidR="00F856B4" w:rsidRPr="00610904">
        <w:rPr>
          <w:noProof w:val="0"/>
          <w:szCs w:val="20"/>
          <w:lang w:val="en-US"/>
        </w:rPr>
        <w:t xml:space="preserve"> Furthermore, this consideration in the</w:t>
      </w:r>
      <w:r w:rsidR="004A6E8B" w:rsidRPr="00610904">
        <w:rPr>
          <w:noProof w:val="0"/>
          <w:szCs w:val="20"/>
          <w:lang w:val="en-US"/>
        </w:rPr>
        <w:t xml:space="preserve"> </w:t>
      </w:r>
      <w:r w:rsidR="00F856B4" w:rsidRPr="00610904">
        <w:rPr>
          <w:noProof w:val="0"/>
          <w:szCs w:val="20"/>
          <w:lang w:val="en-US"/>
        </w:rPr>
        <w:t>j</w:t>
      </w:r>
      <w:r w:rsidR="004A6E8B" w:rsidRPr="00610904">
        <w:rPr>
          <w:noProof w:val="0"/>
          <w:szCs w:val="20"/>
          <w:lang w:val="en-US"/>
        </w:rPr>
        <w:t>udgment</w:t>
      </w:r>
      <w:r w:rsidR="003E12DE" w:rsidRPr="00610904">
        <w:rPr>
          <w:noProof w:val="0"/>
          <w:szCs w:val="20"/>
          <w:lang w:val="en-US"/>
        </w:rPr>
        <w:t xml:space="preserve"> </w:t>
      </w:r>
      <w:r w:rsidR="00B50271" w:rsidRPr="00610904">
        <w:rPr>
          <w:noProof w:val="0"/>
          <w:szCs w:val="20"/>
          <w:lang w:val="en-US"/>
        </w:rPr>
        <w:t xml:space="preserve">has not been </w:t>
      </w:r>
      <w:r w:rsidR="00F856B4" w:rsidRPr="00610904">
        <w:rPr>
          <w:noProof w:val="0"/>
          <w:szCs w:val="20"/>
          <w:lang w:val="en-US"/>
        </w:rPr>
        <w:t>reiterated in the subsequent case law of the Court, even though cases have been heard in which the alleged violations could have allowed the</w:t>
      </w:r>
      <w:r w:rsidR="00B50271" w:rsidRPr="00610904">
        <w:rPr>
          <w:noProof w:val="0"/>
          <w:szCs w:val="20"/>
          <w:lang w:val="en-US"/>
        </w:rPr>
        <w:t xml:space="preserve"> Court to reaffirm its position; consequently,</w:t>
      </w:r>
      <w:r w:rsidR="00F856B4" w:rsidRPr="00610904">
        <w:rPr>
          <w:noProof w:val="0"/>
          <w:szCs w:val="20"/>
          <w:lang w:val="en-US"/>
        </w:rPr>
        <w:t xml:space="preserve"> doubts remain as t</w:t>
      </w:r>
      <w:r w:rsidR="00B50271" w:rsidRPr="00610904">
        <w:rPr>
          <w:noProof w:val="0"/>
          <w:szCs w:val="20"/>
          <w:lang w:val="en-US"/>
        </w:rPr>
        <w:t>o whether, six years after that judgment</w:t>
      </w:r>
      <w:r w:rsidR="00F856B4" w:rsidRPr="00610904">
        <w:rPr>
          <w:noProof w:val="0"/>
          <w:szCs w:val="20"/>
          <w:lang w:val="en-US"/>
        </w:rPr>
        <w:t xml:space="preserve"> was adopted, it can be considered a consist</w:t>
      </w:r>
      <w:r w:rsidR="00B50271" w:rsidRPr="00610904">
        <w:rPr>
          <w:noProof w:val="0"/>
          <w:szCs w:val="20"/>
          <w:lang w:val="en-US"/>
        </w:rPr>
        <w:t>e</w:t>
      </w:r>
      <w:r w:rsidR="00F856B4" w:rsidRPr="00610904">
        <w:rPr>
          <w:noProof w:val="0"/>
          <w:szCs w:val="20"/>
          <w:lang w:val="en-US"/>
        </w:rPr>
        <w:t xml:space="preserve">nt precedent. Lastly, there is a </w:t>
      </w:r>
      <w:r w:rsidR="00B50271" w:rsidRPr="00610904">
        <w:rPr>
          <w:noProof w:val="0"/>
          <w:szCs w:val="20"/>
          <w:lang w:val="en-US"/>
        </w:rPr>
        <w:t>significant</w:t>
      </w:r>
      <w:r w:rsidR="00F856B4" w:rsidRPr="00610904">
        <w:rPr>
          <w:noProof w:val="0"/>
          <w:szCs w:val="20"/>
          <w:lang w:val="en-US"/>
        </w:rPr>
        <w:t xml:space="preserve"> basic problem with that judgment, </w:t>
      </w:r>
      <w:r w:rsidR="00B50271" w:rsidRPr="00610904">
        <w:rPr>
          <w:noProof w:val="0"/>
          <w:szCs w:val="20"/>
          <w:lang w:val="en-US"/>
        </w:rPr>
        <w:t>in that</w:t>
      </w:r>
      <w:r w:rsidR="00F856B4" w:rsidRPr="00610904">
        <w:rPr>
          <w:noProof w:val="0"/>
          <w:szCs w:val="20"/>
          <w:lang w:val="en-US"/>
        </w:rPr>
        <w:t xml:space="preserve"> it makes no mention of the </w:t>
      </w:r>
      <w:r w:rsidR="00852A2E" w:rsidRPr="00610904">
        <w:rPr>
          <w:noProof w:val="0"/>
          <w:szCs w:val="20"/>
          <w:lang w:val="en-US"/>
        </w:rPr>
        <w:t>Protocol of</w:t>
      </w:r>
      <w:r w:rsidR="003E12DE" w:rsidRPr="00610904">
        <w:rPr>
          <w:noProof w:val="0"/>
          <w:szCs w:val="20"/>
          <w:lang w:val="en-US"/>
        </w:rPr>
        <w:t xml:space="preserve"> San Salvador, </w:t>
      </w:r>
      <w:r w:rsidR="00F856B4" w:rsidRPr="00610904">
        <w:rPr>
          <w:noProof w:val="0"/>
          <w:szCs w:val="20"/>
          <w:lang w:val="en-US"/>
        </w:rPr>
        <w:t>which, as we shall see below, is fundamental to understand</w:t>
      </w:r>
      <w:r w:rsidR="00B50271" w:rsidRPr="00610904">
        <w:rPr>
          <w:noProof w:val="0"/>
          <w:szCs w:val="20"/>
          <w:lang w:val="en-US"/>
        </w:rPr>
        <w:t>ing</w:t>
      </w:r>
      <w:r w:rsidR="00F856B4" w:rsidRPr="00610904">
        <w:rPr>
          <w:noProof w:val="0"/>
          <w:szCs w:val="20"/>
          <w:lang w:val="en-US"/>
        </w:rPr>
        <w:t xml:space="preserve"> the competence of the Court in this matter.</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3E12DE" w:rsidP="00610904">
      <w:pPr>
        <w:pStyle w:val="ListParagraph"/>
        <w:numPr>
          <w:ilvl w:val="0"/>
          <w:numId w:val="17"/>
        </w:numPr>
        <w:tabs>
          <w:tab w:val="left" w:pos="426"/>
          <w:tab w:val="left" w:pos="709"/>
        </w:tabs>
        <w:ind w:left="0" w:firstLine="0"/>
        <w:contextualSpacing/>
        <w:rPr>
          <w:noProof w:val="0"/>
          <w:szCs w:val="20"/>
          <w:lang w:val="en-US"/>
        </w:rPr>
      </w:pPr>
      <w:r w:rsidRPr="00610904">
        <w:rPr>
          <w:noProof w:val="0"/>
          <w:szCs w:val="20"/>
          <w:lang w:val="en-US"/>
        </w:rPr>
        <w:t>T</w:t>
      </w:r>
      <w:r w:rsidR="00870970" w:rsidRPr="00610904">
        <w:rPr>
          <w:noProof w:val="0"/>
          <w:szCs w:val="20"/>
          <w:lang w:val="en-US"/>
        </w:rPr>
        <w:t xml:space="preserve">aking the </w:t>
      </w:r>
      <w:r w:rsidR="00B50271" w:rsidRPr="00610904">
        <w:rPr>
          <w:noProof w:val="0"/>
          <w:szCs w:val="20"/>
          <w:lang w:val="en-US"/>
        </w:rPr>
        <w:t>above</w:t>
      </w:r>
      <w:r w:rsidR="00870970" w:rsidRPr="00610904">
        <w:rPr>
          <w:noProof w:val="0"/>
          <w:szCs w:val="20"/>
          <w:lang w:val="en-US"/>
        </w:rPr>
        <w:t xml:space="preserve"> into account, it is possible to reach a first conclusion, and this is that</w:t>
      </w:r>
      <w:r w:rsidRPr="00610904">
        <w:rPr>
          <w:noProof w:val="0"/>
          <w:szCs w:val="20"/>
          <w:lang w:val="en-US"/>
        </w:rPr>
        <w:t xml:space="preserve"> </w:t>
      </w:r>
      <w:r w:rsidR="009F3D78" w:rsidRPr="00610904">
        <w:rPr>
          <w:noProof w:val="0"/>
          <w:szCs w:val="20"/>
          <w:lang w:val="en-US"/>
        </w:rPr>
        <w:t>Article</w:t>
      </w:r>
      <w:r w:rsidRPr="00610904">
        <w:rPr>
          <w:noProof w:val="0"/>
          <w:szCs w:val="20"/>
          <w:lang w:val="en-US"/>
        </w:rPr>
        <w:t xml:space="preserve"> 26</w:t>
      </w:r>
      <w:r w:rsidR="009F3D78" w:rsidRPr="00610904">
        <w:rPr>
          <w:noProof w:val="0"/>
          <w:szCs w:val="20"/>
          <w:lang w:val="en-US"/>
        </w:rPr>
        <w:t xml:space="preserve"> of the American Convention</w:t>
      </w:r>
      <w:r w:rsidRPr="00610904">
        <w:rPr>
          <w:noProof w:val="0"/>
          <w:szCs w:val="20"/>
          <w:lang w:val="en-US"/>
        </w:rPr>
        <w:t xml:space="preserve"> </w:t>
      </w:r>
      <w:r w:rsidR="00870970" w:rsidRPr="00610904">
        <w:rPr>
          <w:noProof w:val="0"/>
          <w:szCs w:val="20"/>
          <w:lang w:val="en-US"/>
        </w:rPr>
        <w:t xml:space="preserve">does not contain a list of </w:t>
      </w:r>
      <w:r w:rsidR="00B50271" w:rsidRPr="00610904">
        <w:rPr>
          <w:noProof w:val="0"/>
          <w:szCs w:val="20"/>
          <w:lang w:val="en-US"/>
        </w:rPr>
        <w:t xml:space="preserve">clearly established </w:t>
      </w:r>
      <w:r w:rsidR="00870970" w:rsidRPr="00610904">
        <w:rPr>
          <w:noProof w:val="0"/>
          <w:szCs w:val="20"/>
          <w:lang w:val="en-US"/>
        </w:rPr>
        <w:t>subjecti</w:t>
      </w:r>
      <w:r w:rsidR="00B50271" w:rsidRPr="00610904">
        <w:rPr>
          <w:noProof w:val="0"/>
          <w:szCs w:val="20"/>
          <w:lang w:val="en-US"/>
        </w:rPr>
        <w:t xml:space="preserve">ve rights, </w:t>
      </w:r>
      <w:r w:rsidR="00870970" w:rsidRPr="00610904">
        <w:rPr>
          <w:noProof w:val="0"/>
          <w:szCs w:val="20"/>
          <w:lang w:val="en-US"/>
        </w:rPr>
        <w:t xml:space="preserve">owing </w:t>
      </w:r>
      <w:r w:rsidR="00B50271" w:rsidRPr="00610904">
        <w:rPr>
          <w:noProof w:val="0"/>
          <w:szCs w:val="20"/>
          <w:lang w:val="en-US"/>
        </w:rPr>
        <w:t xml:space="preserve">precisely </w:t>
      </w:r>
      <w:r w:rsidR="00870970" w:rsidRPr="00610904">
        <w:rPr>
          <w:noProof w:val="0"/>
          <w:szCs w:val="20"/>
          <w:lang w:val="en-US"/>
        </w:rPr>
        <w:t xml:space="preserve">to the problems </w:t>
      </w:r>
      <w:r w:rsidR="00B50271" w:rsidRPr="00610904">
        <w:rPr>
          <w:noProof w:val="0"/>
          <w:szCs w:val="20"/>
          <w:lang w:val="en-US"/>
        </w:rPr>
        <w:t>resulting</w:t>
      </w:r>
      <w:r w:rsidR="00870970" w:rsidRPr="00610904">
        <w:rPr>
          <w:noProof w:val="0"/>
          <w:szCs w:val="20"/>
          <w:lang w:val="en-US"/>
        </w:rPr>
        <w:t xml:space="preserve"> from the referral to the OAS Charter. Therefore, the obligation implied by this article</w:t>
      </w:r>
      <w:r w:rsidR="00B50271" w:rsidRPr="00610904">
        <w:rPr>
          <w:noProof w:val="0"/>
          <w:szCs w:val="20"/>
          <w:lang w:val="en-US"/>
        </w:rPr>
        <w:t>,</w:t>
      </w:r>
      <w:r w:rsidR="00870970" w:rsidRPr="00610904">
        <w:rPr>
          <w:noProof w:val="0"/>
          <w:szCs w:val="20"/>
          <w:lang w:val="en-US"/>
        </w:rPr>
        <w:t xml:space="preserve"> and that the Court may supervise directly, is compliance with the obligation of progressive development</w:t>
      </w:r>
      <w:r w:rsidR="00FF6802" w:rsidRPr="00610904">
        <w:rPr>
          <w:noProof w:val="0"/>
          <w:szCs w:val="20"/>
          <w:lang w:val="en-US"/>
        </w:rPr>
        <w:t xml:space="preserve"> – and the</w:t>
      </w:r>
      <w:r w:rsidR="00870970" w:rsidRPr="00610904">
        <w:rPr>
          <w:noProof w:val="0"/>
          <w:szCs w:val="20"/>
          <w:lang w:val="en-US"/>
        </w:rPr>
        <w:t xml:space="preserve"> consequent obligation of non-regressiv</w:t>
      </w:r>
      <w:r w:rsidR="00FF6802" w:rsidRPr="00610904">
        <w:rPr>
          <w:noProof w:val="0"/>
          <w:szCs w:val="20"/>
          <w:lang w:val="en-US"/>
        </w:rPr>
        <w:t>ity – of</w:t>
      </w:r>
      <w:r w:rsidR="00870970" w:rsidRPr="00610904">
        <w:rPr>
          <w:noProof w:val="0"/>
          <w:szCs w:val="20"/>
          <w:lang w:val="en-US"/>
        </w:rPr>
        <w:t xml:space="preserve"> the rights that may be derived from the Charter, over and above the mere reference to the</w:t>
      </w:r>
      <w:r w:rsidR="00FF6802" w:rsidRPr="00610904">
        <w:rPr>
          <w:noProof w:val="0"/>
          <w:szCs w:val="20"/>
          <w:lang w:val="en-US"/>
        </w:rPr>
        <w:t>ir</w:t>
      </w:r>
      <w:r w:rsidR="00870970" w:rsidRPr="00610904">
        <w:rPr>
          <w:noProof w:val="0"/>
          <w:szCs w:val="20"/>
          <w:lang w:val="en-US"/>
        </w:rPr>
        <w:t xml:space="preserve"> name, </w:t>
      </w:r>
      <w:r w:rsidR="00FF6802" w:rsidRPr="00610904">
        <w:rPr>
          <w:noProof w:val="0"/>
          <w:szCs w:val="20"/>
          <w:lang w:val="en-US"/>
        </w:rPr>
        <w:t>such as</w:t>
      </w:r>
      <w:r w:rsidR="006350EB" w:rsidRPr="00610904">
        <w:rPr>
          <w:noProof w:val="0"/>
          <w:szCs w:val="20"/>
          <w:lang w:val="en-US"/>
        </w:rPr>
        <w:t xml:space="preserve"> </w:t>
      </w:r>
      <w:r w:rsidR="00870970" w:rsidRPr="00610904">
        <w:rPr>
          <w:noProof w:val="0"/>
          <w:szCs w:val="20"/>
          <w:lang w:val="en-US"/>
        </w:rPr>
        <w:t>the right to work</w:t>
      </w:r>
      <w:r w:rsidR="00FF6802" w:rsidRPr="00610904">
        <w:rPr>
          <w:noProof w:val="0"/>
          <w:szCs w:val="20"/>
          <w:lang w:val="en-US"/>
        </w:rPr>
        <w:t>, for example</w:t>
      </w:r>
      <w:r w:rsidR="00870970" w:rsidRPr="00610904">
        <w:rPr>
          <w:noProof w:val="0"/>
          <w:szCs w:val="20"/>
          <w:lang w:val="en-US"/>
        </w:rPr>
        <w:t>.</w:t>
      </w:r>
      <w:r w:rsidRPr="00610904">
        <w:rPr>
          <w:rStyle w:val="FootnoteReference"/>
          <w:noProof w:val="0"/>
          <w:lang w:val="en-US"/>
        </w:rPr>
        <w:footnoteReference w:id="444"/>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3B4284" w:rsidP="00610904">
      <w:pPr>
        <w:pStyle w:val="ListParagraph"/>
        <w:numPr>
          <w:ilvl w:val="0"/>
          <w:numId w:val="18"/>
        </w:numPr>
        <w:tabs>
          <w:tab w:val="left" w:pos="426"/>
          <w:tab w:val="left" w:pos="709"/>
        </w:tabs>
        <w:contextualSpacing/>
        <w:rPr>
          <w:b/>
          <w:noProof w:val="0"/>
          <w:szCs w:val="20"/>
          <w:lang w:val="en-US"/>
        </w:rPr>
      </w:pPr>
      <w:r w:rsidRPr="00610904">
        <w:rPr>
          <w:b/>
          <w:noProof w:val="0"/>
          <w:szCs w:val="20"/>
          <w:lang w:val="en-US"/>
        </w:rPr>
        <w:t>The</w:t>
      </w:r>
      <w:r w:rsidR="003E12DE" w:rsidRPr="00610904">
        <w:rPr>
          <w:b/>
          <w:noProof w:val="0"/>
          <w:szCs w:val="20"/>
          <w:lang w:val="en-US"/>
        </w:rPr>
        <w:t xml:space="preserve"> </w:t>
      </w:r>
      <w:r w:rsidR="00852A2E" w:rsidRPr="00610904">
        <w:rPr>
          <w:b/>
          <w:noProof w:val="0"/>
          <w:szCs w:val="20"/>
          <w:lang w:val="en-US"/>
        </w:rPr>
        <w:t>Protocol of</w:t>
      </w:r>
      <w:r w:rsidR="003E12DE" w:rsidRPr="00610904">
        <w:rPr>
          <w:b/>
          <w:noProof w:val="0"/>
          <w:szCs w:val="20"/>
          <w:lang w:val="en-US"/>
        </w:rPr>
        <w:t xml:space="preserve"> San Salvador</w:t>
      </w:r>
    </w:p>
    <w:p w:rsidR="003E12DE" w:rsidRPr="00610904" w:rsidRDefault="003E12DE" w:rsidP="00610904">
      <w:pPr>
        <w:pStyle w:val="ListParagraph"/>
        <w:tabs>
          <w:tab w:val="left" w:pos="426"/>
          <w:tab w:val="left" w:pos="709"/>
        </w:tabs>
        <w:rPr>
          <w:b/>
          <w:noProof w:val="0"/>
          <w:szCs w:val="20"/>
          <w:lang w:val="en-US"/>
        </w:rPr>
      </w:pPr>
    </w:p>
    <w:p w:rsidR="003E12DE" w:rsidRPr="00610904" w:rsidRDefault="00FF6802"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As indicated</w:t>
      </w:r>
      <w:r w:rsidR="006350EB" w:rsidRPr="00610904">
        <w:rPr>
          <w:noProof w:val="0"/>
          <w:szCs w:val="20"/>
          <w:lang w:val="en-US"/>
        </w:rPr>
        <w:t xml:space="preserve"> previously, </w:t>
      </w:r>
      <w:r w:rsidR="009F3D78" w:rsidRPr="00610904">
        <w:rPr>
          <w:noProof w:val="0"/>
          <w:szCs w:val="20"/>
          <w:lang w:val="en-US"/>
        </w:rPr>
        <w:t>the Inter-American Court</w:t>
      </w:r>
      <w:r w:rsidRPr="00610904">
        <w:rPr>
          <w:noProof w:val="0"/>
          <w:szCs w:val="20"/>
          <w:lang w:val="en-US"/>
        </w:rPr>
        <w:t>’s competence</w:t>
      </w:r>
      <w:r w:rsidR="003E12DE" w:rsidRPr="00610904">
        <w:rPr>
          <w:noProof w:val="0"/>
          <w:szCs w:val="20"/>
          <w:lang w:val="en-US"/>
        </w:rPr>
        <w:t xml:space="preserve"> </w:t>
      </w:r>
      <w:r w:rsidRPr="00610904">
        <w:rPr>
          <w:noProof w:val="0"/>
          <w:szCs w:val="20"/>
          <w:lang w:val="en-US"/>
        </w:rPr>
        <w:t xml:space="preserve">with regard to </w:t>
      </w:r>
      <w:r w:rsidR="002310E6" w:rsidRPr="00610904">
        <w:rPr>
          <w:noProof w:val="0"/>
          <w:szCs w:val="20"/>
          <w:lang w:val="en-US"/>
        </w:rPr>
        <w:t>ESCR</w:t>
      </w:r>
      <w:r w:rsidRPr="00610904">
        <w:rPr>
          <w:noProof w:val="0"/>
          <w:szCs w:val="20"/>
          <w:lang w:val="en-US"/>
        </w:rPr>
        <w:t xml:space="preserve"> cannot be discussed</w:t>
      </w:r>
      <w:r w:rsidR="003E12DE" w:rsidRPr="00610904">
        <w:rPr>
          <w:noProof w:val="0"/>
          <w:szCs w:val="20"/>
          <w:lang w:val="en-US"/>
        </w:rPr>
        <w:t xml:space="preserve"> </w:t>
      </w:r>
      <w:r w:rsidR="006350EB" w:rsidRPr="00610904">
        <w:rPr>
          <w:noProof w:val="0"/>
          <w:szCs w:val="20"/>
          <w:lang w:val="en-US"/>
        </w:rPr>
        <w:t>without taking into account the</w:t>
      </w:r>
      <w:r w:rsidR="003E12DE" w:rsidRPr="00610904">
        <w:rPr>
          <w:noProof w:val="0"/>
          <w:szCs w:val="20"/>
          <w:lang w:val="en-US"/>
        </w:rPr>
        <w:t xml:space="preserve"> </w:t>
      </w:r>
      <w:r w:rsidR="00852A2E" w:rsidRPr="00610904">
        <w:rPr>
          <w:noProof w:val="0"/>
          <w:szCs w:val="20"/>
          <w:lang w:val="en-US"/>
        </w:rPr>
        <w:t>Protocol of</w:t>
      </w:r>
      <w:r w:rsidR="003E12DE" w:rsidRPr="00610904">
        <w:rPr>
          <w:noProof w:val="0"/>
          <w:szCs w:val="20"/>
          <w:lang w:val="en-US"/>
        </w:rPr>
        <w:t xml:space="preserve"> San Salvador. </w:t>
      </w:r>
      <w:r w:rsidR="006350EB" w:rsidRPr="00610904">
        <w:rPr>
          <w:noProof w:val="0"/>
          <w:szCs w:val="20"/>
          <w:lang w:val="en-US"/>
        </w:rPr>
        <w:t xml:space="preserve">In this regard, during the eighteenth </w:t>
      </w:r>
      <w:r w:rsidRPr="00610904">
        <w:rPr>
          <w:noProof w:val="0"/>
          <w:szCs w:val="20"/>
          <w:lang w:val="en-US"/>
        </w:rPr>
        <w:t xml:space="preserve">OAS </w:t>
      </w:r>
      <w:r w:rsidR="006350EB" w:rsidRPr="00610904">
        <w:rPr>
          <w:noProof w:val="0"/>
          <w:szCs w:val="20"/>
          <w:lang w:val="en-US"/>
        </w:rPr>
        <w:t xml:space="preserve">General Assembly, held in 1988, the Additional Protocol to the American Convention on Human Rights in the area of Economic, Social and Cultural Rights (Protocol of San Salvador) was opened to signature. The text of the Protocol was based on a working draft prepared by </w:t>
      </w:r>
      <w:r w:rsidR="002F5BBA" w:rsidRPr="00610904">
        <w:rPr>
          <w:noProof w:val="0"/>
          <w:szCs w:val="20"/>
          <w:lang w:val="en-US"/>
        </w:rPr>
        <w:t>the Inter-American Commission</w:t>
      </w:r>
      <w:r w:rsidR="003E12DE" w:rsidRPr="00610904">
        <w:rPr>
          <w:rStyle w:val="FootnoteReference"/>
          <w:noProof w:val="0"/>
          <w:lang w:val="en-US"/>
        </w:rPr>
        <w:footnoteReference w:id="445"/>
      </w:r>
      <w:r w:rsidR="009F3D78" w:rsidRPr="00610904">
        <w:rPr>
          <w:noProof w:val="0"/>
          <w:szCs w:val="20"/>
          <w:lang w:val="en-US"/>
        </w:rPr>
        <w:t xml:space="preserve"> </w:t>
      </w:r>
      <w:r w:rsidRPr="00610904">
        <w:rPr>
          <w:noProof w:val="0"/>
          <w:szCs w:val="20"/>
          <w:lang w:val="en-US"/>
        </w:rPr>
        <w:t>and it</w:t>
      </w:r>
      <w:r w:rsidR="006350EB" w:rsidRPr="00610904">
        <w:rPr>
          <w:noProof w:val="0"/>
          <w:szCs w:val="20"/>
          <w:lang w:val="en-US"/>
        </w:rPr>
        <w:t xml:space="preserve"> was adopted on November 17,</w:t>
      </w:r>
      <w:r w:rsidR="003E12DE" w:rsidRPr="00610904">
        <w:rPr>
          <w:noProof w:val="0"/>
          <w:szCs w:val="20"/>
          <w:lang w:val="en-US"/>
        </w:rPr>
        <w:t xml:space="preserve"> 1988. </w:t>
      </w:r>
      <w:r w:rsidR="006350EB" w:rsidRPr="00610904">
        <w:rPr>
          <w:noProof w:val="0"/>
          <w:szCs w:val="20"/>
          <w:lang w:val="en-US"/>
        </w:rPr>
        <w:t xml:space="preserve">The Protocol entered into force on </w:t>
      </w:r>
      <w:r w:rsidR="005C27CD" w:rsidRPr="00610904">
        <w:rPr>
          <w:noProof w:val="0"/>
          <w:szCs w:val="20"/>
          <w:lang w:val="en-US"/>
        </w:rPr>
        <w:t>November 16,</w:t>
      </w:r>
      <w:r w:rsidR="003E12DE" w:rsidRPr="00610904">
        <w:rPr>
          <w:noProof w:val="0"/>
          <w:szCs w:val="20"/>
          <w:lang w:val="en-US"/>
        </w:rPr>
        <w:t xml:space="preserve"> 1999</w:t>
      </w:r>
      <w:r w:rsidR="006350EB" w:rsidRPr="00610904">
        <w:rPr>
          <w:noProof w:val="0"/>
          <w:szCs w:val="20"/>
          <w:lang w:val="en-US"/>
        </w:rPr>
        <w:t>, after it had been ratified by 11 States and, at the present time, 16 States have ratified it.</w:t>
      </w:r>
      <w:r w:rsidR="003E12DE" w:rsidRPr="00610904">
        <w:rPr>
          <w:rStyle w:val="FootnoteReference"/>
          <w:noProof w:val="0"/>
          <w:lang w:val="en-US"/>
        </w:rPr>
        <w:footnoteReference w:id="446"/>
      </w:r>
    </w:p>
    <w:p w:rsidR="003E12DE" w:rsidRPr="00610904" w:rsidRDefault="003E12DE" w:rsidP="00610904">
      <w:pPr>
        <w:pStyle w:val="ListParagraph"/>
        <w:tabs>
          <w:tab w:val="left" w:pos="709"/>
        </w:tabs>
        <w:ind w:left="0"/>
        <w:rPr>
          <w:noProof w:val="0"/>
          <w:szCs w:val="20"/>
          <w:lang w:val="en-US"/>
        </w:rPr>
      </w:pPr>
    </w:p>
    <w:p w:rsidR="003E12DE" w:rsidRPr="00610904" w:rsidRDefault="006350EB"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With regard to the nature of protocols, it should be recalled that, under public international law, they are independent agreements, but they are subsidiary to a treaty, that add to, clarify, amend</w:t>
      </w:r>
      <w:r w:rsidR="00FF6802" w:rsidRPr="00610904">
        <w:rPr>
          <w:noProof w:val="0"/>
          <w:szCs w:val="20"/>
          <w:lang w:val="en-US"/>
        </w:rPr>
        <w:t>, or</w:t>
      </w:r>
      <w:r w:rsidRPr="00610904">
        <w:rPr>
          <w:noProof w:val="0"/>
          <w:szCs w:val="20"/>
          <w:lang w:val="en-US"/>
        </w:rPr>
        <w:t xml:space="preserve"> supplement the procedural or substantial content of that treaty. The existence of a protocol is directly </w:t>
      </w:r>
      <w:r w:rsidR="00FF6802" w:rsidRPr="00610904">
        <w:rPr>
          <w:noProof w:val="0"/>
          <w:szCs w:val="20"/>
          <w:lang w:val="en-US"/>
        </w:rPr>
        <w:t>related to the existence of a</w:t>
      </w:r>
      <w:r w:rsidRPr="00610904">
        <w:rPr>
          <w:noProof w:val="0"/>
          <w:szCs w:val="20"/>
          <w:lang w:val="en-US"/>
        </w:rPr>
        <w:t xml:space="preserve"> treaty; in other words, without a framework treaty, there is no protocol.</w:t>
      </w:r>
      <w:r w:rsidR="003E12DE" w:rsidRPr="00610904">
        <w:rPr>
          <w:rStyle w:val="FootnoteReference"/>
          <w:noProof w:val="0"/>
          <w:lang w:val="en-US"/>
        </w:rPr>
        <w:footnoteReference w:id="447"/>
      </w:r>
      <w:r w:rsidR="003E12DE" w:rsidRPr="00610904">
        <w:rPr>
          <w:noProof w:val="0"/>
          <w:szCs w:val="20"/>
          <w:lang w:val="en-US"/>
        </w:rPr>
        <w:t xml:space="preserve"> </w:t>
      </w:r>
    </w:p>
    <w:p w:rsidR="003E12DE" w:rsidRPr="00610904" w:rsidRDefault="003E12DE" w:rsidP="00610904">
      <w:pPr>
        <w:pStyle w:val="ListParagraph"/>
        <w:tabs>
          <w:tab w:val="left" w:pos="709"/>
        </w:tabs>
        <w:rPr>
          <w:noProof w:val="0"/>
          <w:szCs w:val="20"/>
          <w:lang w:val="en-US"/>
        </w:rPr>
      </w:pPr>
    </w:p>
    <w:p w:rsidR="003E12DE" w:rsidRPr="00610904" w:rsidRDefault="006350EB"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lastRenderedPageBreak/>
        <w:t xml:space="preserve">The relevance </w:t>
      </w:r>
      <w:r w:rsidR="0013395A" w:rsidRPr="00610904">
        <w:rPr>
          <w:noProof w:val="0"/>
          <w:szCs w:val="20"/>
          <w:lang w:val="en-US"/>
        </w:rPr>
        <w:t>of the Protocol</w:t>
      </w:r>
      <w:r w:rsidR="003E12DE" w:rsidRPr="00610904">
        <w:rPr>
          <w:noProof w:val="0"/>
          <w:szCs w:val="20"/>
          <w:lang w:val="en-US"/>
        </w:rPr>
        <w:t xml:space="preserve"> </w:t>
      </w:r>
      <w:r w:rsidR="00FF6802" w:rsidRPr="00610904">
        <w:rPr>
          <w:noProof w:val="0"/>
          <w:szCs w:val="20"/>
          <w:lang w:val="en-US"/>
        </w:rPr>
        <w:t>stems from the fact that it is on the basis of this agreement</w:t>
      </w:r>
      <w:r w:rsidRPr="00610904">
        <w:rPr>
          <w:noProof w:val="0"/>
          <w:szCs w:val="20"/>
          <w:lang w:val="en-US"/>
        </w:rPr>
        <w:t xml:space="preserve"> that the States of the region took the decision to define</w:t>
      </w:r>
      <w:r w:rsidR="003E12DE" w:rsidRPr="00610904">
        <w:rPr>
          <w:noProof w:val="0"/>
          <w:szCs w:val="20"/>
          <w:lang w:val="en-US"/>
        </w:rPr>
        <w:t xml:space="preserve"> </w:t>
      </w:r>
      <w:r w:rsidR="002310E6" w:rsidRPr="00610904">
        <w:rPr>
          <w:noProof w:val="0"/>
          <w:szCs w:val="20"/>
          <w:lang w:val="en-US"/>
        </w:rPr>
        <w:t>the ESCR</w:t>
      </w:r>
      <w:r w:rsidRPr="00610904">
        <w:rPr>
          <w:noProof w:val="0"/>
          <w:szCs w:val="20"/>
          <w:lang w:val="en-US"/>
        </w:rPr>
        <w:t xml:space="preserve"> </w:t>
      </w:r>
      <w:r w:rsidR="00FF6802" w:rsidRPr="00610904">
        <w:rPr>
          <w:noProof w:val="0"/>
          <w:szCs w:val="20"/>
          <w:lang w:val="en-US"/>
        </w:rPr>
        <w:t>with which they are obliged to comply</w:t>
      </w:r>
      <w:r w:rsidRPr="00610904">
        <w:rPr>
          <w:noProof w:val="0"/>
          <w:szCs w:val="20"/>
          <w:lang w:val="en-US"/>
        </w:rPr>
        <w:t xml:space="preserve">. </w:t>
      </w:r>
      <w:r w:rsidR="00FF6802" w:rsidRPr="00610904">
        <w:rPr>
          <w:noProof w:val="0"/>
          <w:szCs w:val="20"/>
          <w:lang w:val="en-US"/>
        </w:rPr>
        <w:t xml:space="preserve">They also established </w:t>
      </w:r>
      <w:r w:rsidRPr="00610904">
        <w:rPr>
          <w:noProof w:val="0"/>
          <w:szCs w:val="20"/>
          <w:lang w:val="en-US"/>
        </w:rPr>
        <w:t>the content of those rights</w:t>
      </w:r>
      <w:r w:rsidR="00FF6802" w:rsidRPr="00610904">
        <w:rPr>
          <w:noProof w:val="0"/>
          <w:szCs w:val="20"/>
          <w:lang w:val="en-US"/>
        </w:rPr>
        <w:t xml:space="preserve"> clearly and precisely</w:t>
      </w:r>
      <w:r w:rsidR="003E12DE" w:rsidRPr="00610904">
        <w:rPr>
          <w:noProof w:val="0"/>
          <w:szCs w:val="20"/>
          <w:lang w:val="en-US"/>
        </w:rPr>
        <w:t>.</w:t>
      </w:r>
      <w:r w:rsidRPr="00610904">
        <w:rPr>
          <w:noProof w:val="0"/>
          <w:szCs w:val="20"/>
          <w:lang w:val="en-US"/>
        </w:rPr>
        <w:t xml:space="preserve"> For example, </w:t>
      </w:r>
      <w:r w:rsidR="009F3D78" w:rsidRPr="00610904">
        <w:rPr>
          <w:noProof w:val="0"/>
          <w:szCs w:val="20"/>
          <w:lang w:val="en-US"/>
        </w:rPr>
        <w:t>Article</w:t>
      </w:r>
      <w:r w:rsidR="003E12DE" w:rsidRPr="00610904">
        <w:rPr>
          <w:noProof w:val="0"/>
          <w:szCs w:val="20"/>
          <w:lang w:val="en-US"/>
        </w:rPr>
        <w:t xml:space="preserve"> 10 </w:t>
      </w:r>
      <w:r w:rsidR="0013395A" w:rsidRPr="00610904">
        <w:rPr>
          <w:noProof w:val="0"/>
          <w:szCs w:val="20"/>
          <w:lang w:val="en-US"/>
        </w:rPr>
        <w:t>of the Protocol</w:t>
      </w:r>
      <w:r w:rsidR="003E12DE" w:rsidRPr="00610904">
        <w:rPr>
          <w:noProof w:val="0"/>
          <w:szCs w:val="20"/>
          <w:lang w:val="en-US"/>
        </w:rPr>
        <w:t xml:space="preserve"> </w:t>
      </w:r>
      <w:r w:rsidRPr="00610904">
        <w:rPr>
          <w:noProof w:val="0"/>
          <w:szCs w:val="20"/>
          <w:lang w:val="en-US"/>
        </w:rPr>
        <w:t>establishes the right to health as follows:</w:t>
      </w:r>
    </w:p>
    <w:p w:rsidR="003E12DE" w:rsidRPr="00610904" w:rsidRDefault="003E12DE" w:rsidP="00610904">
      <w:pPr>
        <w:pStyle w:val="ListParagraph"/>
        <w:tabs>
          <w:tab w:val="left" w:pos="709"/>
        </w:tabs>
        <w:rPr>
          <w:noProof w:val="0"/>
          <w:szCs w:val="20"/>
          <w:lang w:val="en-US"/>
        </w:rPr>
      </w:pPr>
    </w:p>
    <w:p w:rsidR="003E12DE" w:rsidRPr="00610904" w:rsidRDefault="00A8072E" w:rsidP="00610904">
      <w:pPr>
        <w:shd w:val="clear" w:color="auto" w:fill="FFFFFF"/>
        <w:tabs>
          <w:tab w:val="left" w:pos="709"/>
        </w:tabs>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Article</w:t>
      </w:r>
      <w:r w:rsidR="003E12DE" w:rsidRPr="00610904">
        <w:rPr>
          <w:rFonts w:eastAsia="Times New Roman" w:cs="Tahoma"/>
          <w:b/>
          <w:bCs/>
          <w:noProof w:val="0"/>
          <w:color w:val="000000"/>
          <w:sz w:val="16"/>
          <w:szCs w:val="16"/>
          <w:lang w:val="en-US" w:eastAsia="es-CR"/>
        </w:rPr>
        <w:t xml:space="preserve"> 10</w:t>
      </w:r>
    </w:p>
    <w:p w:rsidR="003E12DE" w:rsidRPr="00610904" w:rsidRDefault="00145A59" w:rsidP="00610904">
      <w:pPr>
        <w:shd w:val="clear" w:color="auto" w:fill="FFFFFF"/>
        <w:tabs>
          <w:tab w:val="left" w:pos="709"/>
        </w:tabs>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Right to Health</w:t>
      </w:r>
    </w:p>
    <w:p w:rsidR="003E12DE" w:rsidRPr="00610904" w:rsidRDefault="003E12DE" w:rsidP="00610904">
      <w:pPr>
        <w:shd w:val="clear" w:color="auto" w:fill="FFFFFF"/>
        <w:tabs>
          <w:tab w:val="left" w:pos="709"/>
        </w:tabs>
        <w:ind w:left="426" w:right="333"/>
        <w:rPr>
          <w:rFonts w:eastAsia="Times New Roman" w:cs="Tahoma"/>
          <w:noProof w:val="0"/>
          <w:color w:val="000000"/>
          <w:sz w:val="16"/>
          <w:szCs w:val="16"/>
          <w:lang w:val="en-US" w:eastAsia="es-CR"/>
        </w:rPr>
      </w:pPr>
    </w:p>
    <w:p w:rsidR="00145A59" w:rsidRPr="00610904" w:rsidRDefault="00145A59" w:rsidP="00610904">
      <w:pPr>
        <w:spacing w:after="60"/>
        <w:ind w:left="450" w:right="288"/>
        <w:rPr>
          <w:rFonts w:cs="Arial"/>
          <w:bCs/>
          <w:noProof w:val="0"/>
          <w:sz w:val="16"/>
          <w:szCs w:val="16"/>
          <w:lang w:val="en-US"/>
        </w:rPr>
      </w:pPr>
      <w:r w:rsidRPr="00610904">
        <w:rPr>
          <w:rFonts w:cs="Tahoma"/>
          <w:bCs/>
          <w:noProof w:val="0"/>
          <w:sz w:val="16"/>
          <w:szCs w:val="16"/>
          <w:lang w:val="en-US"/>
        </w:rPr>
        <w:t>1. Everyone shall have the right to health, understood to mean the enjoyment of the highest level of physical, mental and social well-being.</w:t>
      </w:r>
    </w:p>
    <w:p w:rsidR="00145A59" w:rsidRPr="00610904" w:rsidRDefault="00145A59" w:rsidP="00610904">
      <w:pPr>
        <w:spacing w:after="60"/>
        <w:ind w:left="450" w:right="288"/>
        <w:rPr>
          <w:rFonts w:cs="Arial"/>
          <w:bCs/>
          <w:noProof w:val="0"/>
          <w:sz w:val="16"/>
          <w:szCs w:val="16"/>
          <w:lang w:val="en-US"/>
        </w:rPr>
      </w:pPr>
      <w:r w:rsidRPr="00610904">
        <w:rPr>
          <w:rFonts w:cs="Tahoma"/>
          <w:bCs/>
          <w:noProof w:val="0"/>
          <w:sz w:val="16"/>
          <w:szCs w:val="16"/>
          <w:lang w:val="en-US"/>
        </w:rPr>
        <w:t>2. In order to ensure the exercise of the right to health, the States Parties agree to recognize health as a public good and, particularly, to adopt the following measures to ensure that right:</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a. Primary health care, that is, essential health care made available to all individuals and families in the community;</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b. Extension of the benefits of health services to all individuals subject to the State's jurisdiction;</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c. Universal immunization against the principal infectious diseases;</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d. Prevention and treatment of endemic, occupational and other diseases;</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e. Education of the population on the prevention and treatment of health problems, and</w:t>
      </w:r>
    </w:p>
    <w:p w:rsidR="00145A59" w:rsidRPr="00610904" w:rsidRDefault="00145A59" w:rsidP="00610904">
      <w:pPr>
        <w:ind w:left="630" w:right="288"/>
        <w:rPr>
          <w:rFonts w:cs="Arial"/>
          <w:bCs/>
          <w:noProof w:val="0"/>
          <w:sz w:val="16"/>
          <w:szCs w:val="16"/>
          <w:lang w:val="en-US"/>
        </w:rPr>
      </w:pPr>
      <w:r w:rsidRPr="00610904">
        <w:rPr>
          <w:rFonts w:cs="Tahoma"/>
          <w:bCs/>
          <w:noProof w:val="0"/>
          <w:sz w:val="16"/>
          <w:szCs w:val="16"/>
          <w:lang w:val="en-US"/>
        </w:rPr>
        <w:t>f. Satisfaction of the health needs of the highest risk groups and of those whose poverty makes them the most vulnerable.</w:t>
      </w:r>
    </w:p>
    <w:p w:rsidR="003E12DE" w:rsidRPr="00610904" w:rsidRDefault="003E12DE" w:rsidP="00610904">
      <w:pPr>
        <w:pStyle w:val="ListParagraph"/>
        <w:tabs>
          <w:tab w:val="left" w:pos="426"/>
          <w:tab w:val="left" w:pos="709"/>
        </w:tabs>
        <w:ind w:left="450"/>
        <w:rPr>
          <w:noProof w:val="0"/>
          <w:szCs w:val="20"/>
          <w:lang w:val="en-US"/>
        </w:rPr>
      </w:pPr>
    </w:p>
    <w:p w:rsidR="003E12DE" w:rsidRPr="00610904" w:rsidRDefault="006808E4"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However, the States took the sovereign decision to restrict which of the economic, social and cultural rights established in the Protocol</w:t>
      </w:r>
      <w:r w:rsidR="003E12DE" w:rsidRPr="00610904">
        <w:rPr>
          <w:noProof w:val="0"/>
          <w:szCs w:val="20"/>
          <w:lang w:val="en-US"/>
        </w:rPr>
        <w:t xml:space="preserve"> </w:t>
      </w:r>
      <w:r w:rsidRPr="00610904">
        <w:rPr>
          <w:noProof w:val="0"/>
          <w:szCs w:val="20"/>
          <w:lang w:val="en-US"/>
        </w:rPr>
        <w:t xml:space="preserve">could be monitored by the </w:t>
      </w:r>
      <w:r w:rsidR="00FF6802" w:rsidRPr="00610904">
        <w:rPr>
          <w:noProof w:val="0"/>
          <w:szCs w:val="20"/>
          <w:lang w:val="en-US"/>
        </w:rPr>
        <w:t>individual petition mechanism</w:t>
      </w:r>
      <w:r w:rsidRPr="00610904">
        <w:rPr>
          <w:noProof w:val="0"/>
          <w:szCs w:val="20"/>
          <w:lang w:val="en-US"/>
        </w:rPr>
        <w:t xml:space="preserve"> when establishing in </w:t>
      </w:r>
      <w:r w:rsidR="009F3D78" w:rsidRPr="00610904">
        <w:rPr>
          <w:noProof w:val="0"/>
          <w:szCs w:val="20"/>
          <w:lang w:val="en-US"/>
        </w:rPr>
        <w:t>Article</w:t>
      </w:r>
      <w:r w:rsidR="00145A59" w:rsidRPr="00610904">
        <w:rPr>
          <w:noProof w:val="0"/>
          <w:szCs w:val="20"/>
          <w:lang w:val="en-US"/>
        </w:rPr>
        <w:t xml:space="preserve"> 19(</w:t>
      </w:r>
      <w:r w:rsidR="003E12DE" w:rsidRPr="00610904">
        <w:rPr>
          <w:noProof w:val="0"/>
          <w:szCs w:val="20"/>
          <w:lang w:val="en-US"/>
        </w:rPr>
        <w:t>6</w:t>
      </w:r>
      <w:r w:rsidR="00145A59" w:rsidRPr="00610904">
        <w:rPr>
          <w:noProof w:val="0"/>
          <w:szCs w:val="20"/>
          <w:lang w:val="en-US"/>
        </w:rPr>
        <w:t>)</w:t>
      </w:r>
      <w:r w:rsidRPr="00610904">
        <w:rPr>
          <w:noProof w:val="0"/>
          <w:szCs w:val="20"/>
          <w:lang w:val="en-US"/>
        </w:rPr>
        <w:t xml:space="preserve"> that</w:t>
      </w:r>
      <w:r w:rsidR="003E12DE" w:rsidRPr="00610904">
        <w:rPr>
          <w:noProof w:val="0"/>
          <w:szCs w:val="20"/>
          <w:lang w:val="en-US"/>
        </w:rPr>
        <w:t>:</w:t>
      </w:r>
    </w:p>
    <w:p w:rsidR="00145A59" w:rsidRPr="00610904" w:rsidRDefault="00145A59" w:rsidP="00610904">
      <w:pPr>
        <w:tabs>
          <w:tab w:val="left" w:pos="426"/>
          <w:tab w:val="left" w:pos="709"/>
        </w:tabs>
        <w:ind w:right="333"/>
        <w:rPr>
          <w:rFonts w:cs="Tahoma"/>
          <w:noProof w:val="0"/>
          <w:color w:val="000000"/>
          <w:sz w:val="16"/>
          <w:szCs w:val="16"/>
          <w:shd w:val="clear" w:color="auto" w:fill="FFFFFF"/>
          <w:lang w:val="en-US"/>
        </w:rPr>
      </w:pPr>
    </w:p>
    <w:p w:rsidR="003E12DE" w:rsidRPr="00610904" w:rsidRDefault="00145A59" w:rsidP="00610904">
      <w:pPr>
        <w:tabs>
          <w:tab w:val="left" w:pos="426"/>
        </w:tabs>
        <w:ind w:left="450" w:right="288"/>
        <w:rPr>
          <w:noProof w:val="0"/>
          <w:sz w:val="16"/>
          <w:szCs w:val="16"/>
          <w:lang w:val="en-US"/>
        </w:rPr>
      </w:pPr>
      <w:r w:rsidRPr="00610904">
        <w:rPr>
          <w:rFonts w:cs="Tahoma"/>
          <w:bCs/>
          <w:noProof w:val="0"/>
          <w:sz w:val="16"/>
          <w:szCs w:val="16"/>
          <w:u w:val="single"/>
          <w:lang w:val="en-US"/>
        </w:rPr>
        <w:t xml:space="preserve">Any instance in which the rights established in paragraph </w:t>
      </w:r>
      <w:r w:rsidR="00FF6802" w:rsidRPr="00610904">
        <w:rPr>
          <w:rFonts w:cs="Tahoma"/>
          <w:bCs/>
          <w:noProof w:val="0"/>
          <w:sz w:val="16"/>
          <w:szCs w:val="16"/>
          <w:u w:val="single"/>
          <w:lang w:val="en-US"/>
        </w:rPr>
        <w:t>(</w:t>
      </w:r>
      <w:r w:rsidRPr="00610904">
        <w:rPr>
          <w:rFonts w:cs="Tahoma"/>
          <w:bCs/>
          <w:noProof w:val="0"/>
          <w:sz w:val="16"/>
          <w:szCs w:val="16"/>
          <w:u w:val="single"/>
          <w:lang w:val="en-US"/>
        </w:rPr>
        <w:t>a) of Article 8 and in Article 13 are violated by action directly attributable to a State</w:t>
      </w:r>
      <w:r w:rsidRPr="00610904">
        <w:rPr>
          <w:rFonts w:cs="Tahoma"/>
          <w:bCs/>
          <w:noProof w:val="0"/>
          <w:sz w:val="16"/>
          <w:szCs w:val="16"/>
          <w:lang w:val="en-US"/>
        </w:rPr>
        <w:t xml:space="preserve"> Party to this Protocol </w:t>
      </w:r>
      <w:r w:rsidRPr="00610904">
        <w:rPr>
          <w:rFonts w:cs="Tahoma"/>
          <w:bCs/>
          <w:noProof w:val="0"/>
          <w:sz w:val="16"/>
          <w:szCs w:val="16"/>
          <w:u w:val="single"/>
          <w:lang w:val="en-US"/>
        </w:rPr>
        <w:t>may give rise</w:t>
      </w:r>
      <w:r w:rsidRPr="00610904">
        <w:rPr>
          <w:rFonts w:cs="Tahoma"/>
          <w:bCs/>
          <w:noProof w:val="0"/>
          <w:sz w:val="16"/>
          <w:szCs w:val="16"/>
          <w:lang w:val="en-US"/>
        </w:rPr>
        <w:t xml:space="preserve">, through participation of the Inter-American Commission on Human Rights and, when applicable, of the Inter-American Court of Human Rights, </w:t>
      </w:r>
      <w:r w:rsidRPr="00610904">
        <w:rPr>
          <w:rFonts w:cs="Tahoma"/>
          <w:bCs/>
          <w:i/>
          <w:noProof w:val="0"/>
          <w:sz w:val="16"/>
          <w:szCs w:val="16"/>
          <w:lang w:val="en-US"/>
        </w:rPr>
        <w:t>to application of the system of individual petitions</w:t>
      </w:r>
      <w:r w:rsidRPr="00610904">
        <w:rPr>
          <w:rFonts w:cs="Tahoma"/>
          <w:bCs/>
          <w:noProof w:val="0"/>
          <w:sz w:val="16"/>
          <w:szCs w:val="16"/>
          <w:lang w:val="en-US"/>
        </w:rPr>
        <w:t xml:space="preserve"> governed by Article 44 through 51 and 61 through 69 of the American Convention on Human Rights</w:t>
      </w:r>
      <w:r w:rsidR="003E12DE" w:rsidRPr="00610904">
        <w:rPr>
          <w:rFonts w:cs="Tahoma"/>
          <w:noProof w:val="0"/>
          <w:color w:val="000000"/>
          <w:sz w:val="16"/>
          <w:szCs w:val="16"/>
          <w:shd w:val="clear" w:color="auto" w:fill="FFFFFF"/>
          <w:lang w:val="en-US"/>
        </w:rPr>
        <w:t xml:space="preserve"> (</w:t>
      </w:r>
      <w:r w:rsidRPr="00610904">
        <w:rPr>
          <w:rFonts w:cs="Tahoma"/>
          <w:noProof w:val="0"/>
          <w:color w:val="000000"/>
          <w:sz w:val="16"/>
          <w:szCs w:val="16"/>
          <w:shd w:val="clear" w:color="auto" w:fill="FFFFFF"/>
          <w:lang w:val="en-US"/>
        </w:rPr>
        <w:t>underlining added</w:t>
      </w:r>
      <w:r w:rsidR="003E12DE" w:rsidRPr="00610904">
        <w:rPr>
          <w:rFonts w:cs="Tahoma"/>
          <w:noProof w:val="0"/>
          <w:color w:val="000000"/>
          <w:sz w:val="16"/>
          <w:szCs w:val="16"/>
          <w:shd w:val="clear" w:color="auto" w:fill="FFFFFF"/>
          <w:lang w:val="en-US"/>
        </w:rPr>
        <w:t>)</w:t>
      </w:r>
      <w:r w:rsidRPr="00610904">
        <w:rPr>
          <w:rFonts w:cs="Tahoma"/>
          <w:noProof w:val="0"/>
          <w:color w:val="000000"/>
          <w:sz w:val="16"/>
          <w:szCs w:val="16"/>
          <w:shd w:val="clear" w:color="auto" w:fill="FFFFFF"/>
          <w:lang w:val="en-US"/>
        </w:rPr>
        <w: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746B4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Thus, by this pr</w:t>
      </w:r>
      <w:r w:rsidR="00C340A4" w:rsidRPr="00610904">
        <w:rPr>
          <w:noProof w:val="0"/>
          <w:szCs w:val="20"/>
          <w:lang w:val="en-US"/>
        </w:rPr>
        <w:t>ovision, the States decided to limit</w:t>
      </w:r>
      <w:r w:rsidRPr="00610904">
        <w:rPr>
          <w:noProof w:val="0"/>
          <w:szCs w:val="20"/>
          <w:lang w:val="en-US"/>
        </w:rPr>
        <w:t xml:space="preserve"> the competence of </w:t>
      </w:r>
      <w:r w:rsidR="003309BE" w:rsidRPr="00610904">
        <w:rPr>
          <w:noProof w:val="0"/>
          <w:szCs w:val="20"/>
          <w:lang w:val="en-US"/>
        </w:rPr>
        <w:t xml:space="preserve">the </w:t>
      </w:r>
      <w:r w:rsidR="002F5BBA" w:rsidRPr="00610904">
        <w:rPr>
          <w:noProof w:val="0"/>
          <w:szCs w:val="20"/>
          <w:lang w:val="en-US"/>
        </w:rPr>
        <w:t>Commission</w:t>
      </w:r>
      <w:r w:rsidR="009F3D78" w:rsidRPr="00610904">
        <w:rPr>
          <w:noProof w:val="0"/>
          <w:szCs w:val="20"/>
          <w:lang w:val="en-US"/>
        </w:rPr>
        <w:t xml:space="preserve"> and of the Court</w:t>
      </w:r>
      <w:r w:rsidR="003E12DE" w:rsidRPr="00610904">
        <w:rPr>
          <w:noProof w:val="0"/>
          <w:szCs w:val="20"/>
          <w:lang w:val="en-US"/>
        </w:rPr>
        <w:t xml:space="preserve"> </w:t>
      </w:r>
      <w:r w:rsidRPr="00610904">
        <w:rPr>
          <w:noProof w:val="0"/>
          <w:szCs w:val="20"/>
          <w:lang w:val="en-US"/>
        </w:rPr>
        <w:t xml:space="preserve">to hear contentious cases that were not related to trade union rights or the right to education. Indeed, in this case, the Court, exercising the competence granted by this article, declared the violation of the right to education established in </w:t>
      </w:r>
      <w:r w:rsidR="009F3D78" w:rsidRPr="00610904">
        <w:rPr>
          <w:noProof w:val="0"/>
          <w:szCs w:val="20"/>
          <w:lang w:val="en-US"/>
        </w:rPr>
        <w:t>Article</w:t>
      </w:r>
      <w:r w:rsidR="003E12DE" w:rsidRPr="00610904">
        <w:rPr>
          <w:noProof w:val="0"/>
          <w:szCs w:val="20"/>
          <w:lang w:val="en-US"/>
        </w:rPr>
        <w:t xml:space="preserve"> 13 </w:t>
      </w:r>
      <w:r w:rsidR="00882CCC" w:rsidRPr="00610904">
        <w:rPr>
          <w:noProof w:val="0"/>
          <w:szCs w:val="20"/>
          <w:lang w:val="en-US"/>
        </w:rPr>
        <w:t>of the Protocol</w:t>
      </w:r>
      <w:r w:rsidR="00852A2E" w:rsidRPr="00610904">
        <w:rPr>
          <w:noProof w:val="0"/>
          <w:szCs w:val="20"/>
          <w:lang w:val="en-US"/>
        </w:rPr>
        <w:t xml:space="preserve"> of</w:t>
      </w:r>
      <w:r w:rsidR="003E12DE" w:rsidRPr="00610904">
        <w:rPr>
          <w:noProof w:val="0"/>
          <w:szCs w:val="20"/>
          <w:lang w:val="en-US"/>
        </w:rPr>
        <w:t xml:space="preserve"> San Salvador</w:t>
      </w:r>
      <w:r w:rsidRPr="00610904">
        <w:rPr>
          <w:noProof w:val="0"/>
          <w:szCs w:val="20"/>
          <w:lang w:val="en-US"/>
        </w:rPr>
        <w:t>.</w:t>
      </w:r>
      <w:r w:rsidR="003E12DE" w:rsidRPr="00610904">
        <w:rPr>
          <w:rStyle w:val="FootnoteReference"/>
          <w:noProof w:val="0"/>
          <w:lang w:val="en-US"/>
        </w:rPr>
        <w:footnoteReference w:id="448"/>
      </w:r>
      <w:r w:rsidR="003E12DE" w:rsidRPr="00610904">
        <w:rPr>
          <w:noProof w:val="0"/>
          <w:szCs w:val="20"/>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746B4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However, this </w:t>
      </w:r>
      <w:r w:rsidR="00C340A4" w:rsidRPr="00610904">
        <w:rPr>
          <w:noProof w:val="0"/>
          <w:szCs w:val="20"/>
          <w:lang w:val="en-US"/>
        </w:rPr>
        <w:t>limitation</w:t>
      </w:r>
      <w:r w:rsidRPr="00610904">
        <w:rPr>
          <w:noProof w:val="0"/>
          <w:szCs w:val="20"/>
          <w:lang w:val="en-US"/>
        </w:rPr>
        <w:t xml:space="preserve"> of competence should not be understood as contradictory to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American Convention</w:t>
      </w:r>
      <w:r w:rsidR="003E12DE" w:rsidRPr="00610904">
        <w:rPr>
          <w:noProof w:val="0"/>
          <w:szCs w:val="20"/>
          <w:lang w:val="en-US"/>
        </w:rPr>
        <w:t xml:space="preserve">, </w:t>
      </w:r>
      <w:r w:rsidR="00FF6802" w:rsidRPr="00610904">
        <w:rPr>
          <w:noProof w:val="0"/>
          <w:szCs w:val="20"/>
          <w:lang w:val="en-US"/>
        </w:rPr>
        <w:t xml:space="preserve">bearing in mind that the said </w:t>
      </w:r>
      <w:r w:rsidRPr="00610904">
        <w:rPr>
          <w:noProof w:val="0"/>
          <w:szCs w:val="20"/>
          <w:lang w:val="en-US"/>
        </w:rPr>
        <w:t>article</w:t>
      </w:r>
      <w:r w:rsidR="00FF6802" w:rsidRPr="00610904">
        <w:rPr>
          <w:noProof w:val="0"/>
          <w:szCs w:val="20"/>
          <w:lang w:val="en-US"/>
        </w:rPr>
        <w:t xml:space="preserve"> (19(6))</w:t>
      </w:r>
      <w:r w:rsidRPr="00610904">
        <w:rPr>
          <w:noProof w:val="0"/>
          <w:szCs w:val="20"/>
          <w:lang w:val="en-US"/>
        </w:rPr>
        <w:t xml:space="preserve"> expresses the subsequent and more specific </w:t>
      </w:r>
      <w:r w:rsidR="00AD76E8" w:rsidRPr="00610904">
        <w:rPr>
          <w:noProof w:val="0"/>
          <w:szCs w:val="20"/>
          <w:lang w:val="en-US"/>
        </w:rPr>
        <w:t xml:space="preserve">intention of the States with regard to the competence </w:t>
      </w:r>
      <w:r w:rsidR="009F3D78" w:rsidRPr="00610904">
        <w:rPr>
          <w:noProof w:val="0"/>
          <w:szCs w:val="20"/>
          <w:lang w:val="en-US"/>
        </w:rPr>
        <w:t>of the Inter-American Court</w:t>
      </w:r>
      <w:r w:rsidR="003E12DE" w:rsidRPr="00610904">
        <w:rPr>
          <w:noProof w:val="0"/>
          <w:szCs w:val="20"/>
          <w:lang w:val="en-US"/>
        </w:rPr>
        <w:t xml:space="preserve"> </w:t>
      </w:r>
      <w:r w:rsidR="00AD76E8" w:rsidRPr="00610904">
        <w:rPr>
          <w:noProof w:val="0"/>
          <w:szCs w:val="20"/>
          <w:lang w:val="en-US"/>
        </w:rPr>
        <w:t>in relation to</w:t>
      </w:r>
      <w:r w:rsidR="003E12DE" w:rsidRPr="00610904">
        <w:rPr>
          <w:noProof w:val="0"/>
          <w:szCs w:val="20"/>
          <w:lang w:val="en-US"/>
        </w:rPr>
        <w:t xml:space="preserve"> </w:t>
      </w:r>
      <w:r w:rsidR="002310E6" w:rsidRPr="00610904">
        <w:rPr>
          <w:noProof w:val="0"/>
          <w:szCs w:val="20"/>
          <w:lang w:val="en-US"/>
        </w:rPr>
        <w:t>ESCR</w:t>
      </w:r>
      <w:r w:rsidR="003E12DE" w:rsidRPr="00610904">
        <w:rPr>
          <w:noProof w:val="0"/>
          <w:szCs w:val="20"/>
          <w:lang w:val="en-US"/>
        </w:rPr>
        <w:t xml:space="preserve">. </w:t>
      </w:r>
      <w:r w:rsidR="00AD76E8" w:rsidRPr="00610904">
        <w:rPr>
          <w:noProof w:val="0"/>
          <w:szCs w:val="20"/>
          <w:lang w:val="en-US"/>
        </w:rPr>
        <w:t xml:space="preserve">Furthermore, </w:t>
      </w:r>
      <w:r w:rsidR="009F3D78" w:rsidRPr="00610904">
        <w:rPr>
          <w:noProof w:val="0"/>
          <w:szCs w:val="20"/>
          <w:lang w:val="en-US"/>
        </w:rPr>
        <w:t>the American Convention</w:t>
      </w:r>
      <w:r w:rsidR="003E12DE" w:rsidRPr="00610904">
        <w:rPr>
          <w:noProof w:val="0"/>
          <w:szCs w:val="20"/>
          <w:lang w:val="en-US"/>
        </w:rPr>
        <w:t xml:space="preserve"> </w:t>
      </w:r>
      <w:r w:rsidR="00FF6802" w:rsidRPr="00610904">
        <w:rPr>
          <w:noProof w:val="0"/>
          <w:szCs w:val="20"/>
          <w:lang w:val="en-US"/>
        </w:rPr>
        <w:t>should not be</w:t>
      </w:r>
      <w:r w:rsidR="00AD76E8" w:rsidRPr="00610904">
        <w:rPr>
          <w:noProof w:val="0"/>
          <w:szCs w:val="20"/>
          <w:lang w:val="en-US"/>
        </w:rPr>
        <w:t xml:space="preserve"> read alone, without taking into account its Protocol, because they are complementary treaties that should be read and interpreted together. Thus the Court may hear contentious </w:t>
      </w:r>
      <w:r w:rsidR="00FF6802" w:rsidRPr="00610904">
        <w:rPr>
          <w:noProof w:val="0"/>
          <w:szCs w:val="20"/>
          <w:lang w:val="en-US"/>
        </w:rPr>
        <w:t>c</w:t>
      </w:r>
      <w:r w:rsidR="00AD76E8" w:rsidRPr="00610904">
        <w:rPr>
          <w:noProof w:val="0"/>
          <w:szCs w:val="20"/>
          <w:lang w:val="en-US"/>
        </w:rPr>
        <w:t xml:space="preserve">ases in which the violation of the obligation of progressive </w:t>
      </w:r>
      <w:r w:rsidR="00B50271" w:rsidRPr="00610904">
        <w:rPr>
          <w:noProof w:val="0"/>
          <w:szCs w:val="20"/>
          <w:lang w:val="en-US"/>
        </w:rPr>
        <w:t xml:space="preserve">realization </w:t>
      </w:r>
      <w:r w:rsidR="00AD76E8" w:rsidRPr="00610904">
        <w:rPr>
          <w:noProof w:val="0"/>
          <w:szCs w:val="20"/>
          <w:lang w:val="en-US"/>
        </w:rPr>
        <w:t xml:space="preserve">of the rights that could be derived from the Charter </w:t>
      </w:r>
      <w:r w:rsidR="00FF6802" w:rsidRPr="00610904">
        <w:rPr>
          <w:noProof w:val="0"/>
          <w:szCs w:val="20"/>
          <w:lang w:val="en-US"/>
        </w:rPr>
        <w:t>is</w:t>
      </w:r>
      <w:r w:rsidR="00AD76E8" w:rsidRPr="00610904">
        <w:rPr>
          <w:noProof w:val="0"/>
          <w:szCs w:val="20"/>
          <w:lang w:val="en-US"/>
        </w:rPr>
        <w:t xml:space="preserve"> argued, based on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w:t>
      </w:r>
      <w:r w:rsidR="00FF6802" w:rsidRPr="00610904">
        <w:rPr>
          <w:noProof w:val="0"/>
          <w:szCs w:val="20"/>
          <w:lang w:val="en-US"/>
        </w:rPr>
        <w:t>and also</w:t>
      </w:r>
      <w:r w:rsidR="00AD76E8" w:rsidRPr="00610904">
        <w:rPr>
          <w:noProof w:val="0"/>
          <w:szCs w:val="20"/>
          <w:lang w:val="en-US"/>
        </w:rPr>
        <w:t xml:space="preserve"> those cases in which the violation of </w:t>
      </w:r>
      <w:r w:rsidR="009F3D78" w:rsidRPr="00610904">
        <w:rPr>
          <w:noProof w:val="0"/>
          <w:szCs w:val="20"/>
          <w:lang w:val="en-US"/>
        </w:rPr>
        <w:t>Articles</w:t>
      </w:r>
      <w:r w:rsidR="00882CCC" w:rsidRPr="00610904">
        <w:rPr>
          <w:noProof w:val="0"/>
          <w:szCs w:val="20"/>
          <w:lang w:val="en-US"/>
        </w:rPr>
        <w:t xml:space="preserve"> 8(</w:t>
      </w:r>
      <w:r w:rsidR="003E12DE" w:rsidRPr="00610904">
        <w:rPr>
          <w:noProof w:val="0"/>
          <w:szCs w:val="20"/>
          <w:lang w:val="en-US"/>
        </w:rPr>
        <w:t>a</w:t>
      </w:r>
      <w:r w:rsidR="00882CCC" w:rsidRPr="00610904">
        <w:rPr>
          <w:noProof w:val="0"/>
          <w:szCs w:val="20"/>
          <w:lang w:val="en-US"/>
        </w:rPr>
        <w:t>)</w:t>
      </w:r>
      <w:r w:rsidR="009F3D78" w:rsidRPr="00610904">
        <w:rPr>
          <w:noProof w:val="0"/>
          <w:szCs w:val="20"/>
          <w:lang w:val="en-US"/>
        </w:rPr>
        <w:t xml:space="preserve"> and </w:t>
      </w:r>
      <w:r w:rsidR="003E12DE" w:rsidRPr="00610904">
        <w:rPr>
          <w:noProof w:val="0"/>
          <w:szCs w:val="20"/>
          <w:lang w:val="en-US"/>
        </w:rPr>
        <w:t xml:space="preserve">13 </w:t>
      </w:r>
      <w:r w:rsidR="0013395A" w:rsidRPr="00610904">
        <w:rPr>
          <w:noProof w:val="0"/>
          <w:szCs w:val="20"/>
          <w:lang w:val="en-US"/>
        </w:rPr>
        <w:t>of the Protocol</w:t>
      </w:r>
      <w:r w:rsidR="00AD76E8" w:rsidRPr="00610904">
        <w:rPr>
          <w:noProof w:val="0"/>
          <w:szCs w:val="20"/>
          <w:lang w:val="en-US"/>
        </w:rPr>
        <w:t xml:space="preserve"> is alleged</w:t>
      </w:r>
      <w:r w:rsidR="003E12DE" w:rsidRPr="00610904">
        <w:rPr>
          <w:noProof w:val="0"/>
          <w:szCs w:val="20"/>
          <w:lang w:val="en-US"/>
        </w:rPr>
        <w: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3A5D6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It is also relevant to point out that the general obligation of the States Parties arising from the Protoco</w:t>
      </w:r>
      <w:r w:rsidR="00FF6802" w:rsidRPr="00610904">
        <w:rPr>
          <w:noProof w:val="0"/>
          <w:szCs w:val="20"/>
          <w:lang w:val="en-US"/>
        </w:rPr>
        <w:t>l</w:t>
      </w:r>
      <w:r w:rsidRPr="00610904">
        <w:rPr>
          <w:noProof w:val="0"/>
          <w:szCs w:val="20"/>
          <w:lang w:val="en-US"/>
        </w:rPr>
        <w:t xml:space="preserve"> are independent of the fact that the Court has competence to declare violations within the framework of its contentious function. </w:t>
      </w:r>
      <w:r w:rsidR="00FF6802" w:rsidRPr="00610904">
        <w:rPr>
          <w:noProof w:val="0"/>
          <w:szCs w:val="20"/>
          <w:lang w:val="en-US"/>
        </w:rPr>
        <w:t>The States established other mechanisms merely to ensure compliance with tho</w:t>
      </w:r>
      <w:r w:rsidRPr="00610904">
        <w:rPr>
          <w:noProof w:val="0"/>
          <w:szCs w:val="20"/>
          <w:lang w:val="en-US"/>
        </w:rPr>
        <w:t xml:space="preserve">se rights, such as those </w:t>
      </w:r>
      <w:r w:rsidR="00FF6802" w:rsidRPr="00610904">
        <w:rPr>
          <w:noProof w:val="0"/>
          <w:szCs w:val="20"/>
          <w:lang w:val="en-US"/>
        </w:rPr>
        <w:t>defined</w:t>
      </w:r>
      <w:r w:rsidRPr="00610904">
        <w:rPr>
          <w:noProof w:val="0"/>
          <w:szCs w:val="20"/>
          <w:lang w:val="en-US"/>
        </w:rPr>
        <w:t xml:space="preserve"> in the other paragraphs of </w:t>
      </w:r>
      <w:r w:rsidR="006E502B" w:rsidRPr="00610904">
        <w:rPr>
          <w:noProof w:val="0"/>
          <w:szCs w:val="20"/>
          <w:lang w:val="en-US"/>
        </w:rPr>
        <w:t>Article</w:t>
      </w:r>
      <w:r w:rsidR="003E12DE" w:rsidRPr="00610904">
        <w:rPr>
          <w:noProof w:val="0"/>
          <w:szCs w:val="20"/>
          <w:lang w:val="en-US"/>
        </w:rPr>
        <w:t xml:space="preserve"> 19 </w:t>
      </w:r>
      <w:r w:rsidR="0013395A" w:rsidRPr="00610904">
        <w:rPr>
          <w:noProof w:val="0"/>
          <w:szCs w:val="20"/>
          <w:lang w:val="en-US"/>
        </w:rPr>
        <w:t>of the Protocol</w:t>
      </w:r>
      <w:r w:rsidR="003E12DE" w:rsidRPr="00610904">
        <w:rPr>
          <w:noProof w:val="0"/>
          <w:szCs w:val="20"/>
          <w:lang w:val="en-US"/>
        </w:rPr>
        <w:t>,</w:t>
      </w:r>
      <w:r w:rsidRPr="00610904">
        <w:rPr>
          <w:noProof w:val="0"/>
          <w:szCs w:val="20"/>
          <w:lang w:val="en-US"/>
        </w:rPr>
        <w:t xml:space="preserve"> such as the </w:t>
      </w:r>
      <w:r w:rsidRPr="00610904">
        <w:rPr>
          <w:noProof w:val="0"/>
          <w:szCs w:val="20"/>
          <w:lang w:val="en-US"/>
        </w:rPr>
        <w:lastRenderedPageBreak/>
        <w:t xml:space="preserve">possibility </w:t>
      </w:r>
      <w:r w:rsidR="00FF6802" w:rsidRPr="00610904">
        <w:rPr>
          <w:noProof w:val="0"/>
          <w:szCs w:val="20"/>
          <w:lang w:val="en-US"/>
        </w:rPr>
        <w:t>of the Inter-American Commission</w:t>
      </w:r>
      <w:r w:rsidRPr="00610904">
        <w:rPr>
          <w:noProof w:val="0"/>
          <w:szCs w:val="20"/>
          <w:lang w:val="en-US"/>
        </w:rPr>
        <w:t xml:space="preserve"> </w:t>
      </w:r>
      <w:r w:rsidR="00FF6802" w:rsidRPr="00610904">
        <w:rPr>
          <w:noProof w:val="0"/>
          <w:szCs w:val="20"/>
          <w:lang w:val="en-US"/>
        </w:rPr>
        <w:t>formulating</w:t>
      </w:r>
      <w:r w:rsidRPr="00610904">
        <w:rPr>
          <w:noProof w:val="0"/>
          <w:szCs w:val="20"/>
          <w:lang w:val="en-US"/>
        </w:rPr>
        <w:t xml:space="preserve"> observations and recommendations on the </w:t>
      </w:r>
      <w:r w:rsidR="00FF6802" w:rsidRPr="00610904">
        <w:rPr>
          <w:noProof w:val="0"/>
          <w:szCs w:val="20"/>
          <w:lang w:val="en-US"/>
        </w:rPr>
        <w:t>status of the</w:t>
      </w:r>
      <w:r w:rsidRPr="00610904">
        <w:rPr>
          <w:noProof w:val="0"/>
          <w:szCs w:val="20"/>
          <w:lang w:val="en-US"/>
        </w:rPr>
        <w:t xml:space="preserve"> </w:t>
      </w:r>
      <w:r w:rsidR="002310E6" w:rsidRPr="00610904">
        <w:rPr>
          <w:noProof w:val="0"/>
          <w:szCs w:val="20"/>
          <w:lang w:val="en-US"/>
        </w:rPr>
        <w:t>ESCR</w:t>
      </w:r>
      <w:r w:rsidR="003E12DE" w:rsidRPr="00610904">
        <w:rPr>
          <w:noProof w:val="0"/>
          <w:szCs w:val="20"/>
          <w:lang w:val="en-US"/>
        </w:rPr>
        <w:t xml:space="preserve"> </w:t>
      </w:r>
      <w:r w:rsidR="00FF6802" w:rsidRPr="00610904">
        <w:rPr>
          <w:noProof w:val="0"/>
          <w:szCs w:val="20"/>
          <w:lang w:val="en-US"/>
        </w:rPr>
        <w:t>in its annual report</w:t>
      </w:r>
      <w:r w:rsidR="003E12DE" w:rsidRPr="00610904">
        <w:rPr>
          <w:noProof w:val="0"/>
          <w:szCs w:val="20"/>
          <w:lang w:val="en-US"/>
        </w:rPr>
        <w:t>.</w:t>
      </w:r>
    </w:p>
    <w:p w:rsidR="003E12DE" w:rsidRPr="00610904" w:rsidRDefault="003E12DE" w:rsidP="00610904">
      <w:pPr>
        <w:pStyle w:val="ListParagraph"/>
        <w:tabs>
          <w:tab w:val="left" w:pos="709"/>
        </w:tabs>
        <w:ind w:left="0"/>
        <w:rPr>
          <w:noProof w:val="0"/>
          <w:szCs w:val="20"/>
          <w:lang w:val="en-US"/>
        </w:rPr>
      </w:pPr>
    </w:p>
    <w:p w:rsidR="003A5D67" w:rsidRPr="00610904" w:rsidRDefault="003A5D6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Despite the fact that that Article 19(6) o</w:t>
      </w:r>
      <w:r w:rsidR="00C340A4" w:rsidRPr="00610904">
        <w:rPr>
          <w:noProof w:val="0"/>
          <w:szCs w:val="20"/>
          <w:lang w:val="en-US"/>
        </w:rPr>
        <w:t xml:space="preserve">f the Protocol establishes the limitation </w:t>
      </w:r>
      <w:r w:rsidRPr="00610904">
        <w:rPr>
          <w:noProof w:val="0"/>
          <w:szCs w:val="20"/>
          <w:lang w:val="en-US"/>
        </w:rPr>
        <w:t xml:space="preserve">of competence clearly and precisely, some authors have indicated that evolutive interpretation and the </w:t>
      </w:r>
      <w:r w:rsidRPr="00610904">
        <w:rPr>
          <w:i/>
          <w:noProof w:val="0"/>
          <w:szCs w:val="20"/>
          <w:lang w:val="en-US"/>
        </w:rPr>
        <w:t>pro homine</w:t>
      </w:r>
      <w:r w:rsidRPr="00610904">
        <w:rPr>
          <w:noProof w:val="0"/>
          <w:szCs w:val="20"/>
          <w:lang w:val="en-US"/>
        </w:rPr>
        <w:t xml:space="preserve"> principle should be used in order to update the normative meaning and scope of Article 26 of the Convention. Consequently, I will now examine some of the arguments employed to justify this position.</w:t>
      </w:r>
    </w:p>
    <w:p w:rsidR="003E12DE" w:rsidRPr="00610904" w:rsidRDefault="003E12DE" w:rsidP="00610904">
      <w:pPr>
        <w:tabs>
          <w:tab w:val="left" w:pos="709"/>
        </w:tabs>
        <w:rPr>
          <w:noProof w:val="0"/>
          <w:szCs w:val="20"/>
          <w:lang w:val="en-US"/>
        </w:rPr>
      </w:pPr>
    </w:p>
    <w:p w:rsidR="003E12DE" w:rsidRPr="00610904" w:rsidRDefault="00882CCC" w:rsidP="00610904">
      <w:pPr>
        <w:pStyle w:val="ListParagraph"/>
        <w:numPr>
          <w:ilvl w:val="0"/>
          <w:numId w:val="18"/>
        </w:numPr>
        <w:tabs>
          <w:tab w:val="left" w:pos="426"/>
          <w:tab w:val="left" w:pos="709"/>
        </w:tabs>
        <w:contextualSpacing/>
        <w:rPr>
          <w:b/>
          <w:noProof w:val="0"/>
          <w:szCs w:val="20"/>
          <w:lang w:val="en-US"/>
        </w:rPr>
      </w:pPr>
      <w:r w:rsidRPr="00610904">
        <w:rPr>
          <w:b/>
          <w:noProof w:val="0"/>
          <w:szCs w:val="20"/>
          <w:lang w:val="en-US"/>
        </w:rPr>
        <w:t xml:space="preserve">Evolutive interpretation and </w:t>
      </w:r>
      <w:r w:rsidR="003E12DE" w:rsidRPr="00610904">
        <w:rPr>
          <w:b/>
          <w:i/>
          <w:noProof w:val="0"/>
          <w:szCs w:val="20"/>
          <w:lang w:val="en-US"/>
        </w:rPr>
        <w:t>pro homine</w:t>
      </w:r>
      <w:r w:rsidRPr="00610904">
        <w:rPr>
          <w:b/>
          <w:i/>
          <w:noProof w:val="0"/>
          <w:szCs w:val="20"/>
          <w:lang w:val="en-US"/>
        </w:rPr>
        <w:t xml:space="preserve"> </w:t>
      </w:r>
      <w:r w:rsidRPr="00610904">
        <w:rPr>
          <w:b/>
          <w:noProof w:val="0"/>
          <w:szCs w:val="20"/>
          <w:lang w:val="en-US"/>
        </w:rPr>
        <w:t>principle</w:t>
      </w:r>
    </w:p>
    <w:p w:rsidR="003E12DE" w:rsidRPr="00610904" w:rsidRDefault="003E12DE" w:rsidP="00610904">
      <w:pPr>
        <w:pStyle w:val="ListParagraph"/>
        <w:tabs>
          <w:tab w:val="left" w:pos="426"/>
          <w:tab w:val="left" w:pos="709"/>
        </w:tabs>
        <w:ind w:left="0"/>
        <w:rPr>
          <w:noProof w:val="0"/>
          <w:szCs w:val="20"/>
          <w:lang w:val="en-US"/>
        </w:rPr>
      </w:pPr>
    </w:p>
    <w:p w:rsidR="003A5D67" w:rsidRPr="00610904" w:rsidRDefault="003A5D6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On this point</w:t>
      </w:r>
      <w:r w:rsidR="00DB283F" w:rsidRPr="00610904">
        <w:rPr>
          <w:noProof w:val="0"/>
          <w:szCs w:val="20"/>
          <w:lang w:val="en-US"/>
        </w:rPr>
        <w:t>, those who propose the</w:t>
      </w:r>
      <w:r w:rsidRPr="00610904">
        <w:rPr>
          <w:noProof w:val="0"/>
          <w:szCs w:val="20"/>
          <w:lang w:val="en-US"/>
        </w:rPr>
        <w:t xml:space="preserve"> direct justiciability of</w:t>
      </w:r>
      <w:r w:rsidR="003E12DE" w:rsidRPr="00610904">
        <w:rPr>
          <w:noProof w:val="0"/>
          <w:szCs w:val="20"/>
          <w:lang w:val="en-US"/>
        </w:rPr>
        <w:t xml:space="preserve"> </w:t>
      </w:r>
      <w:r w:rsidR="002310E6" w:rsidRPr="00610904">
        <w:rPr>
          <w:noProof w:val="0"/>
          <w:szCs w:val="20"/>
          <w:lang w:val="en-US"/>
        </w:rPr>
        <w:t>ESCR</w:t>
      </w:r>
      <w:r w:rsidR="003E12DE" w:rsidRPr="00610904">
        <w:rPr>
          <w:noProof w:val="0"/>
          <w:szCs w:val="20"/>
          <w:lang w:val="en-US"/>
        </w:rPr>
        <w:t xml:space="preserve"> </w:t>
      </w:r>
      <w:r w:rsidRPr="00610904">
        <w:rPr>
          <w:noProof w:val="0"/>
          <w:szCs w:val="20"/>
          <w:lang w:val="en-US"/>
        </w:rPr>
        <w:t xml:space="preserve">by the application </w:t>
      </w:r>
      <w:r w:rsidR="006E502B" w:rsidRPr="00610904">
        <w:rPr>
          <w:noProof w:val="0"/>
          <w:szCs w:val="20"/>
          <w:lang w:val="en-US"/>
        </w:rPr>
        <w:t>of Article</w:t>
      </w:r>
      <w:r w:rsidR="003E12DE" w:rsidRPr="00610904">
        <w:rPr>
          <w:noProof w:val="0"/>
          <w:szCs w:val="20"/>
          <w:lang w:val="en-US"/>
        </w:rPr>
        <w:t xml:space="preserve"> 26</w:t>
      </w:r>
      <w:r w:rsidR="009F3D78" w:rsidRPr="00610904">
        <w:rPr>
          <w:noProof w:val="0"/>
          <w:szCs w:val="20"/>
          <w:lang w:val="en-US"/>
        </w:rPr>
        <w:t xml:space="preserve"> of the Convention</w:t>
      </w:r>
      <w:r w:rsidRPr="00610904">
        <w:rPr>
          <w:noProof w:val="0"/>
          <w:szCs w:val="20"/>
          <w:lang w:val="en-US"/>
        </w:rPr>
        <w:t xml:space="preserve"> have argued that one of the ways to overcome the bar</w:t>
      </w:r>
      <w:r w:rsidR="00DB283F" w:rsidRPr="00610904">
        <w:rPr>
          <w:noProof w:val="0"/>
          <w:szCs w:val="20"/>
          <w:lang w:val="en-US"/>
        </w:rPr>
        <w:t xml:space="preserve">rier to competence that the Protocol stipulates </w:t>
      </w:r>
      <w:r w:rsidRPr="00610904">
        <w:rPr>
          <w:noProof w:val="0"/>
          <w:szCs w:val="20"/>
          <w:lang w:val="en-US"/>
        </w:rPr>
        <w:t xml:space="preserve">would be by </w:t>
      </w:r>
      <w:r w:rsidR="00DB283F" w:rsidRPr="00610904">
        <w:rPr>
          <w:noProof w:val="0"/>
          <w:szCs w:val="20"/>
          <w:lang w:val="en-US"/>
        </w:rPr>
        <w:t>applying</w:t>
      </w:r>
      <w:r w:rsidRPr="00610904">
        <w:rPr>
          <w:noProof w:val="0"/>
          <w:szCs w:val="20"/>
          <w:lang w:val="en-US"/>
        </w:rPr>
        <w:t xml:space="preserve"> an evolutive interpretation. In particular, they use comparative law as a tool</w:t>
      </w:r>
      <w:r w:rsidR="00DB283F" w:rsidRPr="00610904">
        <w:rPr>
          <w:noProof w:val="0"/>
          <w:szCs w:val="20"/>
          <w:lang w:val="en-US"/>
        </w:rPr>
        <w:t>,</w:t>
      </w:r>
      <w:r w:rsidRPr="00610904">
        <w:rPr>
          <w:noProof w:val="0"/>
          <w:szCs w:val="20"/>
          <w:lang w:val="en-US"/>
        </w:rPr>
        <w:t xml:space="preserve"> because several </w:t>
      </w:r>
      <w:r w:rsidR="00856968" w:rsidRPr="00610904">
        <w:rPr>
          <w:noProof w:val="0"/>
          <w:szCs w:val="20"/>
          <w:lang w:val="en-US"/>
        </w:rPr>
        <w:t>constitutional</w:t>
      </w:r>
      <w:r w:rsidRPr="00610904">
        <w:rPr>
          <w:noProof w:val="0"/>
          <w:szCs w:val="20"/>
          <w:lang w:val="en-US"/>
        </w:rPr>
        <w:t xml:space="preserve"> courts of the countries of the region have accepted t</w:t>
      </w:r>
      <w:r w:rsidR="00DB283F" w:rsidRPr="00610904">
        <w:rPr>
          <w:noProof w:val="0"/>
          <w:szCs w:val="20"/>
          <w:lang w:val="en-US"/>
        </w:rPr>
        <w:t xml:space="preserve">he direct justiciability of </w:t>
      </w:r>
      <w:r w:rsidRPr="00610904">
        <w:rPr>
          <w:noProof w:val="0"/>
          <w:szCs w:val="20"/>
          <w:lang w:val="en-US"/>
        </w:rPr>
        <w:t xml:space="preserve">ESCR. </w:t>
      </w:r>
      <w:r w:rsidR="00DB283F" w:rsidRPr="00610904">
        <w:rPr>
          <w:noProof w:val="0"/>
          <w:szCs w:val="20"/>
          <w:lang w:val="en-US"/>
        </w:rPr>
        <w:t>However,</w:t>
      </w:r>
      <w:r w:rsidRPr="00610904">
        <w:rPr>
          <w:noProof w:val="0"/>
          <w:szCs w:val="20"/>
          <w:lang w:val="en-US"/>
        </w:rPr>
        <w:t xml:space="preserve"> I consider that this issue should be tackled in two ways. The first entails an examination of the other interpretive me</w:t>
      </w:r>
      <w:r w:rsidR="00DB283F" w:rsidRPr="00610904">
        <w:rPr>
          <w:noProof w:val="0"/>
          <w:szCs w:val="20"/>
          <w:lang w:val="en-US"/>
        </w:rPr>
        <w:t>thods under international law, be</w:t>
      </w:r>
      <w:r w:rsidRPr="00610904">
        <w:rPr>
          <w:noProof w:val="0"/>
          <w:szCs w:val="20"/>
          <w:lang w:val="en-US"/>
        </w:rPr>
        <w:t xml:space="preserve">cause the evolutive method is not the only one that </w:t>
      </w:r>
      <w:r w:rsidR="00DB283F" w:rsidRPr="00610904">
        <w:rPr>
          <w:noProof w:val="0"/>
          <w:szCs w:val="20"/>
          <w:lang w:val="en-US"/>
        </w:rPr>
        <w:t>should be taken into account. Second</w:t>
      </w:r>
      <w:r w:rsidRPr="00610904">
        <w:rPr>
          <w:noProof w:val="0"/>
          <w:szCs w:val="20"/>
          <w:lang w:val="en-US"/>
        </w:rPr>
        <w:t xml:space="preserve">, I will </w:t>
      </w:r>
      <w:r w:rsidR="00DB283F" w:rsidRPr="00610904">
        <w:rPr>
          <w:noProof w:val="0"/>
          <w:szCs w:val="20"/>
          <w:lang w:val="en-US"/>
        </w:rPr>
        <w:t>present</w:t>
      </w:r>
      <w:r w:rsidRPr="00610904">
        <w:rPr>
          <w:noProof w:val="0"/>
          <w:szCs w:val="20"/>
          <w:lang w:val="en-US"/>
        </w:rPr>
        <w:t xml:space="preserve"> my opinion on how </w:t>
      </w:r>
      <w:r w:rsidR="00DB283F" w:rsidRPr="00610904">
        <w:rPr>
          <w:noProof w:val="0"/>
          <w:szCs w:val="20"/>
          <w:lang w:val="en-US"/>
        </w:rPr>
        <w:t xml:space="preserve">the </w:t>
      </w:r>
      <w:r w:rsidRPr="00610904">
        <w:rPr>
          <w:noProof w:val="0"/>
          <w:szCs w:val="20"/>
          <w:lang w:val="en-US"/>
        </w:rPr>
        <w:t xml:space="preserve">comparative law on this issue should be assessed. </w:t>
      </w:r>
    </w:p>
    <w:p w:rsidR="003E12DE" w:rsidRPr="00610904" w:rsidRDefault="003E12DE" w:rsidP="00610904">
      <w:pPr>
        <w:pStyle w:val="ListParagraph"/>
        <w:tabs>
          <w:tab w:val="left" w:pos="709"/>
        </w:tabs>
        <w:ind w:left="0"/>
        <w:rPr>
          <w:noProof w:val="0"/>
          <w:szCs w:val="20"/>
          <w:lang w:val="en-US"/>
        </w:rPr>
      </w:pPr>
    </w:p>
    <w:p w:rsidR="003E12DE" w:rsidRPr="00610904" w:rsidRDefault="003A5D67"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Regarding the me</w:t>
      </w:r>
      <w:r w:rsidR="00DB283F" w:rsidRPr="00610904">
        <w:rPr>
          <w:noProof w:val="0"/>
          <w:szCs w:val="20"/>
          <w:lang w:val="en-US"/>
        </w:rPr>
        <w:t>ans</w:t>
      </w:r>
      <w:r w:rsidRPr="00610904">
        <w:rPr>
          <w:noProof w:val="0"/>
          <w:szCs w:val="20"/>
          <w:lang w:val="en-US"/>
        </w:rPr>
        <w:t xml:space="preserve"> of interpretation that should be taken into account,</w:t>
      </w:r>
      <w:r w:rsidR="003E12DE" w:rsidRPr="00610904">
        <w:rPr>
          <w:noProof w:val="0"/>
          <w:szCs w:val="20"/>
          <w:lang w:val="en-US"/>
        </w:rPr>
        <w:t xml:space="preserve"> </w:t>
      </w:r>
      <w:r w:rsidR="009F3D78" w:rsidRPr="00610904">
        <w:rPr>
          <w:noProof w:val="0"/>
          <w:szCs w:val="20"/>
          <w:lang w:val="en-US"/>
        </w:rPr>
        <w:t>Articles</w:t>
      </w:r>
      <w:r w:rsidR="003E12DE" w:rsidRPr="00610904">
        <w:rPr>
          <w:noProof w:val="0"/>
          <w:szCs w:val="20"/>
          <w:lang w:val="en-US"/>
        </w:rPr>
        <w:t xml:space="preserve"> 31</w:t>
      </w:r>
      <w:r w:rsidR="009F3D78" w:rsidRPr="00610904">
        <w:rPr>
          <w:noProof w:val="0"/>
          <w:szCs w:val="20"/>
          <w:lang w:val="en-US"/>
        </w:rPr>
        <w:t xml:space="preserve"> and </w:t>
      </w:r>
      <w:r w:rsidR="003E12DE" w:rsidRPr="00610904">
        <w:rPr>
          <w:noProof w:val="0"/>
          <w:szCs w:val="20"/>
          <w:lang w:val="en-US"/>
        </w:rPr>
        <w:t>32</w:t>
      </w:r>
      <w:r w:rsidR="009F3D78" w:rsidRPr="00610904">
        <w:rPr>
          <w:noProof w:val="0"/>
          <w:szCs w:val="20"/>
          <w:lang w:val="en-US"/>
        </w:rPr>
        <w:t xml:space="preserve"> of the </w:t>
      </w:r>
      <w:r w:rsidRPr="00610904">
        <w:rPr>
          <w:noProof w:val="0"/>
          <w:szCs w:val="20"/>
          <w:lang w:val="en-US"/>
        </w:rPr>
        <w:t xml:space="preserve">Vienna </w:t>
      </w:r>
      <w:r w:rsidR="009F3D78" w:rsidRPr="00610904">
        <w:rPr>
          <w:noProof w:val="0"/>
          <w:szCs w:val="20"/>
          <w:lang w:val="en-US"/>
        </w:rPr>
        <w:t>Convention</w:t>
      </w:r>
      <w:r w:rsidR="003E12DE" w:rsidRPr="00610904">
        <w:rPr>
          <w:noProof w:val="0"/>
          <w:szCs w:val="20"/>
          <w:lang w:val="en-US"/>
        </w:rPr>
        <w:t xml:space="preserve"> </w:t>
      </w:r>
      <w:r w:rsidRPr="00610904">
        <w:rPr>
          <w:noProof w:val="0"/>
          <w:szCs w:val="20"/>
          <w:lang w:val="en-US"/>
        </w:rPr>
        <w:t>on the Law of Treaties</w:t>
      </w:r>
      <w:r w:rsidR="00DB283F" w:rsidRPr="00610904">
        <w:rPr>
          <w:noProof w:val="0"/>
          <w:szCs w:val="20"/>
          <w:lang w:val="en-US"/>
        </w:rPr>
        <w:t xml:space="preserve"> establish</w:t>
      </w:r>
      <w:r w:rsidRPr="00610904">
        <w:rPr>
          <w:noProof w:val="0"/>
          <w:szCs w:val="20"/>
          <w:lang w:val="en-US"/>
        </w:rPr>
        <w:t xml:space="preserve"> the most important me</w:t>
      </w:r>
      <w:r w:rsidR="00DB283F" w:rsidRPr="00610904">
        <w:rPr>
          <w:noProof w:val="0"/>
          <w:szCs w:val="20"/>
          <w:lang w:val="en-US"/>
        </w:rPr>
        <w:t>thods</w:t>
      </w:r>
      <w:r w:rsidRPr="00610904">
        <w:rPr>
          <w:noProof w:val="0"/>
          <w:szCs w:val="20"/>
          <w:lang w:val="en-US"/>
        </w:rPr>
        <w:t xml:space="preserve">. The Inter-American Court has </w:t>
      </w:r>
      <w:r w:rsidR="00DB283F" w:rsidRPr="00610904">
        <w:rPr>
          <w:noProof w:val="0"/>
          <w:szCs w:val="20"/>
          <w:lang w:val="en-US"/>
        </w:rPr>
        <w:t>reflected this in its case law; thus</w:t>
      </w:r>
      <w:r w:rsidRPr="00610904">
        <w:rPr>
          <w:noProof w:val="0"/>
          <w:szCs w:val="20"/>
          <w:lang w:val="en-US"/>
        </w:rPr>
        <w:t xml:space="preserve">, in addition to the evolutive method, it has </w:t>
      </w:r>
      <w:r w:rsidR="00DB283F" w:rsidRPr="00610904">
        <w:rPr>
          <w:noProof w:val="0"/>
          <w:szCs w:val="20"/>
          <w:lang w:val="en-US"/>
        </w:rPr>
        <w:t>u</w:t>
      </w:r>
      <w:r w:rsidRPr="00610904">
        <w:rPr>
          <w:noProof w:val="0"/>
          <w:szCs w:val="20"/>
          <w:lang w:val="en-US"/>
        </w:rPr>
        <w:t>sed other interpretation criteria, such as literal interpretation, systematic interpretation, and teleological interpretation. In this regard, the Court has understood</w:t>
      </w:r>
      <w:r w:rsidR="00DB283F" w:rsidRPr="00610904">
        <w:rPr>
          <w:noProof w:val="0"/>
          <w:szCs w:val="20"/>
          <w:lang w:val="en-US"/>
        </w:rPr>
        <w:t xml:space="preserve"> that literal interpretation is the interpretation</w:t>
      </w:r>
      <w:r w:rsidRPr="00610904">
        <w:rPr>
          <w:noProof w:val="0"/>
          <w:szCs w:val="20"/>
          <w:lang w:val="en-US"/>
        </w:rPr>
        <w:t xml:space="preserve"> made in good faith in accordance with the ordinary meaning to be given to</w:t>
      </w:r>
      <w:r w:rsidR="00DB283F" w:rsidRPr="00610904">
        <w:rPr>
          <w:noProof w:val="0"/>
          <w:szCs w:val="20"/>
          <w:lang w:val="en-US"/>
        </w:rPr>
        <w:t xml:space="preserve"> the</w:t>
      </w:r>
      <w:r w:rsidRPr="00610904">
        <w:rPr>
          <w:noProof w:val="0"/>
          <w:szCs w:val="20"/>
          <w:lang w:val="en-US"/>
        </w:rPr>
        <w:t xml:space="preserve"> terms used. Th</w:t>
      </w:r>
      <w:r w:rsidR="00DB283F" w:rsidRPr="00610904">
        <w:rPr>
          <w:noProof w:val="0"/>
          <w:szCs w:val="20"/>
          <w:lang w:val="en-US"/>
        </w:rPr>
        <w:t>e Court has used th</w:t>
      </w:r>
      <w:r w:rsidRPr="00610904">
        <w:rPr>
          <w:noProof w:val="0"/>
          <w:szCs w:val="20"/>
          <w:lang w:val="en-US"/>
        </w:rPr>
        <w:t xml:space="preserve">is type of interpretation </w:t>
      </w:r>
      <w:r w:rsidR="00DB283F" w:rsidRPr="00610904">
        <w:rPr>
          <w:noProof w:val="0"/>
          <w:szCs w:val="20"/>
          <w:lang w:val="en-US"/>
        </w:rPr>
        <w:t>when</w:t>
      </w:r>
      <w:r w:rsidRPr="00610904">
        <w:rPr>
          <w:noProof w:val="0"/>
          <w:szCs w:val="20"/>
          <w:lang w:val="en-US"/>
        </w:rPr>
        <w:t xml:space="preserve"> considering the literal meaning of some expressions and </w:t>
      </w:r>
      <w:r w:rsidR="00DB283F" w:rsidRPr="00610904">
        <w:rPr>
          <w:noProof w:val="0"/>
          <w:szCs w:val="20"/>
          <w:lang w:val="en-US"/>
        </w:rPr>
        <w:t>terms</w:t>
      </w:r>
      <w:r w:rsidRPr="00610904">
        <w:rPr>
          <w:noProof w:val="0"/>
          <w:szCs w:val="20"/>
          <w:lang w:val="en-US"/>
        </w:rPr>
        <w:t xml:space="preserve"> </w:t>
      </w:r>
      <w:r w:rsidR="009F3D78" w:rsidRPr="00610904">
        <w:rPr>
          <w:noProof w:val="0"/>
          <w:szCs w:val="20"/>
          <w:lang w:val="en-US"/>
        </w:rPr>
        <w:t xml:space="preserve">of the Convention and </w:t>
      </w:r>
      <w:r w:rsidRPr="00610904">
        <w:rPr>
          <w:noProof w:val="0"/>
          <w:szCs w:val="20"/>
          <w:lang w:val="en-US"/>
        </w:rPr>
        <w:t>other treaties.</w:t>
      </w:r>
      <w:r w:rsidR="003E12DE" w:rsidRPr="00610904">
        <w:rPr>
          <w:rStyle w:val="FootnoteReference"/>
          <w:noProof w:val="0"/>
          <w:lang w:val="en-US"/>
        </w:rPr>
        <w:footnoteReference w:id="449"/>
      </w:r>
      <w:r w:rsidRPr="00610904">
        <w:rPr>
          <w:noProof w:val="0"/>
          <w:szCs w:val="20"/>
          <w:lang w:val="en-US"/>
        </w:rPr>
        <w:t xml:space="preserve"> Meanwhile, </w:t>
      </w:r>
      <w:r w:rsidR="00DB283F" w:rsidRPr="00610904">
        <w:rPr>
          <w:noProof w:val="0"/>
          <w:szCs w:val="20"/>
          <w:lang w:val="en-US"/>
        </w:rPr>
        <w:t>based on a</w:t>
      </w:r>
      <w:r w:rsidRPr="00610904">
        <w:rPr>
          <w:noProof w:val="0"/>
          <w:szCs w:val="20"/>
          <w:lang w:val="en-US"/>
        </w:rPr>
        <w:t xml:space="preserve"> systematic interpretation, the Court has maintained that the norms must be interpreted as part of a whole, the meaning and scope of which should be established in function of the legal system to which it belongs.</w:t>
      </w:r>
      <w:r w:rsidR="003E12DE" w:rsidRPr="00610904">
        <w:rPr>
          <w:rStyle w:val="FootnoteReference"/>
          <w:noProof w:val="0"/>
          <w:lang w:val="en-US"/>
        </w:rPr>
        <w:footnoteReference w:id="450"/>
      </w:r>
      <w:r w:rsidRPr="00610904">
        <w:rPr>
          <w:noProof w:val="0"/>
          <w:szCs w:val="20"/>
          <w:lang w:val="en-US"/>
        </w:rPr>
        <w:t xml:space="preserve"> In the context of this type of interpretation, the Court has analyzed the </w:t>
      </w:r>
      <w:r w:rsidRPr="00610904">
        <w:rPr>
          <w:i/>
          <w:noProof w:val="0"/>
          <w:szCs w:val="20"/>
          <w:lang w:val="en-US"/>
        </w:rPr>
        <w:t>travaux préparatoires</w:t>
      </w:r>
      <w:r w:rsidRPr="00610904">
        <w:rPr>
          <w:noProof w:val="0"/>
          <w:szCs w:val="20"/>
          <w:lang w:val="en-US"/>
        </w:rPr>
        <w:t xml:space="preserve"> of the American Declaration </w:t>
      </w:r>
      <w:r w:rsidR="009F3D78" w:rsidRPr="00610904">
        <w:rPr>
          <w:noProof w:val="0"/>
          <w:szCs w:val="20"/>
          <w:lang w:val="en-US"/>
        </w:rPr>
        <w:t>and of the American Convention</w:t>
      </w:r>
      <w:r w:rsidR="003E12DE" w:rsidRPr="00610904">
        <w:rPr>
          <w:noProof w:val="0"/>
          <w:szCs w:val="20"/>
          <w:lang w:val="en-US"/>
        </w:rPr>
        <w:t>, as</w:t>
      </w:r>
      <w:r w:rsidRPr="00610904">
        <w:rPr>
          <w:noProof w:val="0"/>
          <w:szCs w:val="20"/>
          <w:lang w:val="en-US"/>
        </w:rPr>
        <w:t xml:space="preserve"> well as of some instruments of the universal system of human rights and other regional systems of protection such as the European and the African systems.</w:t>
      </w:r>
      <w:r w:rsidR="003E12DE" w:rsidRPr="00610904">
        <w:rPr>
          <w:rStyle w:val="FootnoteReference"/>
          <w:noProof w:val="0"/>
          <w:lang w:val="en-US"/>
        </w:rPr>
        <w:footnoteReference w:id="451"/>
      </w:r>
      <w:r w:rsidRPr="00610904">
        <w:rPr>
          <w:noProof w:val="0"/>
          <w:szCs w:val="20"/>
          <w:lang w:val="en-US"/>
        </w:rPr>
        <w:t xml:space="preserve"> The Court has also used the </w:t>
      </w:r>
      <w:r w:rsidR="00DB283F" w:rsidRPr="00610904">
        <w:rPr>
          <w:noProof w:val="0"/>
          <w:szCs w:val="20"/>
          <w:lang w:val="en-US"/>
        </w:rPr>
        <w:t>teleological or purposive</w:t>
      </w:r>
      <w:r w:rsidRPr="00610904">
        <w:rPr>
          <w:noProof w:val="0"/>
          <w:szCs w:val="20"/>
          <w:lang w:val="en-US"/>
        </w:rPr>
        <w:t xml:space="preserve"> interpretation. </w:t>
      </w:r>
      <w:r w:rsidR="00DB283F" w:rsidRPr="00610904">
        <w:rPr>
          <w:noProof w:val="0"/>
          <w:szCs w:val="20"/>
          <w:lang w:val="en-US"/>
        </w:rPr>
        <w:t>In this regard,</w:t>
      </w:r>
      <w:r w:rsidRPr="00610904">
        <w:rPr>
          <w:noProof w:val="0"/>
          <w:szCs w:val="20"/>
          <w:lang w:val="en-US"/>
        </w:rPr>
        <w:t xml:space="preserve"> the Court has analyzed the purpose of the norms involved in the interpre</w:t>
      </w:r>
      <w:r w:rsidR="00DB283F" w:rsidRPr="00610904">
        <w:rPr>
          <w:noProof w:val="0"/>
          <w:szCs w:val="20"/>
          <w:lang w:val="en-US"/>
        </w:rPr>
        <w:t>t</w:t>
      </w:r>
      <w:r w:rsidRPr="00610904">
        <w:rPr>
          <w:noProof w:val="0"/>
          <w:szCs w:val="20"/>
          <w:lang w:val="en-US"/>
        </w:rPr>
        <w:t>ation, considering that the object and purpose of the treaty and the purposes of the inter-American human rights system are pertinent. Las</w:t>
      </w:r>
      <w:r w:rsidR="00DB283F" w:rsidRPr="00610904">
        <w:rPr>
          <w:noProof w:val="0"/>
          <w:szCs w:val="20"/>
          <w:lang w:val="en-US"/>
        </w:rPr>
        <w:t xml:space="preserve">tly, </w:t>
      </w:r>
      <w:r w:rsidRPr="00610904">
        <w:rPr>
          <w:noProof w:val="0"/>
          <w:szCs w:val="20"/>
          <w:lang w:val="en-US"/>
        </w:rPr>
        <w:t>evolutive interpretation means that: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3571AD" w:rsidP="00610904">
      <w:pPr>
        <w:pStyle w:val="BodyText"/>
        <w:tabs>
          <w:tab w:val="left" w:pos="709"/>
        </w:tabs>
        <w:overflowPunct w:val="0"/>
        <w:autoSpaceDE w:val="0"/>
        <w:autoSpaceDN w:val="0"/>
        <w:adjustRightInd w:val="0"/>
        <w:ind w:left="426" w:right="333"/>
        <w:textAlignment w:val="baseline"/>
        <w:rPr>
          <w:rFonts w:ascii="Verdana" w:hAnsi="Verdana"/>
          <w:noProof w:val="0"/>
          <w:sz w:val="16"/>
          <w:szCs w:val="16"/>
          <w:lang w:val="en-US" w:eastAsia="de-DE"/>
        </w:rPr>
      </w:pPr>
      <w:r w:rsidRPr="00610904">
        <w:rPr>
          <w:rFonts w:ascii="Verdana" w:hAnsi="Verdana"/>
          <w:noProof w:val="0"/>
          <w:sz w:val="16"/>
          <w:szCs w:val="16"/>
          <w:lang w:val="en-US" w:eastAsia="de-DE"/>
        </w:rPr>
        <w:t xml:space="preserve">[H]uman rights treaties are living instruments whose interpretation must consider the changes over time and present day conditions. […] That evolutive interpretation is consistent with the general </w:t>
      </w:r>
      <w:r w:rsidRPr="00610904">
        <w:rPr>
          <w:rFonts w:ascii="Verdana" w:hAnsi="Verdana"/>
          <w:noProof w:val="0"/>
          <w:sz w:val="16"/>
          <w:szCs w:val="16"/>
          <w:lang w:val="en-US" w:eastAsia="de-DE"/>
        </w:rPr>
        <w:lastRenderedPageBreak/>
        <w:t xml:space="preserve">rules of treaty interpretation established in Article 29 of the American Convention, and in the 1969 Vienna Convention on the Law of Treaties. By making an evolutive interpretation, the Court has given special relevance to comparative law, and for </w:t>
      </w:r>
      <w:proofErr w:type="gramStart"/>
      <w:r w:rsidRPr="00610904">
        <w:rPr>
          <w:rFonts w:ascii="Verdana" w:hAnsi="Verdana"/>
          <w:noProof w:val="0"/>
          <w:sz w:val="16"/>
          <w:szCs w:val="16"/>
          <w:lang w:val="en-US" w:eastAsia="de-DE"/>
        </w:rPr>
        <w:t>this reasons</w:t>
      </w:r>
      <w:proofErr w:type="gramEnd"/>
      <w:r w:rsidRPr="00610904">
        <w:rPr>
          <w:rFonts w:ascii="Verdana" w:hAnsi="Verdana"/>
          <w:noProof w:val="0"/>
          <w:sz w:val="16"/>
          <w:szCs w:val="16"/>
          <w:lang w:val="en-US" w:eastAsia="de-DE"/>
        </w:rPr>
        <w:t xml:space="preserve"> has used domestic law or the case law of domestic courts when examining specific disputes in contentious cases.</w:t>
      </w:r>
      <w:r w:rsidR="003E12DE" w:rsidRPr="00610904">
        <w:rPr>
          <w:rStyle w:val="FootnoteReference"/>
          <w:noProof w:val="0"/>
          <w:sz w:val="16"/>
          <w:szCs w:val="16"/>
          <w:lang w:val="en-US"/>
        </w:rPr>
        <w:footnoteReference w:id="452"/>
      </w:r>
      <w:r w:rsidR="003E12DE" w:rsidRPr="00610904">
        <w:rPr>
          <w:rFonts w:ascii="Verdana" w:hAnsi="Verdana"/>
          <w:noProof w:val="0"/>
          <w:sz w:val="16"/>
          <w:szCs w:val="16"/>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571AD" w:rsidRPr="00610904" w:rsidRDefault="003571AD"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In this regard, i</w:t>
      </w:r>
      <w:r w:rsidR="00DB283F" w:rsidRPr="00610904">
        <w:rPr>
          <w:noProof w:val="0"/>
          <w:szCs w:val="20"/>
          <w:lang w:val="en-US"/>
        </w:rPr>
        <w:t xml:space="preserve">t should be pointed out that a </w:t>
      </w:r>
      <w:r w:rsidRPr="00610904">
        <w:rPr>
          <w:noProof w:val="0"/>
          <w:szCs w:val="20"/>
          <w:lang w:val="en-US"/>
        </w:rPr>
        <w:t>me</w:t>
      </w:r>
      <w:r w:rsidR="00DB283F" w:rsidRPr="00610904">
        <w:rPr>
          <w:noProof w:val="0"/>
          <w:szCs w:val="20"/>
          <w:lang w:val="en-US"/>
        </w:rPr>
        <w:t>thod</w:t>
      </w:r>
      <w:r w:rsidRPr="00610904">
        <w:rPr>
          <w:noProof w:val="0"/>
          <w:szCs w:val="20"/>
          <w:lang w:val="en-US"/>
        </w:rPr>
        <w:t xml:space="preserve"> of interpretation should be used when a norm is ambiguous, </w:t>
      </w:r>
      <w:r w:rsidR="00DB283F" w:rsidRPr="00610904">
        <w:rPr>
          <w:noProof w:val="0"/>
          <w:szCs w:val="20"/>
          <w:lang w:val="en-US"/>
        </w:rPr>
        <w:t>and</w:t>
      </w:r>
      <w:r w:rsidRPr="00610904">
        <w:rPr>
          <w:noProof w:val="0"/>
          <w:szCs w:val="20"/>
          <w:lang w:val="en-US"/>
        </w:rPr>
        <w:t xml:space="preserve"> I do not consider </w:t>
      </w:r>
      <w:r w:rsidR="00DB283F" w:rsidRPr="00610904">
        <w:rPr>
          <w:noProof w:val="0"/>
          <w:szCs w:val="20"/>
          <w:lang w:val="en-US"/>
        </w:rPr>
        <w:t xml:space="preserve">that this is the case as regards the limitation </w:t>
      </w:r>
      <w:r w:rsidRPr="00610904">
        <w:rPr>
          <w:noProof w:val="0"/>
          <w:szCs w:val="20"/>
          <w:lang w:val="en-US"/>
        </w:rPr>
        <w:t xml:space="preserve">of competence </w:t>
      </w:r>
      <w:r w:rsidR="00856968" w:rsidRPr="00610904">
        <w:rPr>
          <w:noProof w:val="0"/>
          <w:szCs w:val="20"/>
          <w:lang w:val="en-US"/>
        </w:rPr>
        <w:t>stipulated</w:t>
      </w:r>
      <w:r w:rsidRPr="00610904">
        <w:rPr>
          <w:noProof w:val="0"/>
          <w:szCs w:val="20"/>
          <w:lang w:val="en-US"/>
        </w:rPr>
        <w:t xml:space="preserve"> in Article 19(6) of the Protocol of San Salvador in relation to Article 26 of the Convention, because, as indicated above, the meaning of the norm is clear. Nevertheless, when </w:t>
      </w:r>
      <w:r w:rsidR="00DB283F" w:rsidRPr="00610904">
        <w:rPr>
          <w:noProof w:val="0"/>
          <w:szCs w:val="20"/>
          <w:lang w:val="en-US"/>
        </w:rPr>
        <w:t>a</w:t>
      </w:r>
      <w:r w:rsidRPr="00610904">
        <w:rPr>
          <w:noProof w:val="0"/>
          <w:szCs w:val="20"/>
          <w:lang w:val="en-US"/>
        </w:rPr>
        <w:t xml:space="preserve"> norm</w:t>
      </w:r>
      <w:r w:rsidR="00DB283F" w:rsidRPr="00610904">
        <w:rPr>
          <w:noProof w:val="0"/>
          <w:szCs w:val="20"/>
          <w:lang w:val="en-US"/>
        </w:rPr>
        <w:t xml:space="preserve"> must be interpreted</w:t>
      </w:r>
      <w:r w:rsidRPr="00610904">
        <w:rPr>
          <w:noProof w:val="0"/>
          <w:szCs w:val="20"/>
          <w:lang w:val="en-US"/>
        </w:rPr>
        <w:t>, it is not sufficient to use one of the different me</w:t>
      </w:r>
      <w:r w:rsidR="00DB283F" w:rsidRPr="00610904">
        <w:rPr>
          <w:noProof w:val="0"/>
          <w:szCs w:val="20"/>
          <w:lang w:val="en-US"/>
        </w:rPr>
        <w:t>thods</w:t>
      </w:r>
      <w:r w:rsidRPr="00610904">
        <w:rPr>
          <w:noProof w:val="0"/>
          <w:szCs w:val="20"/>
          <w:lang w:val="en-US"/>
        </w:rPr>
        <w:t xml:space="preserve"> of interpretation that exists, because they are complementary and none of them outranks the others.</w:t>
      </w:r>
    </w:p>
    <w:p w:rsidR="003E12DE" w:rsidRPr="00610904" w:rsidRDefault="003E12DE" w:rsidP="00610904">
      <w:pPr>
        <w:tabs>
          <w:tab w:val="left" w:pos="709"/>
        </w:tabs>
        <w:rPr>
          <w:noProof w:val="0"/>
          <w:szCs w:val="20"/>
          <w:lang w:val="en-US"/>
        </w:rPr>
      </w:pPr>
    </w:p>
    <w:p w:rsidR="003571AD" w:rsidRPr="00610904" w:rsidRDefault="003571AD"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For example, I will use the other methods of interpretation to show that, instead of upholding </w:t>
      </w:r>
      <w:r w:rsidR="00864DEB">
        <w:rPr>
          <w:noProof w:val="0"/>
          <w:szCs w:val="20"/>
          <w:lang w:val="en-US"/>
        </w:rPr>
        <w:t xml:space="preserve">the direct justiciability of </w:t>
      </w:r>
      <w:r w:rsidRPr="00610904">
        <w:rPr>
          <w:noProof w:val="0"/>
          <w:szCs w:val="20"/>
          <w:lang w:val="en-US"/>
        </w:rPr>
        <w:t xml:space="preserve">ESCR by means </w:t>
      </w:r>
      <w:r w:rsidR="006E502B" w:rsidRPr="00610904">
        <w:rPr>
          <w:noProof w:val="0"/>
          <w:szCs w:val="20"/>
          <w:lang w:val="en-US"/>
        </w:rPr>
        <w:t>of 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 xml:space="preserve">they support the position that I have been defending in this opinion. The literal interpretation of the two norms: namely,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 and </w:t>
      </w:r>
      <w:r w:rsidRPr="00610904">
        <w:rPr>
          <w:noProof w:val="0"/>
          <w:szCs w:val="20"/>
          <w:lang w:val="en-US"/>
        </w:rPr>
        <w:t>Article 19(</w:t>
      </w:r>
      <w:r w:rsidR="003E12DE" w:rsidRPr="00610904">
        <w:rPr>
          <w:noProof w:val="0"/>
          <w:szCs w:val="20"/>
          <w:lang w:val="en-US"/>
        </w:rPr>
        <w:t>6</w:t>
      </w:r>
      <w:r w:rsidRPr="00610904">
        <w:rPr>
          <w:noProof w:val="0"/>
          <w:szCs w:val="20"/>
          <w:lang w:val="en-US"/>
        </w:rPr>
        <w:t>)</w:t>
      </w:r>
      <w:r w:rsidR="003E12DE" w:rsidRPr="00610904">
        <w:rPr>
          <w:noProof w:val="0"/>
          <w:szCs w:val="20"/>
          <w:lang w:val="en-US"/>
        </w:rPr>
        <w:t xml:space="preserve"> </w:t>
      </w:r>
      <w:r w:rsidR="0013395A" w:rsidRPr="00610904">
        <w:rPr>
          <w:noProof w:val="0"/>
          <w:szCs w:val="20"/>
          <w:lang w:val="en-US"/>
        </w:rPr>
        <w:t>of the Protocol</w:t>
      </w:r>
      <w:r w:rsidR="003E12DE" w:rsidRPr="00610904">
        <w:rPr>
          <w:noProof w:val="0"/>
          <w:szCs w:val="20"/>
          <w:lang w:val="en-US"/>
        </w:rPr>
        <w:t xml:space="preserve">, </w:t>
      </w:r>
      <w:r w:rsidR="00DB283F" w:rsidRPr="00610904">
        <w:rPr>
          <w:noProof w:val="0"/>
          <w:szCs w:val="20"/>
          <w:lang w:val="en-US"/>
        </w:rPr>
        <w:t xml:space="preserve">implies </w:t>
      </w:r>
      <w:r w:rsidRPr="00610904">
        <w:rPr>
          <w:noProof w:val="0"/>
          <w:szCs w:val="20"/>
          <w:lang w:val="en-US"/>
        </w:rPr>
        <w:t xml:space="preserve">exactly what I have been doing, and that is </w:t>
      </w:r>
      <w:r w:rsidR="00DB283F" w:rsidRPr="00610904">
        <w:rPr>
          <w:noProof w:val="0"/>
          <w:szCs w:val="20"/>
          <w:lang w:val="en-US"/>
        </w:rPr>
        <w:t xml:space="preserve">to </w:t>
      </w:r>
      <w:r w:rsidRPr="00610904">
        <w:rPr>
          <w:noProof w:val="0"/>
          <w:szCs w:val="20"/>
          <w:lang w:val="en-US"/>
        </w:rPr>
        <w:t xml:space="preserve">conclude that a reading of the two norms reveals that it was not the intention of the States to establish an option of direct justiciability of Article 26 and, to the contrary, in Article 19(6) they determined a </w:t>
      </w:r>
      <w:r w:rsidR="00DB283F" w:rsidRPr="00610904">
        <w:rPr>
          <w:noProof w:val="0"/>
          <w:szCs w:val="20"/>
          <w:lang w:val="en-US"/>
        </w:rPr>
        <w:t>limitation</w:t>
      </w:r>
      <w:r w:rsidRPr="00610904">
        <w:rPr>
          <w:noProof w:val="0"/>
          <w:szCs w:val="20"/>
          <w:lang w:val="en-US"/>
        </w:rPr>
        <w:t xml:space="preserve"> of competence. The literal interpretation refers to the good faith with which</w:t>
      </w:r>
      <w:r w:rsidR="00DB283F" w:rsidRPr="00610904">
        <w:rPr>
          <w:noProof w:val="0"/>
          <w:szCs w:val="20"/>
          <w:lang w:val="en-US"/>
        </w:rPr>
        <w:t xml:space="preserve"> treaties should be interpreted, which </w:t>
      </w:r>
      <w:r w:rsidRPr="00610904">
        <w:rPr>
          <w:noProof w:val="0"/>
          <w:szCs w:val="20"/>
          <w:lang w:val="en-US"/>
        </w:rPr>
        <w:t>is relevant in this regard</w:t>
      </w:r>
      <w:r w:rsidR="00DB283F" w:rsidRPr="00610904">
        <w:rPr>
          <w:noProof w:val="0"/>
          <w:szCs w:val="20"/>
          <w:lang w:val="en-US"/>
        </w:rPr>
        <w:t>,</w:t>
      </w:r>
      <w:r w:rsidRPr="00610904">
        <w:rPr>
          <w:noProof w:val="0"/>
          <w:szCs w:val="20"/>
          <w:lang w:val="en-US"/>
        </w:rPr>
        <w:t xml:space="preserve"> because it would appear that</w:t>
      </w:r>
      <w:r w:rsidR="00DB283F" w:rsidRPr="00610904">
        <w:rPr>
          <w:noProof w:val="0"/>
          <w:szCs w:val="20"/>
          <w:lang w:val="en-US"/>
        </w:rPr>
        <w:t>, in some cases,</w:t>
      </w:r>
      <w:r w:rsidRPr="00610904">
        <w:rPr>
          <w:noProof w:val="0"/>
          <w:szCs w:val="20"/>
          <w:lang w:val="en-US"/>
        </w:rPr>
        <w:t xml:space="preserve"> the </w:t>
      </w:r>
      <w:r w:rsidR="00DB283F" w:rsidRPr="00610904">
        <w:rPr>
          <w:noProof w:val="0"/>
          <w:szCs w:val="20"/>
          <w:lang w:val="en-US"/>
        </w:rPr>
        <w:t>aim</w:t>
      </w:r>
      <w:r w:rsidRPr="00610904">
        <w:rPr>
          <w:noProof w:val="0"/>
          <w:szCs w:val="20"/>
          <w:lang w:val="en-US"/>
        </w:rPr>
        <w:t xml:space="preserve"> of reach</w:t>
      </w:r>
      <w:r w:rsidR="00DB283F" w:rsidRPr="00610904">
        <w:rPr>
          <w:noProof w:val="0"/>
          <w:szCs w:val="20"/>
          <w:lang w:val="en-US"/>
        </w:rPr>
        <w:t>ing a specific resu</w:t>
      </w:r>
      <w:r w:rsidRPr="00610904">
        <w:rPr>
          <w:noProof w:val="0"/>
          <w:szCs w:val="20"/>
          <w:lang w:val="en-US"/>
        </w:rPr>
        <w:t xml:space="preserve">lt </w:t>
      </w:r>
      <w:r w:rsidR="00DB283F" w:rsidRPr="00610904">
        <w:rPr>
          <w:noProof w:val="0"/>
          <w:szCs w:val="20"/>
          <w:lang w:val="en-US"/>
        </w:rPr>
        <w:t>leads to confusing</w:t>
      </w:r>
      <w:r w:rsidRPr="00610904">
        <w:rPr>
          <w:noProof w:val="0"/>
          <w:szCs w:val="20"/>
          <w:lang w:val="en-US"/>
        </w:rPr>
        <w:t xml:space="preserve"> the literal meaning of the norm or </w:t>
      </w:r>
      <w:r w:rsidR="00DB283F" w:rsidRPr="00610904">
        <w:rPr>
          <w:noProof w:val="0"/>
          <w:szCs w:val="20"/>
          <w:lang w:val="en-US"/>
        </w:rPr>
        <w:t>to</w:t>
      </w:r>
      <w:r w:rsidRPr="00610904">
        <w:rPr>
          <w:noProof w:val="0"/>
          <w:szCs w:val="20"/>
          <w:lang w:val="en-US"/>
        </w:rPr>
        <w:t xml:space="preserve"> disregarding norms or factors that are relevant for the interpretation.</w:t>
      </w:r>
    </w:p>
    <w:p w:rsidR="003E12DE" w:rsidRPr="00610904" w:rsidRDefault="003E12DE" w:rsidP="00610904">
      <w:pPr>
        <w:pStyle w:val="ListParagraph"/>
        <w:tabs>
          <w:tab w:val="left" w:pos="709"/>
        </w:tabs>
        <w:rPr>
          <w:noProof w:val="0"/>
          <w:szCs w:val="20"/>
          <w:lang w:val="en-US"/>
        </w:rPr>
      </w:pPr>
    </w:p>
    <w:p w:rsidR="003E12DE" w:rsidRPr="00610904" w:rsidRDefault="003571AD"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Regarding the systematic interpretation, in order to determine the scope of </w:t>
      </w:r>
      <w:r w:rsidR="006E502B"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Pr="00610904">
        <w:rPr>
          <w:noProof w:val="0"/>
          <w:szCs w:val="20"/>
          <w:lang w:val="en-US"/>
        </w:rPr>
        <w:t xml:space="preserve">, the provisions of the Protocol should not be forgotten, because, as I mentioned previously, the two treaties must be read together. Accordingly, a systematic interpretation that only uses the other articles </w:t>
      </w:r>
      <w:r w:rsidR="009F3D78" w:rsidRPr="00610904">
        <w:rPr>
          <w:noProof w:val="0"/>
          <w:szCs w:val="20"/>
          <w:lang w:val="en-US"/>
        </w:rPr>
        <w:t>of the Convention</w:t>
      </w:r>
      <w:r w:rsidR="003E12DE" w:rsidRPr="00610904">
        <w:rPr>
          <w:noProof w:val="0"/>
          <w:szCs w:val="20"/>
          <w:lang w:val="en-US"/>
        </w:rPr>
        <w:t xml:space="preserve"> </w:t>
      </w:r>
      <w:r w:rsidRPr="00610904">
        <w:rPr>
          <w:noProof w:val="0"/>
          <w:szCs w:val="20"/>
          <w:lang w:val="en-US"/>
        </w:rPr>
        <w:t>c</w:t>
      </w:r>
      <w:r w:rsidR="00C340A4" w:rsidRPr="00610904">
        <w:rPr>
          <w:noProof w:val="0"/>
          <w:szCs w:val="20"/>
          <w:lang w:val="en-US"/>
        </w:rPr>
        <w:t>a</w:t>
      </w:r>
      <w:r w:rsidRPr="00610904">
        <w:rPr>
          <w:noProof w:val="0"/>
          <w:szCs w:val="20"/>
          <w:lang w:val="en-US"/>
        </w:rPr>
        <w:t xml:space="preserve">nnot be considered valid. In addition, some authors indicate that a systematic interpretation based on </w:t>
      </w:r>
      <w:r w:rsidR="009F3D78" w:rsidRPr="00610904">
        <w:rPr>
          <w:noProof w:val="0"/>
          <w:szCs w:val="20"/>
          <w:lang w:val="en-US"/>
        </w:rPr>
        <w:t>Article</w:t>
      </w:r>
      <w:r w:rsidR="003E12DE" w:rsidRPr="00610904">
        <w:rPr>
          <w:noProof w:val="0"/>
          <w:szCs w:val="20"/>
          <w:lang w:val="en-US"/>
        </w:rPr>
        <w:t xml:space="preserve"> 4 </w:t>
      </w:r>
      <w:r w:rsidR="0013395A" w:rsidRPr="00610904">
        <w:rPr>
          <w:noProof w:val="0"/>
          <w:szCs w:val="20"/>
          <w:lang w:val="en-US"/>
        </w:rPr>
        <w:t>of the Protocol</w:t>
      </w:r>
      <w:r w:rsidR="003E12DE" w:rsidRPr="00610904">
        <w:rPr>
          <w:noProof w:val="0"/>
          <w:szCs w:val="20"/>
          <w:lang w:val="en-US"/>
        </w:rPr>
        <w:t xml:space="preserve"> </w:t>
      </w:r>
      <w:r w:rsidRPr="00610904">
        <w:rPr>
          <w:noProof w:val="0"/>
          <w:szCs w:val="20"/>
          <w:lang w:val="en-US"/>
        </w:rPr>
        <w:t xml:space="preserve">could lead to the conclusions that </w:t>
      </w:r>
      <w:r w:rsidR="006E502B" w:rsidRPr="00610904">
        <w:rPr>
          <w:noProof w:val="0"/>
          <w:szCs w:val="20"/>
          <w:lang w:val="en-US"/>
        </w:rPr>
        <w:t>Article</w:t>
      </w:r>
      <w:r w:rsidRPr="00610904">
        <w:rPr>
          <w:noProof w:val="0"/>
          <w:szCs w:val="20"/>
          <w:lang w:val="en-US"/>
        </w:rPr>
        <w:t xml:space="preserve"> 19(</w:t>
      </w:r>
      <w:r w:rsidR="003E12DE" w:rsidRPr="00610904">
        <w:rPr>
          <w:noProof w:val="0"/>
          <w:szCs w:val="20"/>
          <w:lang w:val="en-US"/>
        </w:rPr>
        <w:t>6</w:t>
      </w:r>
      <w:r w:rsidRPr="00610904">
        <w:rPr>
          <w:noProof w:val="0"/>
          <w:szCs w:val="20"/>
          <w:lang w:val="en-US"/>
        </w:rPr>
        <w:t>)</w:t>
      </w:r>
      <w:r w:rsidR="003E12DE" w:rsidRPr="00610904">
        <w:rPr>
          <w:noProof w:val="0"/>
          <w:szCs w:val="20"/>
          <w:lang w:val="en-US"/>
        </w:rPr>
        <w:t xml:space="preserve"> </w:t>
      </w:r>
      <w:r w:rsidR="0013395A" w:rsidRPr="00610904">
        <w:rPr>
          <w:noProof w:val="0"/>
          <w:szCs w:val="20"/>
          <w:lang w:val="en-US"/>
        </w:rPr>
        <w:t>of the Protocol</w:t>
      </w:r>
      <w:r w:rsidRPr="00610904">
        <w:rPr>
          <w:noProof w:val="0"/>
          <w:szCs w:val="20"/>
          <w:lang w:val="en-US"/>
        </w:rPr>
        <w:t xml:space="preserve"> is inapplicable</w:t>
      </w:r>
      <w:r w:rsidR="003E12DE" w:rsidRPr="00610904">
        <w:rPr>
          <w:noProof w:val="0"/>
          <w:szCs w:val="20"/>
          <w:lang w:val="en-US"/>
        </w:rPr>
        <w:t xml:space="preserve">. </w:t>
      </w:r>
      <w:r w:rsidRPr="00610904">
        <w:rPr>
          <w:noProof w:val="0"/>
          <w:szCs w:val="20"/>
          <w:lang w:val="en-US"/>
        </w:rPr>
        <w:t>In this</w:t>
      </w:r>
      <w:r w:rsidR="00C340A4" w:rsidRPr="00610904">
        <w:rPr>
          <w:noProof w:val="0"/>
          <w:szCs w:val="20"/>
          <w:lang w:val="en-US"/>
        </w:rPr>
        <w:t xml:space="preserve"> regard, the said article stipu</w:t>
      </w:r>
      <w:r w:rsidRPr="00610904">
        <w:rPr>
          <w:noProof w:val="0"/>
          <w:szCs w:val="20"/>
          <w:lang w:val="en-US"/>
        </w:rPr>
        <w:t>l</w:t>
      </w:r>
      <w:r w:rsidR="00C340A4" w:rsidRPr="00610904">
        <w:rPr>
          <w:noProof w:val="0"/>
          <w:szCs w:val="20"/>
          <w:lang w:val="en-US"/>
        </w:rPr>
        <w:t>a</w:t>
      </w:r>
      <w:r w:rsidRPr="00610904">
        <w:rPr>
          <w:noProof w:val="0"/>
          <w:szCs w:val="20"/>
          <w:lang w:val="en-US"/>
        </w:rPr>
        <w:t>tes that: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A8072E" w:rsidP="00610904">
      <w:pPr>
        <w:shd w:val="clear" w:color="auto" w:fill="FFFFFF"/>
        <w:tabs>
          <w:tab w:val="left" w:pos="709"/>
        </w:tabs>
        <w:ind w:left="426" w:right="333"/>
        <w:jc w:val="center"/>
        <w:rPr>
          <w:rFonts w:eastAsia="Times New Roman"/>
          <w:noProof w:val="0"/>
          <w:color w:val="000000"/>
          <w:sz w:val="16"/>
          <w:szCs w:val="16"/>
          <w:lang w:val="en-US" w:eastAsia="es-CR"/>
        </w:rPr>
      </w:pPr>
      <w:r w:rsidRPr="00610904">
        <w:rPr>
          <w:rFonts w:eastAsia="Times New Roman" w:cs="Tahoma"/>
          <w:b/>
          <w:bCs/>
          <w:noProof w:val="0"/>
          <w:color w:val="000000"/>
          <w:sz w:val="16"/>
          <w:szCs w:val="16"/>
          <w:lang w:val="en-US" w:eastAsia="es-CR"/>
        </w:rPr>
        <w:t>Article</w:t>
      </w:r>
      <w:r w:rsidR="003E12DE" w:rsidRPr="00610904">
        <w:rPr>
          <w:rFonts w:eastAsia="Times New Roman" w:cs="Tahoma"/>
          <w:b/>
          <w:bCs/>
          <w:noProof w:val="0"/>
          <w:color w:val="000000"/>
          <w:sz w:val="16"/>
          <w:szCs w:val="16"/>
          <w:lang w:val="en-US" w:eastAsia="es-CR"/>
        </w:rPr>
        <w:t xml:space="preserve"> 4</w:t>
      </w:r>
    </w:p>
    <w:p w:rsidR="003E12DE" w:rsidRPr="00610904" w:rsidRDefault="003571AD" w:rsidP="00610904">
      <w:pPr>
        <w:shd w:val="clear" w:color="auto" w:fill="FFFFFF"/>
        <w:tabs>
          <w:tab w:val="left" w:pos="709"/>
        </w:tabs>
        <w:ind w:left="426" w:right="333"/>
        <w:jc w:val="center"/>
        <w:rPr>
          <w:rFonts w:cs="Tahoma"/>
          <w:b/>
          <w:bCs/>
          <w:noProof w:val="0"/>
          <w:sz w:val="16"/>
          <w:szCs w:val="16"/>
          <w:lang w:val="en-US"/>
        </w:rPr>
      </w:pPr>
      <w:r w:rsidRPr="00610904">
        <w:rPr>
          <w:rFonts w:cs="Tahoma"/>
          <w:b/>
          <w:bCs/>
          <w:noProof w:val="0"/>
          <w:sz w:val="16"/>
          <w:szCs w:val="16"/>
          <w:lang w:val="en-US"/>
        </w:rPr>
        <w:t>Inadmissibility of Restrictions</w:t>
      </w:r>
    </w:p>
    <w:p w:rsidR="003571AD" w:rsidRPr="00610904" w:rsidRDefault="003571AD" w:rsidP="00610904">
      <w:pPr>
        <w:shd w:val="clear" w:color="auto" w:fill="FFFFFF"/>
        <w:tabs>
          <w:tab w:val="left" w:pos="709"/>
        </w:tabs>
        <w:ind w:left="426" w:right="333"/>
        <w:jc w:val="center"/>
        <w:rPr>
          <w:rFonts w:eastAsia="Times New Roman"/>
          <w:noProof w:val="0"/>
          <w:color w:val="000000"/>
          <w:sz w:val="16"/>
          <w:szCs w:val="16"/>
          <w:lang w:val="en-US" w:eastAsia="es-CR"/>
        </w:rPr>
      </w:pPr>
    </w:p>
    <w:p w:rsidR="003E12DE" w:rsidRPr="00610904" w:rsidRDefault="003571AD" w:rsidP="00610904">
      <w:pPr>
        <w:shd w:val="clear" w:color="auto" w:fill="FFFFFF"/>
        <w:tabs>
          <w:tab w:val="left" w:pos="709"/>
        </w:tabs>
        <w:ind w:left="426" w:right="333"/>
        <w:rPr>
          <w:rFonts w:eastAsia="Times New Roman"/>
          <w:noProof w:val="0"/>
          <w:color w:val="000000"/>
          <w:sz w:val="16"/>
          <w:szCs w:val="16"/>
          <w:lang w:val="en-US" w:eastAsia="es-CR"/>
        </w:rPr>
      </w:pPr>
      <w:r w:rsidRPr="00610904">
        <w:rPr>
          <w:rFonts w:cs="Tahoma"/>
          <w:bCs/>
          <w:noProof w:val="0"/>
          <w:sz w:val="16"/>
          <w:szCs w:val="16"/>
          <w:lang w:val="en-US"/>
        </w:rPr>
        <w:t>A right which is recognized or in effect in a State by virtue of its internal legislation or international conventions may not be restricted or curtailed on the pretext that this Protocol does not recognize the right or recognizes it to a lesser degree.</w:t>
      </w:r>
    </w:p>
    <w:p w:rsidR="003E12DE" w:rsidRPr="00610904" w:rsidRDefault="003E12DE" w:rsidP="00610904">
      <w:pPr>
        <w:shd w:val="clear" w:color="auto" w:fill="FFFFFF"/>
        <w:tabs>
          <w:tab w:val="left" w:pos="709"/>
        </w:tabs>
        <w:ind w:left="426" w:right="333"/>
        <w:rPr>
          <w:rFonts w:eastAsia="Times New Roman"/>
          <w:noProof w:val="0"/>
          <w:color w:val="000000"/>
          <w:sz w:val="16"/>
          <w:szCs w:val="16"/>
          <w:lang w:val="en-US" w:eastAsia="es-CR"/>
        </w:rPr>
      </w:pPr>
    </w:p>
    <w:p w:rsidR="003E12DE" w:rsidRPr="00610904" w:rsidRDefault="006D092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In this regard, I consider that this article would be applicable if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Pr="00610904">
        <w:rPr>
          <w:noProof w:val="0"/>
          <w:szCs w:val="20"/>
          <w:lang w:val="en-US"/>
        </w:rPr>
        <w:t xml:space="preserve"> had stipulated a list where the ESCR were clearly established, but, as I have already indicated, this is not so; hence, it cannot be argued that </w:t>
      </w:r>
      <w:r w:rsidR="00C340A4" w:rsidRPr="00610904">
        <w:rPr>
          <w:noProof w:val="0"/>
          <w:szCs w:val="20"/>
          <w:lang w:val="en-US"/>
        </w:rPr>
        <w:t>the two norms compete with each other</w:t>
      </w:r>
      <w:r w:rsidRPr="00610904">
        <w:rPr>
          <w:noProof w:val="0"/>
          <w:szCs w:val="20"/>
          <w:lang w:val="en-US"/>
        </w:rPr>
        <w:t xml:space="preserve">. In addition, it would not be logical to think that </w:t>
      </w:r>
      <w:r w:rsidR="00C340A4" w:rsidRPr="00610904">
        <w:rPr>
          <w:noProof w:val="0"/>
          <w:szCs w:val="20"/>
          <w:lang w:val="en-US"/>
        </w:rPr>
        <w:t>Article 26</w:t>
      </w:r>
      <w:r w:rsidRPr="00610904">
        <w:rPr>
          <w:noProof w:val="0"/>
          <w:szCs w:val="20"/>
          <w:lang w:val="en-US"/>
        </w:rPr>
        <w:t xml:space="preserve"> cancels or annuls the </w:t>
      </w:r>
      <w:r w:rsidR="00C340A4" w:rsidRPr="00610904">
        <w:rPr>
          <w:noProof w:val="0"/>
          <w:szCs w:val="20"/>
          <w:lang w:val="en-US"/>
        </w:rPr>
        <w:t xml:space="preserve">limitation </w:t>
      </w:r>
      <w:r w:rsidRPr="00610904">
        <w:rPr>
          <w:noProof w:val="0"/>
          <w:szCs w:val="20"/>
          <w:lang w:val="en-US"/>
        </w:rPr>
        <w:t>of competence under Article 19(6)</w:t>
      </w:r>
      <w:r w:rsidR="003E12DE" w:rsidRPr="00610904">
        <w:rPr>
          <w:noProof w:val="0"/>
          <w:szCs w:val="20"/>
          <w:lang w:val="en-US"/>
        </w:rPr>
        <w:t xml:space="preserve">, </w:t>
      </w:r>
      <w:r w:rsidRPr="00610904">
        <w:rPr>
          <w:noProof w:val="0"/>
          <w:szCs w:val="20"/>
          <w:lang w:val="en-US"/>
        </w:rPr>
        <w:t>because this does not</w:t>
      </w:r>
      <w:r w:rsidR="00C340A4" w:rsidRPr="00610904">
        <w:rPr>
          <w:noProof w:val="0"/>
          <w:szCs w:val="20"/>
          <w:lang w:val="en-US"/>
        </w:rPr>
        <w:t xml:space="preserve"> restrict</w:t>
      </w:r>
      <w:r w:rsidRPr="00610904">
        <w:rPr>
          <w:noProof w:val="0"/>
          <w:szCs w:val="20"/>
          <w:lang w:val="en-US"/>
        </w:rPr>
        <w:t xml:space="preserve"> rights, but rather </w:t>
      </w:r>
      <w:r w:rsidR="00C340A4" w:rsidRPr="00610904">
        <w:rPr>
          <w:noProof w:val="0"/>
          <w:szCs w:val="20"/>
          <w:lang w:val="en-US"/>
        </w:rPr>
        <w:t xml:space="preserve">limits the </w:t>
      </w:r>
      <w:r w:rsidRPr="00610904">
        <w:rPr>
          <w:noProof w:val="0"/>
          <w:szCs w:val="20"/>
          <w:lang w:val="en-US"/>
        </w:rPr>
        <w:t xml:space="preserve">competences </w:t>
      </w:r>
      <w:r w:rsidR="003309BE" w:rsidRPr="00610904">
        <w:rPr>
          <w:noProof w:val="0"/>
          <w:szCs w:val="20"/>
          <w:lang w:val="en-US"/>
        </w:rPr>
        <w:t xml:space="preserve">of the </w:t>
      </w:r>
      <w:r w:rsidR="002F5BBA" w:rsidRPr="00610904">
        <w:rPr>
          <w:noProof w:val="0"/>
          <w:szCs w:val="20"/>
          <w:lang w:val="en-US"/>
        </w:rPr>
        <w:t>Commission</w:t>
      </w:r>
      <w:r w:rsidR="009F3D78" w:rsidRPr="00610904">
        <w:rPr>
          <w:noProof w:val="0"/>
          <w:szCs w:val="20"/>
          <w:lang w:val="en-US"/>
        </w:rPr>
        <w:t xml:space="preserve"> and of the Court</w:t>
      </w:r>
      <w:r w:rsidR="003E12DE" w:rsidRPr="00610904">
        <w:rPr>
          <w:noProof w:val="0"/>
          <w:szCs w:val="20"/>
          <w:lang w:val="en-US"/>
        </w:rPr>
        <w:t xml:space="preserve">. </w:t>
      </w:r>
      <w:r w:rsidRPr="00610904">
        <w:rPr>
          <w:noProof w:val="0"/>
          <w:szCs w:val="20"/>
          <w:lang w:val="en-US"/>
        </w:rPr>
        <w:t xml:space="preserve">Confusing the </w:t>
      </w:r>
      <w:r w:rsidR="00C340A4" w:rsidRPr="00610904">
        <w:rPr>
          <w:noProof w:val="0"/>
          <w:szCs w:val="20"/>
          <w:lang w:val="en-US"/>
        </w:rPr>
        <w:t>restriction</w:t>
      </w:r>
      <w:r w:rsidRPr="00610904">
        <w:rPr>
          <w:noProof w:val="0"/>
          <w:szCs w:val="20"/>
          <w:lang w:val="en-US"/>
        </w:rPr>
        <w:t xml:space="preserve"> of a right with the </w:t>
      </w:r>
      <w:r w:rsidR="00C340A4" w:rsidRPr="00610904">
        <w:rPr>
          <w:noProof w:val="0"/>
          <w:szCs w:val="20"/>
          <w:lang w:val="en-US"/>
        </w:rPr>
        <w:t>limitation</w:t>
      </w:r>
      <w:r w:rsidRPr="00610904">
        <w:rPr>
          <w:noProof w:val="0"/>
          <w:szCs w:val="20"/>
          <w:lang w:val="en-US"/>
        </w:rPr>
        <w:t xml:space="preserve"> of competences could lead to the absurd result of opening</w:t>
      </w:r>
      <w:r w:rsidR="00C340A4" w:rsidRPr="00610904">
        <w:rPr>
          <w:noProof w:val="0"/>
          <w:szCs w:val="20"/>
          <w:lang w:val="en-US"/>
        </w:rPr>
        <w:t xml:space="preserve"> up</w:t>
      </w:r>
      <w:r w:rsidRPr="00610904">
        <w:rPr>
          <w:noProof w:val="0"/>
          <w:szCs w:val="20"/>
          <w:lang w:val="en-US"/>
        </w:rPr>
        <w:t xml:space="preserve"> the </w:t>
      </w:r>
      <w:r w:rsidR="00C340A4" w:rsidRPr="00610904">
        <w:rPr>
          <w:noProof w:val="0"/>
          <w:szCs w:val="20"/>
          <w:lang w:val="en-US"/>
        </w:rPr>
        <w:t xml:space="preserve">Court’s </w:t>
      </w:r>
      <w:r w:rsidRPr="00610904">
        <w:rPr>
          <w:noProof w:val="0"/>
          <w:szCs w:val="20"/>
          <w:lang w:val="en-US"/>
        </w:rPr>
        <w:t>competence completely, even contrary to the wishes of the States</w:t>
      </w:r>
      <w:r w:rsidR="003E12DE" w:rsidRPr="00610904">
        <w:rPr>
          <w:noProof w:val="0"/>
          <w:szCs w:val="20"/>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6D092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With regard to the </w:t>
      </w:r>
      <w:r w:rsidR="00C340A4" w:rsidRPr="00610904">
        <w:rPr>
          <w:noProof w:val="0"/>
          <w:szCs w:val="20"/>
          <w:lang w:val="en-US"/>
        </w:rPr>
        <w:t xml:space="preserve">teleological or </w:t>
      </w:r>
      <w:r w:rsidRPr="00610904">
        <w:rPr>
          <w:noProof w:val="0"/>
          <w:szCs w:val="20"/>
          <w:lang w:val="en-US"/>
        </w:rPr>
        <w:t xml:space="preserve">purposive interpretation, it has been affirmed that this method favors </w:t>
      </w:r>
      <w:r w:rsidR="00864DEB">
        <w:rPr>
          <w:noProof w:val="0"/>
          <w:szCs w:val="20"/>
          <w:lang w:val="en-US"/>
        </w:rPr>
        <w:t>the direct justiciability of</w:t>
      </w:r>
      <w:r w:rsidRPr="00610904">
        <w:rPr>
          <w:noProof w:val="0"/>
          <w:szCs w:val="20"/>
          <w:lang w:val="en-US"/>
        </w:rPr>
        <w:t xml:space="preserve"> ESCR</w:t>
      </w:r>
      <w:r w:rsidR="00C340A4" w:rsidRPr="00610904">
        <w:rPr>
          <w:noProof w:val="0"/>
          <w:szCs w:val="20"/>
          <w:lang w:val="en-US"/>
        </w:rPr>
        <w:t xml:space="preserve"> in two ways</w:t>
      </w:r>
      <w:r w:rsidRPr="00610904">
        <w:rPr>
          <w:noProof w:val="0"/>
          <w:szCs w:val="20"/>
          <w:lang w:val="en-US"/>
        </w:rPr>
        <w:t>: (i) the ultimate purpose of the inter-American system is the protection of human rights and this means trying to make the greatest possible number of rights enforceable, and (ii) when Article 26 of the Convention was established, the States</w:t>
      </w:r>
      <w:r w:rsidR="00C340A4" w:rsidRPr="00610904">
        <w:rPr>
          <w:noProof w:val="0"/>
          <w:szCs w:val="20"/>
          <w:lang w:val="en-US"/>
        </w:rPr>
        <w:t>’ intention</w:t>
      </w:r>
      <w:r w:rsidRPr="00610904">
        <w:rPr>
          <w:noProof w:val="0"/>
          <w:szCs w:val="20"/>
          <w:lang w:val="en-US"/>
        </w:rPr>
        <w:t xml:space="preserve"> was not to exclude the possibility of t</w:t>
      </w:r>
      <w:r w:rsidR="00864DEB">
        <w:rPr>
          <w:noProof w:val="0"/>
          <w:szCs w:val="20"/>
          <w:lang w:val="en-US"/>
        </w:rPr>
        <w:t>he direct enforceability of</w:t>
      </w:r>
      <w:r w:rsidR="00C340A4" w:rsidRPr="00610904">
        <w:rPr>
          <w:noProof w:val="0"/>
          <w:szCs w:val="20"/>
          <w:lang w:val="en-US"/>
        </w:rPr>
        <w:t xml:space="preserve"> </w:t>
      </w:r>
      <w:r w:rsidRPr="00610904">
        <w:rPr>
          <w:noProof w:val="0"/>
          <w:szCs w:val="20"/>
          <w:lang w:val="en-US"/>
        </w:rPr>
        <w:t xml:space="preserve">ESCR. Regarding the first </w:t>
      </w:r>
      <w:r w:rsidR="00C340A4" w:rsidRPr="00610904">
        <w:rPr>
          <w:noProof w:val="0"/>
          <w:szCs w:val="20"/>
          <w:lang w:val="en-US"/>
        </w:rPr>
        <w:t xml:space="preserve">affirmation, </w:t>
      </w:r>
      <w:r w:rsidRPr="00610904">
        <w:rPr>
          <w:noProof w:val="0"/>
          <w:szCs w:val="20"/>
          <w:lang w:val="en-US"/>
        </w:rPr>
        <w:t xml:space="preserve">it should be pointed out that the Protocol of San Salvador had the </w:t>
      </w:r>
      <w:r w:rsidR="00C340A4" w:rsidRPr="00610904">
        <w:rPr>
          <w:noProof w:val="0"/>
          <w:szCs w:val="20"/>
          <w:lang w:val="en-US"/>
        </w:rPr>
        <w:t>specific</w:t>
      </w:r>
      <w:r w:rsidRPr="00610904">
        <w:rPr>
          <w:noProof w:val="0"/>
          <w:szCs w:val="20"/>
          <w:lang w:val="en-US"/>
        </w:rPr>
        <w:t xml:space="preserve"> purpose of incorporating the ESCR into the inter-American system more </w:t>
      </w:r>
      <w:r w:rsidR="00C340A4" w:rsidRPr="00610904">
        <w:rPr>
          <w:noProof w:val="0"/>
          <w:szCs w:val="20"/>
          <w:lang w:val="en-US"/>
        </w:rPr>
        <w:t>precisely,</w:t>
      </w:r>
      <w:r w:rsidRPr="00610904">
        <w:rPr>
          <w:noProof w:val="0"/>
          <w:szCs w:val="20"/>
          <w:lang w:val="en-US"/>
        </w:rPr>
        <w:t xml:space="preserve"> and expanding the system’s sphere of protection, so that it is not fair to</w:t>
      </w:r>
      <w:r w:rsidR="00C340A4" w:rsidRPr="00610904">
        <w:rPr>
          <w:noProof w:val="0"/>
          <w:szCs w:val="20"/>
          <w:lang w:val="en-US"/>
        </w:rPr>
        <w:t xml:space="preserve"> situate</w:t>
      </w:r>
      <w:r w:rsidRPr="00610904">
        <w:rPr>
          <w:noProof w:val="0"/>
          <w:szCs w:val="20"/>
          <w:lang w:val="en-US"/>
        </w:rPr>
        <w:t xml:space="preserve"> the Protocol as a treaty that would </w:t>
      </w:r>
      <w:r w:rsidR="00C340A4" w:rsidRPr="00610904">
        <w:rPr>
          <w:noProof w:val="0"/>
          <w:szCs w:val="20"/>
          <w:lang w:val="en-US"/>
        </w:rPr>
        <w:t>contravene</w:t>
      </w:r>
      <w:r w:rsidRPr="00610904">
        <w:rPr>
          <w:noProof w:val="0"/>
          <w:szCs w:val="20"/>
          <w:lang w:val="en-US"/>
        </w:rPr>
        <w:t xml:space="preserve"> the purpose of the inter-American system</w:t>
      </w:r>
      <w:r w:rsidR="00C340A4" w:rsidRPr="00610904">
        <w:rPr>
          <w:noProof w:val="0"/>
          <w:szCs w:val="20"/>
          <w:lang w:val="en-US"/>
        </w:rPr>
        <w:t xml:space="preserve"> simply by </w:t>
      </w:r>
      <w:r w:rsidRPr="00610904">
        <w:rPr>
          <w:noProof w:val="0"/>
          <w:szCs w:val="20"/>
          <w:lang w:val="en-US"/>
        </w:rPr>
        <w:t xml:space="preserve">establishing rules of competence. In addition, on this point it should be </w:t>
      </w:r>
      <w:r w:rsidR="00856968" w:rsidRPr="00610904">
        <w:rPr>
          <w:noProof w:val="0"/>
          <w:szCs w:val="20"/>
          <w:lang w:val="en-US"/>
        </w:rPr>
        <w:t>stressed</w:t>
      </w:r>
      <w:r w:rsidRPr="00610904">
        <w:rPr>
          <w:noProof w:val="0"/>
          <w:szCs w:val="20"/>
          <w:lang w:val="en-US"/>
        </w:rPr>
        <w:t xml:space="preserve"> that “[i]f the ordinary meaning of a provision is clear in not granting jurisdiction to the IAS bodies, the object and purpose of the Convent</w:t>
      </w:r>
      <w:r w:rsidR="00C340A4" w:rsidRPr="00610904">
        <w:rPr>
          <w:noProof w:val="0"/>
          <w:szCs w:val="20"/>
          <w:lang w:val="en-US"/>
        </w:rPr>
        <w:t>ion cannot be used to overthrow</w:t>
      </w:r>
      <w:r w:rsidRPr="00610904">
        <w:rPr>
          <w:noProof w:val="0"/>
          <w:szCs w:val="20"/>
          <w:lang w:val="en-US"/>
        </w:rPr>
        <w:t xml:space="preserve"> that result.</w:t>
      </w:r>
      <w:r w:rsidR="003E12DE" w:rsidRPr="00610904">
        <w:rPr>
          <w:noProof w:val="0"/>
          <w:szCs w:val="20"/>
          <w:lang w:val="en-US"/>
        </w:rPr>
        <w:t>”</w:t>
      </w:r>
      <w:r w:rsidR="003E12DE" w:rsidRPr="00610904">
        <w:rPr>
          <w:rStyle w:val="FootnoteReference"/>
          <w:noProof w:val="0"/>
          <w:lang w:val="en-US"/>
        </w:rPr>
        <w:footnoteReference w:id="453"/>
      </w:r>
    </w:p>
    <w:p w:rsidR="003E12DE" w:rsidRPr="00610904" w:rsidRDefault="003E12DE" w:rsidP="00610904">
      <w:pPr>
        <w:pStyle w:val="ListParagraph"/>
        <w:tabs>
          <w:tab w:val="left" w:pos="709"/>
        </w:tabs>
        <w:rPr>
          <w:noProof w:val="0"/>
          <w:szCs w:val="20"/>
          <w:lang w:val="en-US"/>
        </w:rPr>
      </w:pPr>
    </w:p>
    <w:p w:rsidR="003E12DE" w:rsidRPr="00610904" w:rsidRDefault="006D092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Regarding the second a</w:t>
      </w:r>
      <w:r w:rsidR="00C340A4" w:rsidRPr="00610904">
        <w:rPr>
          <w:noProof w:val="0"/>
          <w:szCs w:val="20"/>
          <w:lang w:val="en-US"/>
        </w:rPr>
        <w:t>ffirmation</w:t>
      </w:r>
      <w:r w:rsidRPr="00610904">
        <w:rPr>
          <w:noProof w:val="0"/>
          <w:szCs w:val="20"/>
          <w:lang w:val="en-US"/>
        </w:rPr>
        <w:t>, although the preparatory work of the treaty is a supplementary means of interpretation</w:t>
      </w:r>
      <w:r w:rsidR="003E12DE" w:rsidRPr="00610904">
        <w:rPr>
          <w:noProof w:val="0"/>
          <w:szCs w:val="20"/>
          <w:lang w:val="en-US"/>
        </w:rPr>
        <w:t xml:space="preserve">, </w:t>
      </w:r>
      <w:r w:rsidRPr="00610904">
        <w:rPr>
          <w:noProof w:val="0"/>
          <w:szCs w:val="20"/>
          <w:lang w:val="en-US"/>
        </w:rPr>
        <w:t xml:space="preserve">in some cases, </w:t>
      </w:r>
      <w:r w:rsidR="009F3D78" w:rsidRPr="00610904">
        <w:rPr>
          <w:noProof w:val="0"/>
          <w:szCs w:val="20"/>
          <w:lang w:val="en-US"/>
        </w:rPr>
        <w:t>the Inter-American Court</w:t>
      </w:r>
      <w:r w:rsidR="003E12DE" w:rsidRPr="00610904">
        <w:rPr>
          <w:noProof w:val="0"/>
          <w:szCs w:val="20"/>
          <w:lang w:val="en-US"/>
        </w:rPr>
        <w:t xml:space="preserve"> </w:t>
      </w:r>
      <w:r w:rsidRPr="00610904">
        <w:rPr>
          <w:noProof w:val="0"/>
          <w:szCs w:val="20"/>
          <w:lang w:val="en-US"/>
        </w:rPr>
        <w:t xml:space="preserve">has used this to try and discern the objective or purpose that the States had when creating the treaty. Thus, in the judgment in the </w:t>
      </w:r>
      <w:r w:rsidR="003E12DE" w:rsidRPr="00610904">
        <w:rPr>
          <w:i/>
          <w:noProof w:val="0"/>
          <w:szCs w:val="20"/>
          <w:lang w:val="en-US"/>
        </w:rPr>
        <w:t>Cas</w:t>
      </w:r>
      <w:r w:rsidRPr="00610904">
        <w:rPr>
          <w:i/>
          <w:noProof w:val="0"/>
          <w:szCs w:val="20"/>
          <w:lang w:val="en-US"/>
        </w:rPr>
        <w:t>e of</w:t>
      </w:r>
      <w:r w:rsidR="003E12DE" w:rsidRPr="00610904">
        <w:rPr>
          <w:noProof w:val="0"/>
          <w:szCs w:val="20"/>
          <w:lang w:val="en-US"/>
        </w:rPr>
        <w:t xml:space="preserve"> </w:t>
      </w:r>
      <w:r w:rsidR="00597512" w:rsidRPr="00610904">
        <w:rPr>
          <w:i/>
          <w:noProof w:val="0"/>
          <w:szCs w:val="20"/>
          <w:lang w:val="en-US"/>
        </w:rPr>
        <w:t>Acevedo Buendía et al. (“Discharged and Retired Employees of the Comptroller’s Office</w:t>
      </w:r>
      <w:r w:rsidRPr="00610904">
        <w:rPr>
          <w:i/>
          <w:noProof w:val="0"/>
          <w:szCs w:val="20"/>
          <w:lang w:val="en-US"/>
        </w:rPr>
        <w:t xml:space="preserve">”) </w:t>
      </w:r>
      <w:r w:rsidR="009F3D78" w:rsidRPr="00610904">
        <w:rPr>
          <w:i/>
          <w:noProof w:val="0"/>
          <w:szCs w:val="20"/>
          <w:lang w:val="en-US"/>
        </w:rPr>
        <w:t>v.</w:t>
      </w:r>
      <w:r w:rsidR="003E12DE" w:rsidRPr="00610904">
        <w:rPr>
          <w:i/>
          <w:noProof w:val="0"/>
          <w:szCs w:val="20"/>
          <w:lang w:val="en-US"/>
        </w:rPr>
        <w:t xml:space="preserve"> Per</w:t>
      </w:r>
      <w:r w:rsidRPr="00610904">
        <w:rPr>
          <w:i/>
          <w:noProof w:val="0"/>
          <w:szCs w:val="20"/>
          <w:lang w:val="en-US"/>
        </w:rPr>
        <w:t>u,</w:t>
      </w:r>
      <w:r w:rsidRPr="00610904">
        <w:rPr>
          <w:noProof w:val="0"/>
          <w:szCs w:val="20"/>
          <w:lang w:val="en-US"/>
        </w:rPr>
        <w:t xml:space="preserve"> the Court referred to the preparatory work with the intention of demonstrating that, perhaps, the State had agreed on the direct justiciability of the ESCR when they discussed </w:t>
      </w:r>
      <w:r w:rsidR="009F3D78"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In this regard, it is worth noting that</w:t>
      </w:r>
      <w:r w:rsidR="003E12DE" w:rsidRPr="00610904">
        <w:rPr>
          <w:noProof w:val="0"/>
          <w:szCs w:val="20"/>
          <w:lang w:val="en-US"/>
        </w:rPr>
        <w: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6D0928" w:rsidP="00610904">
      <w:pPr>
        <w:tabs>
          <w:tab w:val="left" w:pos="709"/>
        </w:tabs>
        <w:ind w:left="426" w:right="283"/>
        <w:rPr>
          <w:noProof w:val="0"/>
          <w:sz w:val="16"/>
          <w:szCs w:val="16"/>
          <w:lang w:val="en-US"/>
        </w:rPr>
      </w:pPr>
      <w:r w:rsidRPr="00610904">
        <w:rPr>
          <w:noProof w:val="0"/>
          <w:sz w:val="16"/>
          <w:szCs w:val="16"/>
          <w:u w:val="single"/>
          <w:lang w:val="en-US"/>
        </w:rPr>
        <w:t xml:space="preserve">The Court put forward the points of view of only those </w:t>
      </w:r>
      <w:r w:rsidR="00610904">
        <w:rPr>
          <w:noProof w:val="0"/>
          <w:sz w:val="16"/>
          <w:szCs w:val="16"/>
          <w:u w:val="single"/>
          <w:lang w:val="en-US"/>
        </w:rPr>
        <w:t>States which tried to materializ</w:t>
      </w:r>
      <w:r w:rsidRPr="00610904">
        <w:rPr>
          <w:noProof w:val="0"/>
          <w:sz w:val="16"/>
          <w:szCs w:val="16"/>
          <w:u w:val="single"/>
          <w:lang w:val="en-US"/>
        </w:rPr>
        <w:t xml:space="preserve">e the exercise of ESC rights by means of the activity of the Court. No mention was made of the countries which opposed the enforceability of ESC rights </w:t>
      </w:r>
      <w:r w:rsidRPr="00610904">
        <w:rPr>
          <w:noProof w:val="0"/>
          <w:sz w:val="16"/>
          <w:szCs w:val="16"/>
          <w:lang w:val="en-US"/>
        </w:rPr>
        <w:t xml:space="preserve">and, more importantly, as Burgorgue-Larsen recalls: nothing was said about the process which ultimately gave rise to the drafting of Article 26 as such. Nor was anything said about the scope the different States were prepared to confer on this article. Does this mean that the article was the result of a compromise, or did it represent those States which were in </w:t>
      </w:r>
      <w:r w:rsidR="00610904" w:rsidRPr="00610904">
        <w:rPr>
          <w:noProof w:val="0"/>
          <w:sz w:val="16"/>
          <w:szCs w:val="16"/>
          <w:lang w:val="en-US"/>
        </w:rPr>
        <w:t>favor</w:t>
      </w:r>
      <w:r w:rsidRPr="00610904">
        <w:rPr>
          <w:noProof w:val="0"/>
          <w:sz w:val="16"/>
          <w:szCs w:val="16"/>
          <w:lang w:val="en-US"/>
        </w:rPr>
        <w:t xml:space="preserve"> of giving economic and social rights such an important place? Clearly, the silences of the Court were part of its strategy to reach its objective, </w:t>
      </w:r>
      <w:proofErr w:type="gramStart"/>
      <w:r w:rsidRPr="00610904">
        <w:rPr>
          <w:noProof w:val="0"/>
          <w:sz w:val="16"/>
          <w:szCs w:val="16"/>
          <w:lang w:val="en-US"/>
        </w:rPr>
        <w:t>come</w:t>
      </w:r>
      <w:proofErr w:type="gramEnd"/>
      <w:r w:rsidRPr="00610904">
        <w:rPr>
          <w:noProof w:val="0"/>
          <w:sz w:val="16"/>
          <w:szCs w:val="16"/>
          <w:lang w:val="en-US"/>
        </w:rPr>
        <w:t xml:space="preserve"> what may, namely conferring the widest scope possible on Article 26. But Brazil and Guatemala aside, </w:t>
      </w:r>
      <w:r w:rsidRPr="00610904">
        <w:rPr>
          <w:noProof w:val="0"/>
          <w:sz w:val="16"/>
          <w:szCs w:val="16"/>
          <w:u w:val="single"/>
          <w:lang w:val="en-US"/>
        </w:rPr>
        <w:t>the preparatory works show just how reluctant the majority of States were to recognize that what was to become Article 26 should be actionable</w:t>
      </w:r>
      <w:r w:rsidR="003E12DE" w:rsidRPr="00610904">
        <w:rPr>
          <w:rStyle w:val="FootnoteReference"/>
          <w:noProof w:val="0"/>
          <w:sz w:val="16"/>
          <w:szCs w:val="16"/>
          <w:lang w:val="en-US"/>
        </w:rPr>
        <w:footnoteReference w:id="454"/>
      </w:r>
      <w:r w:rsidR="003E12DE" w:rsidRPr="00610904">
        <w:rPr>
          <w:noProof w:val="0"/>
          <w:sz w:val="16"/>
          <w:szCs w:val="16"/>
          <w:lang w:val="en-US"/>
        </w:rPr>
        <w:t xml:space="preserve"> (</w:t>
      </w:r>
      <w:r w:rsidRPr="00610904">
        <w:rPr>
          <w:noProof w:val="0"/>
          <w:sz w:val="16"/>
          <w:szCs w:val="16"/>
          <w:lang w:val="en-US"/>
        </w:rPr>
        <w:t>underlining added</w:t>
      </w:r>
      <w:r w:rsidR="003E12DE" w:rsidRPr="00610904">
        <w:rPr>
          <w:noProof w:val="0"/>
          <w:sz w:val="16"/>
          <w:szCs w:val="16"/>
          <w:lang w:val="en-US"/>
        </w:rPr>
        <w:t>)</w:t>
      </w:r>
      <w:r w:rsidRPr="00610904">
        <w:rPr>
          <w:noProof w:val="0"/>
          <w:sz w:val="16"/>
          <w:szCs w:val="16"/>
          <w:lang w:val="en-US"/>
        </w:rPr>
        <w:t>.</w:t>
      </w:r>
    </w:p>
    <w:p w:rsidR="003E12DE" w:rsidRPr="00610904" w:rsidRDefault="003E12DE" w:rsidP="00610904">
      <w:pPr>
        <w:tabs>
          <w:tab w:val="left" w:pos="709"/>
        </w:tabs>
        <w:ind w:left="426" w:right="283"/>
        <w:rPr>
          <w:noProof w:val="0"/>
          <w:sz w:val="16"/>
          <w:szCs w:val="16"/>
          <w:lang w:val="en-US"/>
        </w:rPr>
      </w:pPr>
    </w:p>
    <w:p w:rsidR="003E12DE" w:rsidRPr="00610904" w:rsidRDefault="003E12DE"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Re</w:t>
      </w:r>
      <w:r w:rsidR="006D0928" w:rsidRPr="00610904">
        <w:rPr>
          <w:noProof w:val="0"/>
          <w:szCs w:val="20"/>
          <w:lang w:val="en-US"/>
        </w:rPr>
        <w:t xml:space="preserve">garding the use of comparative law as a means of reinforcing a possible evolutive interpretation in this regard, although it is true that most of the Constitutions of the countries of the region include </w:t>
      </w:r>
      <w:r w:rsidR="00C340A4" w:rsidRPr="00610904">
        <w:rPr>
          <w:noProof w:val="0"/>
          <w:szCs w:val="20"/>
          <w:lang w:val="en-US"/>
        </w:rPr>
        <w:t xml:space="preserve">a </w:t>
      </w:r>
      <w:r w:rsidR="006D0928" w:rsidRPr="00610904">
        <w:rPr>
          <w:noProof w:val="0"/>
          <w:szCs w:val="20"/>
          <w:lang w:val="en-US"/>
        </w:rPr>
        <w:t xml:space="preserve">list of ESCR, and many of them </w:t>
      </w:r>
      <w:r w:rsidR="00C340A4" w:rsidRPr="00610904">
        <w:rPr>
          <w:noProof w:val="0"/>
          <w:szCs w:val="20"/>
          <w:lang w:val="en-US"/>
        </w:rPr>
        <w:t>admit</w:t>
      </w:r>
      <w:r w:rsidR="006D0928" w:rsidRPr="00610904">
        <w:rPr>
          <w:noProof w:val="0"/>
          <w:szCs w:val="20"/>
          <w:lang w:val="en-US"/>
        </w:rPr>
        <w:t xml:space="preserve"> the possi</w:t>
      </w:r>
      <w:r w:rsidR="00C340A4" w:rsidRPr="00610904">
        <w:rPr>
          <w:noProof w:val="0"/>
          <w:szCs w:val="20"/>
          <w:lang w:val="en-US"/>
        </w:rPr>
        <w:t>bility of the</w:t>
      </w:r>
      <w:r w:rsidR="00856968" w:rsidRPr="00610904">
        <w:rPr>
          <w:noProof w:val="0"/>
          <w:szCs w:val="20"/>
          <w:lang w:val="en-US"/>
        </w:rPr>
        <w:t xml:space="preserve"> direct justicia</w:t>
      </w:r>
      <w:r w:rsidR="006D0928" w:rsidRPr="00610904">
        <w:rPr>
          <w:noProof w:val="0"/>
          <w:szCs w:val="20"/>
          <w:lang w:val="en-US"/>
        </w:rPr>
        <w:t>bility</w:t>
      </w:r>
      <w:r w:rsidR="00C340A4" w:rsidRPr="00610904">
        <w:rPr>
          <w:noProof w:val="0"/>
          <w:szCs w:val="20"/>
          <w:lang w:val="en-US"/>
        </w:rPr>
        <w:t xml:space="preserve"> of such rights</w:t>
      </w:r>
      <w:r w:rsidRPr="00610904">
        <w:rPr>
          <w:noProof w:val="0"/>
          <w:szCs w:val="20"/>
          <w:lang w:val="en-US"/>
        </w:rPr>
        <w:t xml:space="preserve">, </w:t>
      </w:r>
      <w:r w:rsidR="006D0928" w:rsidRPr="00610904">
        <w:rPr>
          <w:noProof w:val="0"/>
          <w:szCs w:val="20"/>
          <w:lang w:val="en-US"/>
        </w:rPr>
        <w:t xml:space="preserve">I consider that this is not a sufficient argument to expand the scope </w:t>
      </w:r>
      <w:r w:rsidR="006E502B" w:rsidRPr="00610904">
        <w:rPr>
          <w:noProof w:val="0"/>
          <w:szCs w:val="20"/>
          <w:lang w:val="en-US"/>
        </w:rPr>
        <w:t>of Article</w:t>
      </w:r>
      <w:r w:rsidRPr="00610904">
        <w:rPr>
          <w:noProof w:val="0"/>
          <w:szCs w:val="20"/>
          <w:lang w:val="en-US"/>
        </w:rPr>
        <w:t xml:space="preserve"> 26</w:t>
      </w:r>
      <w:r w:rsidR="009F3D78" w:rsidRPr="00610904">
        <w:rPr>
          <w:noProof w:val="0"/>
          <w:szCs w:val="20"/>
          <w:lang w:val="en-US"/>
        </w:rPr>
        <w:t xml:space="preserve"> of the Convention</w:t>
      </w:r>
      <w:r w:rsidRPr="00610904">
        <w:rPr>
          <w:noProof w:val="0"/>
          <w:szCs w:val="20"/>
          <w:lang w:val="en-US"/>
        </w:rPr>
        <w:t xml:space="preserve">. </w:t>
      </w:r>
      <w:r w:rsidR="006D0928" w:rsidRPr="00610904">
        <w:rPr>
          <w:noProof w:val="0"/>
          <w:szCs w:val="20"/>
          <w:lang w:val="en-US"/>
        </w:rPr>
        <w:t>In this reg</w:t>
      </w:r>
      <w:r w:rsidR="00C340A4" w:rsidRPr="00610904">
        <w:rPr>
          <w:noProof w:val="0"/>
          <w:szCs w:val="20"/>
          <w:lang w:val="en-US"/>
        </w:rPr>
        <w:t>ard, I repeat that</w:t>
      </w:r>
      <w:r w:rsidR="006D0928" w:rsidRPr="00610904">
        <w:rPr>
          <w:noProof w:val="0"/>
          <w:szCs w:val="20"/>
          <w:lang w:val="en-US"/>
        </w:rPr>
        <w:t xml:space="preserve"> it was the States themselves that took the decision not to guarante</w:t>
      </w:r>
      <w:r w:rsidR="00C340A4" w:rsidRPr="00610904">
        <w:rPr>
          <w:noProof w:val="0"/>
          <w:szCs w:val="20"/>
          <w:lang w:val="en-US"/>
        </w:rPr>
        <w:t>e</w:t>
      </w:r>
      <w:r w:rsidR="006D0928" w:rsidRPr="00610904">
        <w:rPr>
          <w:noProof w:val="0"/>
          <w:szCs w:val="20"/>
          <w:lang w:val="en-US"/>
        </w:rPr>
        <w:t xml:space="preserve"> direct justiciability in this article and, </w:t>
      </w:r>
      <w:r w:rsidR="00C340A4" w:rsidRPr="00610904">
        <w:rPr>
          <w:noProof w:val="0"/>
          <w:szCs w:val="20"/>
          <w:lang w:val="en-US"/>
        </w:rPr>
        <w:t>to the contrary, when they estab</w:t>
      </w:r>
      <w:r w:rsidR="006D0928" w:rsidRPr="00610904">
        <w:rPr>
          <w:noProof w:val="0"/>
          <w:szCs w:val="20"/>
          <w:lang w:val="en-US"/>
        </w:rPr>
        <w:t xml:space="preserve">lished a list of rights in the Protocol, they decided to </w:t>
      </w:r>
      <w:r w:rsidR="00C340A4" w:rsidRPr="00610904">
        <w:rPr>
          <w:noProof w:val="0"/>
          <w:szCs w:val="20"/>
          <w:lang w:val="en-US"/>
        </w:rPr>
        <w:t>limit</w:t>
      </w:r>
      <w:r w:rsidR="006D0928" w:rsidRPr="00610904">
        <w:rPr>
          <w:noProof w:val="0"/>
          <w:szCs w:val="20"/>
          <w:lang w:val="en-US"/>
        </w:rPr>
        <w:t xml:space="preserve"> the </w:t>
      </w:r>
      <w:r w:rsidR="00C340A4" w:rsidRPr="00610904">
        <w:rPr>
          <w:noProof w:val="0"/>
          <w:szCs w:val="20"/>
          <w:lang w:val="en-US"/>
        </w:rPr>
        <w:t xml:space="preserve">Court’s </w:t>
      </w:r>
      <w:r w:rsidR="006D0928" w:rsidRPr="00610904">
        <w:rPr>
          <w:noProof w:val="0"/>
          <w:szCs w:val="20"/>
          <w:lang w:val="en-US"/>
        </w:rPr>
        <w:t>competence</w:t>
      </w:r>
      <w:r w:rsidRPr="00610904">
        <w:rPr>
          <w:noProof w:val="0"/>
          <w:szCs w:val="20"/>
          <w:lang w:val="en-US"/>
        </w:rPr>
        <w:t xml:space="preserve">. </w:t>
      </w:r>
      <w:r w:rsidR="006D0928" w:rsidRPr="00610904">
        <w:rPr>
          <w:noProof w:val="0"/>
          <w:szCs w:val="20"/>
          <w:lang w:val="en-US"/>
        </w:rPr>
        <w:t xml:space="preserve">Thus, even though, internally, the State </w:t>
      </w:r>
      <w:proofErr w:type="gramStart"/>
      <w:r w:rsidR="006D0928" w:rsidRPr="00610904">
        <w:rPr>
          <w:noProof w:val="0"/>
          <w:szCs w:val="20"/>
          <w:lang w:val="en-US"/>
        </w:rPr>
        <w:t>have</w:t>
      </w:r>
      <w:proofErr w:type="gramEnd"/>
      <w:r w:rsidR="006D0928" w:rsidRPr="00610904">
        <w:rPr>
          <w:noProof w:val="0"/>
          <w:szCs w:val="20"/>
          <w:lang w:val="en-US"/>
        </w:rPr>
        <w:t xml:space="preserve"> gradually expanded their position, it is not for the Court to modify the intention originally expressed in the Protocol. In this regard, Articles 31, 76 and 77 of </w:t>
      </w:r>
      <w:r w:rsidR="009F3D78" w:rsidRPr="00610904">
        <w:rPr>
          <w:noProof w:val="0"/>
          <w:szCs w:val="20"/>
          <w:lang w:val="en-US"/>
        </w:rPr>
        <w:t>the American Convention</w:t>
      </w:r>
      <w:r w:rsidR="006D0928" w:rsidRPr="00610904">
        <w:rPr>
          <w:noProof w:val="0"/>
          <w:szCs w:val="20"/>
          <w:lang w:val="en-US"/>
        </w:rPr>
        <w:t xml:space="preserve"> determine that, if the States wish to recognize other rights, </w:t>
      </w:r>
      <w:r w:rsidR="00C340A4" w:rsidRPr="00610904">
        <w:rPr>
          <w:noProof w:val="0"/>
          <w:szCs w:val="20"/>
          <w:lang w:val="en-US"/>
        </w:rPr>
        <w:t xml:space="preserve">they may propose </w:t>
      </w:r>
      <w:r w:rsidR="006D0928" w:rsidRPr="00610904">
        <w:rPr>
          <w:noProof w:val="0"/>
          <w:szCs w:val="20"/>
          <w:lang w:val="en-US"/>
        </w:rPr>
        <w:t xml:space="preserve">amendments or protocols that allow this. </w:t>
      </w:r>
      <w:r w:rsidR="006D0928" w:rsidRPr="00610904">
        <w:rPr>
          <w:noProof w:val="0"/>
          <w:szCs w:val="20"/>
          <w:lang w:val="en-US"/>
        </w:rPr>
        <w:lastRenderedPageBreak/>
        <w:t>Accordingly, I agree that “[i]f the States really want to take this issue seriously, it is urgent that they revise the rele</w:t>
      </w:r>
      <w:r w:rsidR="00C340A4" w:rsidRPr="00610904">
        <w:rPr>
          <w:noProof w:val="0"/>
          <w:szCs w:val="20"/>
          <w:lang w:val="en-US"/>
        </w:rPr>
        <w:t>v</w:t>
      </w:r>
      <w:r w:rsidR="006D0928" w:rsidRPr="00610904">
        <w:rPr>
          <w:noProof w:val="0"/>
          <w:szCs w:val="20"/>
          <w:lang w:val="en-US"/>
        </w:rPr>
        <w:t>ant treaties so tha</w:t>
      </w:r>
      <w:r w:rsidR="00C340A4" w:rsidRPr="00610904">
        <w:rPr>
          <w:noProof w:val="0"/>
          <w:szCs w:val="20"/>
          <w:lang w:val="en-US"/>
        </w:rPr>
        <w:t>t it is the States themselves th</w:t>
      </w:r>
      <w:r w:rsidR="006D0928" w:rsidRPr="00610904">
        <w:rPr>
          <w:noProof w:val="0"/>
          <w:szCs w:val="20"/>
          <w:lang w:val="en-US"/>
        </w:rPr>
        <w:t>at decide to update their obligations in this area.</w:t>
      </w:r>
      <w:r w:rsidRPr="00610904">
        <w:rPr>
          <w:noProof w:val="0"/>
          <w:szCs w:val="20"/>
          <w:lang w:val="en-US"/>
        </w:rPr>
        <w:t>”</w:t>
      </w:r>
      <w:r w:rsidRPr="00610904">
        <w:rPr>
          <w:rStyle w:val="FootnoteReference"/>
          <w:noProof w:val="0"/>
          <w:lang w:val="en-US"/>
        </w:rPr>
        <w:footnoteReference w:id="455"/>
      </w:r>
      <w:r w:rsidRPr="00610904">
        <w:rPr>
          <w:noProof w:val="0"/>
          <w:szCs w:val="20"/>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6D092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Meanwhile, some authors have used the </w:t>
      </w:r>
      <w:r w:rsidR="003E12DE" w:rsidRPr="00610904">
        <w:rPr>
          <w:i/>
          <w:noProof w:val="0"/>
          <w:szCs w:val="20"/>
          <w:lang w:val="en-US"/>
        </w:rPr>
        <w:t>pro homine</w:t>
      </w:r>
      <w:r w:rsidRPr="00610904">
        <w:rPr>
          <w:noProof w:val="0"/>
          <w:szCs w:val="20"/>
          <w:lang w:val="en-US"/>
        </w:rPr>
        <w:t xml:space="preserve"> principle established in</w:t>
      </w:r>
      <w:r w:rsidR="003E12DE" w:rsidRPr="00610904">
        <w:rPr>
          <w:noProof w:val="0"/>
          <w:szCs w:val="20"/>
          <w:lang w:val="en-US"/>
        </w:rPr>
        <w:t xml:space="preserve"> </w:t>
      </w:r>
      <w:r w:rsidR="009F3D78" w:rsidRPr="00610904">
        <w:rPr>
          <w:noProof w:val="0"/>
          <w:szCs w:val="20"/>
          <w:lang w:val="en-US"/>
        </w:rPr>
        <w:t>Article</w:t>
      </w:r>
      <w:r w:rsidR="003E12DE" w:rsidRPr="00610904">
        <w:rPr>
          <w:noProof w:val="0"/>
          <w:szCs w:val="20"/>
          <w:lang w:val="en-US"/>
        </w:rPr>
        <w:t xml:space="preserve"> 29</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 xml:space="preserve">to affirm that this tends towards the direct enforceability of the ESCR via </w:t>
      </w:r>
      <w:r w:rsidR="009F3D78" w:rsidRPr="00610904">
        <w:rPr>
          <w:noProof w:val="0"/>
          <w:szCs w:val="20"/>
          <w:lang w:val="en-US"/>
        </w:rPr>
        <w:t>Article</w:t>
      </w:r>
      <w:r w:rsidR="003E12DE" w:rsidRPr="00610904">
        <w:rPr>
          <w:noProof w:val="0"/>
          <w:szCs w:val="20"/>
          <w:lang w:val="en-US"/>
        </w:rPr>
        <w:t xml:space="preserve"> 26, </w:t>
      </w:r>
      <w:r w:rsidRPr="00610904">
        <w:rPr>
          <w:noProof w:val="0"/>
          <w:szCs w:val="20"/>
          <w:lang w:val="en-US"/>
        </w:rPr>
        <w:t>given that</w:t>
      </w:r>
      <w:r w:rsidR="00C340A4" w:rsidRPr="00610904">
        <w:rPr>
          <w:noProof w:val="0"/>
          <w:szCs w:val="20"/>
          <w:lang w:val="en-US"/>
        </w:rPr>
        <w:t xml:space="preserve"> this position would provide</w:t>
      </w:r>
      <w:r w:rsidRPr="00610904">
        <w:rPr>
          <w:noProof w:val="0"/>
          <w:szCs w:val="20"/>
          <w:lang w:val="en-US"/>
        </w:rPr>
        <w:t xml:space="preserve"> more extensive protection. Regarding this principle, the Court has established that “the international sy</w:t>
      </w:r>
      <w:r w:rsidR="00C340A4" w:rsidRPr="00610904">
        <w:rPr>
          <w:noProof w:val="0"/>
          <w:szCs w:val="20"/>
          <w:lang w:val="en-US"/>
        </w:rPr>
        <w:t>s</w:t>
      </w:r>
      <w:r w:rsidRPr="00610904">
        <w:rPr>
          <w:noProof w:val="0"/>
          <w:szCs w:val="20"/>
          <w:lang w:val="en-US"/>
        </w:rPr>
        <w:t xml:space="preserve">tem of protection should be understood to be comprehensive, a principle established in </w:t>
      </w:r>
      <w:r w:rsidR="009F3D78" w:rsidRPr="00610904">
        <w:rPr>
          <w:noProof w:val="0"/>
          <w:szCs w:val="20"/>
          <w:lang w:val="en-US"/>
        </w:rPr>
        <w:t>Article</w:t>
      </w:r>
      <w:r w:rsidR="003E12DE" w:rsidRPr="00610904">
        <w:rPr>
          <w:noProof w:val="0"/>
          <w:szCs w:val="20"/>
          <w:lang w:val="en-US"/>
        </w:rPr>
        <w:t xml:space="preserve"> 29</w:t>
      </w:r>
      <w:r w:rsidR="009F3D78" w:rsidRPr="00610904">
        <w:rPr>
          <w:noProof w:val="0"/>
          <w:szCs w:val="20"/>
          <w:lang w:val="en-US"/>
        </w:rPr>
        <w:t xml:space="preserve"> of the American Convention</w:t>
      </w:r>
      <w:r w:rsidR="003E12DE" w:rsidRPr="00610904">
        <w:rPr>
          <w:noProof w:val="0"/>
          <w:szCs w:val="20"/>
          <w:lang w:val="en-US"/>
        </w:rPr>
        <w:t xml:space="preserve">, </w:t>
      </w:r>
      <w:r w:rsidRPr="00610904">
        <w:rPr>
          <w:noProof w:val="0"/>
          <w:szCs w:val="20"/>
          <w:lang w:val="en-US"/>
        </w:rPr>
        <w:t>which imposes a protection framework</w:t>
      </w:r>
      <w:r w:rsidR="00C340A4" w:rsidRPr="00610904">
        <w:rPr>
          <w:noProof w:val="0"/>
          <w:szCs w:val="20"/>
          <w:lang w:val="en-US"/>
        </w:rPr>
        <w:t xml:space="preserve"> that always accords preference</w:t>
      </w:r>
      <w:r w:rsidRPr="00610904">
        <w:rPr>
          <w:noProof w:val="0"/>
          <w:szCs w:val="20"/>
          <w:lang w:val="en-US"/>
        </w:rPr>
        <w:t xml:space="preserve"> to the interpretation or the norm that is most favorable to huma</w:t>
      </w:r>
      <w:r w:rsidR="00C340A4" w:rsidRPr="00610904">
        <w:rPr>
          <w:noProof w:val="0"/>
          <w:szCs w:val="20"/>
          <w:lang w:val="en-US"/>
        </w:rPr>
        <w:t>n rights, the cornerstone for</w:t>
      </w:r>
      <w:r w:rsidRPr="00610904">
        <w:rPr>
          <w:noProof w:val="0"/>
          <w:szCs w:val="20"/>
          <w:lang w:val="en-US"/>
        </w:rPr>
        <w:t xml:space="preserve"> protection of the whole inter-American system. In this regard, the adoption of a restrictive in</w:t>
      </w:r>
      <w:r w:rsidR="00C340A4" w:rsidRPr="00610904">
        <w:rPr>
          <w:noProof w:val="0"/>
          <w:szCs w:val="20"/>
          <w:lang w:val="en-US"/>
        </w:rPr>
        <w:t>terpretation of the scope of the Court’s competen</w:t>
      </w:r>
      <w:r w:rsidRPr="00610904">
        <w:rPr>
          <w:noProof w:val="0"/>
          <w:szCs w:val="20"/>
          <w:lang w:val="en-US"/>
        </w:rPr>
        <w:t>ce would not only run counter to the object and purpose of the Convention, but would also affect the practical effects of the treaty itself and the guarantee of protection that it establishes, with negative consequences for the presumed victim in the exercise of his right of access to justice.</w:t>
      </w:r>
      <w:r w:rsidR="003E12DE" w:rsidRPr="00610904">
        <w:rPr>
          <w:noProof w:val="0"/>
          <w:szCs w:val="20"/>
          <w:lang w:val="en-US"/>
        </w:rPr>
        <w:t>”</w:t>
      </w:r>
      <w:r w:rsidR="003E12DE" w:rsidRPr="00610904">
        <w:rPr>
          <w:rStyle w:val="FootnoteReference"/>
          <w:noProof w:val="0"/>
          <w:lang w:val="en-US"/>
        </w:rPr>
        <w:footnoteReference w:id="456"/>
      </w:r>
      <w:r w:rsidR="003E12DE" w:rsidRPr="00610904">
        <w:rPr>
          <w:noProof w:val="0"/>
          <w:szCs w:val="20"/>
          <w:lang w:val="en-US"/>
        </w:rPr>
        <w:t xml:space="preserve"> </w:t>
      </w:r>
      <w:r w:rsidRPr="00610904">
        <w:rPr>
          <w:noProof w:val="0"/>
          <w:szCs w:val="20"/>
          <w:lang w:val="en-US"/>
        </w:rPr>
        <w:t xml:space="preserve">Thus, the </w:t>
      </w:r>
      <w:r w:rsidR="003E12DE" w:rsidRPr="00610904">
        <w:rPr>
          <w:i/>
          <w:noProof w:val="0"/>
          <w:szCs w:val="20"/>
          <w:lang w:val="en-US"/>
        </w:rPr>
        <w:t>pro homine</w:t>
      </w:r>
      <w:r w:rsidR="003E12DE" w:rsidRPr="00610904">
        <w:rPr>
          <w:noProof w:val="0"/>
          <w:szCs w:val="20"/>
          <w:lang w:val="en-US"/>
        </w:rPr>
        <w:t xml:space="preserve"> </w:t>
      </w:r>
      <w:r w:rsidRPr="00610904">
        <w:rPr>
          <w:noProof w:val="0"/>
          <w:szCs w:val="20"/>
          <w:lang w:val="en-US"/>
        </w:rPr>
        <w:t xml:space="preserve">principle should be applied when the Court is faced </w:t>
      </w:r>
      <w:r w:rsidR="00C340A4" w:rsidRPr="00610904">
        <w:rPr>
          <w:noProof w:val="0"/>
          <w:szCs w:val="20"/>
          <w:lang w:val="en-US"/>
        </w:rPr>
        <w:t>with</w:t>
      </w:r>
      <w:r w:rsidRPr="00610904">
        <w:rPr>
          <w:noProof w:val="0"/>
          <w:szCs w:val="20"/>
          <w:lang w:val="en-US"/>
        </w:rPr>
        <w:t xml:space="preserve"> two possible precise and valid interpretations. Indeed, what the analysis made in this opinion has demonstrated is that the direct justiciability of the ESCR based on </w:t>
      </w:r>
      <w:r w:rsidR="006E502B" w:rsidRPr="00610904">
        <w:rPr>
          <w:noProof w:val="0"/>
          <w:szCs w:val="20"/>
          <w:lang w:val="en-US"/>
        </w:rPr>
        <w:t>Article</w:t>
      </w:r>
      <w:r w:rsidR="003E12DE" w:rsidRPr="00610904">
        <w:rPr>
          <w:noProof w:val="0"/>
          <w:szCs w:val="20"/>
          <w:lang w:val="en-US"/>
        </w:rPr>
        <w:t xml:space="preserve"> 26</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is not a valid interpretation</w:t>
      </w:r>
      <w:r w:rsidR="00B872AD" w:rsidRPr="00610904">
        <w:rPr>
          <w:noProof w:val="0"/>
          <w:szCs w:val="20"/>
          <w:lang w:val="en-US"/>
        </w:rPr>
        <w:t xml:space="preserve"> because its intention </w:t>
      </w:r>
      <w:r w:rsidRPr="00610904">
        <w:rPr>
          <w:noProof w:val="0"/>
          <w:szCs w:val="20"/>
          <w:lang w:val="en-US"/>
        </w:rPr>
        <w:t>is to</w:t>
      </w:r>
      <w:r w:rsidR="00B872AD" w:rsidRPr="00610904">
        <w:rPr>
          <w:noProof w:val="0"/>
          <w:szCs w:val="20"/>
          <w:lang w:val="en-US"/>
        </w:rPr>
        <w:t xml:space="preserve"> </w:t>
      </w:r>
      <w:r w:rsidR="00856968" w:rsidRPr="00610904">
        <w:rPr>
          <w:noProof w:val="0"/>
          <w:szCs w:val="20"/>
          <w:lang w:val="en-US"/>
        </w:rPr>
        <w:t>generate</w:t>
      </w:r>
      <w:r w:rsidRPr="00610904">
        <w:rPr>
          <w:noProof w:val="0"/>
          <w:szCs w:val="20"/>
          <w:lang w:val="en-US"/>
        </w:rPr>
        <w:t xml:space="preserve"> a n</w:t>
      </w:r>
      <w:r w:rsidR="00426523" w:rsidRPr="00610904">
        <w:rPr>
          <w:noProof w:val="0"/>
          <w:szCs w:val="20"/>
          <w:lang w:val="en-US"/>
        </w:rPr>
        <w:t>ormative statement</w:t>
      </w:r>
      <w:r w:rsidR="00B872AD" w:rsidRPr="00610904">
        <w:rPr>
          <w:noProof w:val="0"/>
          <w:szCs w:val="20"/>
          <w:lang w:val="en-US"/>
        </w:rPr>
        <w:t xml:space="preserve"> that does not correspond to that</w:t>
      </w:r>
      <w:r w:rsidR="00426523" w:rsidRPr="00610904">
        <w:rPr>
          <w:noProof w:val="0"/>
          <w:szCs w:val="20"/>
          <w:lang w:val="en-US"/>
        </w:rPr>
        <w:t xml:space="preserve"> </w:t>
      </w:r>
      <w:r w:rsidR="00B872AD" w:rsidRPr="00610904">
        <w:rPr>
          <w:noProof w:val="0"/>
          <w:szCs w:val="20"/>
          <w:lang w:val="en-US"/>
        </w:rPr>
        <w:t>article</w:t>
      </w:r>
      <w:r w:rsidR="00426523" w:rsidRPr="00610904">
        <w:rPr>
          <w:noProof w:val="0"/>
          <w:szCs w:val="20"/>
          <w:lang w:val="en-US"/>
        </w:rPr>
        <w:t>.</w:t>
      </w:r>
      <w:r w:rsidR="003E12DE" w:rsidRPr="00610904">
        <w:rPr>
          <w:rStyle w:val="FootnoteReference"/>
          <w:noProof w:val="0"/>
          <w:lang w:val="en-US"/>
        </w:rPr>
        <w:footnoteReference w:id="457"/>
      </w:r>
      <w:r w:rsidR="003E12DE" w:rsidRPr="00610904">
        <w:rPr>
          <w:noProof w:val="0"/>
          <w:szCs w:val="20"/>
          <w:lang w:val="en-US"/>
        </w:rPr>
        <w:t xml:space="preserve"> </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426523" w:rsidP="00610904">
      <w:pPr>
        <w:pStyle w:val="ListParagraph"/>
        <w:numPr>
          <w:ilvl w:val="0"/>
          <w:numId w:val="18"/>
        </w:numPr>
        <w:tabs>
          <w:tab w:val="left" w:pos="709"/>
        </w:tabs>
        <w:contextualSpacing/>
        <w:jc w:val="left"/>
        <w:rPr>
          <w:b/>
          <w:noProof w:val="0"/>
          <w:szCs w:val="20"/>
          <w:lang w:val="en-US"/>
        </w:rPr>
      </w:pPr>
      <w:r w:rsidRPr="00610904">
        <w:rPr>
          <w:b/>
          <w:noProof w:val="0"/>
          <w:szCs w:val="20"/>
          <w:lang w:val="en-US"/>
        </w:rPr>
        <w:t>Conclusio</w:t>
      </w:r>
      <w:r w:rsidR="003E12DE" w:rsidRPr="00610904">
        <w:rPr>
          <w:b/>
          <w:noProof w:val="0"/>
          <w:szCs w:val="20"/>
          <w:lang w:val="en-US"/>
        </w:rPr>
        <w:t>n</w:t>
      </w:r>
      <w:r w:rsidR="009F3D78" w:rsidRPr="00610904">
        <w:rPr>
          <w:b/>
          <w:noProof w:val="0"/>
          <w:szCs w:val="20"/>
          <w:lang w:val="en-US"/>
        </w:rPr>
        <w:t xml:space="preserve"> and </w:t>
      </w:r>
      <w:r w:rsidRPr="00610904">
        <w:rPr>
          <w:b/>
          <w:noProof w:val="0"/>
          <w:szCs w:val="20"/>
          <w:lang w:val="en-US"/>
        </w:rPr>
        <w:t xml:space="preserve">final </w:t>
      </w:r>
      <w:r w:rsidR="00A8072E" w:rsidRPr="00610904">
        <w:rPr>
          <w:b/>
          <w:noProof w:val="0"/>
          <w:szCs w:val="20"/>
          <w:lang w:val="en-US"/>
        </w:rPr>
        <w:t>considerations</w:t>
      </w:r>
    </w:p>
    <w:p w:rsidR="003E12DE" w:rsidRPr="00610904" w:rsidRDefault="003E12DE" w:rsidP="00610904">
      <w:pPr>
        <w:pStyle w:val="ListParagraph"/>
        <w:tabs>
          <w:tab w:val="left" w:pos="426"/>
          <w:tab w:val="left" w:pos="709"/>
        </w:tabs>
        <w:ind w:left="0"/>
        <w:rPr>
          <w:noProof w:val="0"/>
          <w:szCs w:val="20"/>
          <w:lang w:val="en-US"/>
        </w:rPr>
      </w:pPr>
    </w:p>
    <w:p w:rsidR="00C140A8" w:rsidRPr="00610904" w:rsidRDefault="00C140A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Having set out the legal arguments that support my decision in this judgment, I also </w:t>
      </w:r>
      <w:r w:rsidR="00B872AD" w:rsidRPr="00610904">
        <w:rPr>
          <w:noProof w:val="0"/>
          <w:szCs w:val="20"/>
          <w:lang w:val="en-US"/>
        </w:rPr>
        <w:t>find</w:t>
      </w:r>
      <w:r w:rsidRPr="00610904">
        <w:rPr>
          <w:noProof w:val="0"/>
          <w:szCs w:val="20"/>
          <w:lang w:val="en-US"/>
        </w:rPr>
        <w:t xml:space="preserve"> it appropriate to present o</w:t>
      </w:r>
      <w:r w:rsidR="00B872AD" w:rsidRPr="00610904">
        <w:rPr>
          <w:noProof w:val="0"/>
          <w:szCs w:val="20"/>
          <w:lang w:val="en-US"/>
        </w:rPr>
        <w:t xml:space="preserve">ther reasons that reinforce </w:t>
      </w:r>
      <w:r w:rsidRPr="00610904">
        <w:rPr>
          <w:noProof w:val="0"/>
          <w:szCs w:val="20"/>
          <w:lang w:val="en-US"/>
        </w:rPr>
        <w:t xml:space="preserve">my position. To start, one of the reasons why I consider that the arguments of those who are in favor of the direct justiciability of the ESCR under Article 26 are not persuasive is because they have not been able to </w:t>
      </w:r>
      <w:r w:rsidR="00B872AD" w:rsidRPr="00610904">
        <w:rPr>
          <w:noProof w:val="0"/>
          <w:szCs w:val="20"/>
          <w:lang w:val="en-US"/>
        </w:rPr>
        <w:t>justify</w:t>
      </w:r>
      <w:r w:rsidRPr="00610904">
        <w:rPr>
          <w:noProof w:val="0"/>
          <w:szCs w:val="20"/>
          <w:lang w:val="en-US"/>
        </w:rPr>
        <w:t xml:space="preserve"> how this </w:t>
      </w:r>
      <w:r w:rsidR="00B872AD" w:rsidRPr="00610904">
        <w:rPr>
          <w:noProof w:val="0"/>
          <w:szCs w:val="20"/>
          <w:lang w:val="en-US"/>
        </w:rPr>
        <w:t>approach</w:t>
      </w:r>
      <w:r w:rsidRPr="00610904">
        <w:rPr>
          <w:noProof w:val="0"/>
          <w:szCs w:val="20"/>
          <w:lang w:val="en-US"/>
        </w:rPr>
        <w:t xml:space="preserve">, which </w:t>
      </w:r>
      <w:r w:rsidR="00B872AD" w:rsidRPr="00610904">
        <w:rPr>
          <w:noProof w:val="0"/>
          <w:szCs w:val="20"/>
          <w:lang w:val="en-US"/>
        </w:rPr>
        <w:t>contravenes</w:t>
      </w:r>
      <w:r w:rsidRPr="00610904">
        <w:rPr>
          <w:noProof w:val="0"/>
          <w:szCs w:val="20"/>
          <w:lang w:val="en-US"/>
        </w:rPr>
        <w:t xml:space="preserve"> what is expressly stated in the Protocol, is a better option that the other </w:t>
      </w:r>
      <w:r w:rsidR="00B872AD" w:rsidRPr="00610904">
        <w:rPr>
          <w:noProof w:val="0"/>
          <w:szCs w:val="20"/>
          <w:lang w:val="en-US"/>
        </w:rPr>
        <w:t>means</w:t>
      </w:r>
      <w:r w:rsidRPr="00610904">
        <w:rPr>
          <w:noProof w:val="0"/>
          <w:szCs w:val="20"/>
          <w:lang w:val="en-US"/>
        </w:rPr>
        <w:t xml:space="preserve"> of protection that the Court has used, such as the connectivity with the right to life or the right to personal integrity, or the concept of a “decent life.” Some au</w:t>
      </w:r>
      <w:r w:rsidR="00B872AD" w:rsidRPr="00610904">
        <w:rPr>
          <w:noProof w:val="0"/>
          <w:szCs w:val="20"/>
          <w:lang w:val="en-US"/>
        </w:rPr>
        <w:t>thors affirm that that approach</w:t>
      </w:r>
      <w:r w:rsidRPr="00610904">
        <w:rPr>
          <w:noProof w:val="0"/>
          <w:szCs w:val="20"/>
          <w:lang w:val="en-US"/>
        </w:rPr>
        <w:t xml:space="preserve"> is necessary</w:t>
      </w:r>
      <w:r w:rsidR="00B872AD" w:rsidRPr="00610904">
        <w:rPr>
          <w:noProof w:val="0"/>
          <w:szCs w:val="20"/>
          <w:lang w:val="en-US"/>
        </w:rPr>
        <w:t xml:space="preserve"> in order</w:t>
      </w:r>
      <w:r w:rsidRPr="00610904">
        <w:rPr>
          <w:noProof w:val="0"/>
          <w:szCs w:val="20"/>
          <w:lang w:val="en-US"/>
        </w:rPr>
        <w:t xml:space="preserve"> to provide a </w:t>
      </w:r>
      <w:r w:rsidR="00B872AD" w:rsidRPr="00610904">
        <w:rPr>
          <w:noProof w:val="0"/>
          <w:szCs w:val="20"/>
          <w:lang w:val="en-US"/>
        </w:rPr>
        <w:t>specific sphere of protection for</w:t>
      </w:r>
      <w:r w:rsidRPr="00610904">
        <w:rPr>
          <w:noProof w:val="0"/>
          <w:szCs w:val="20"/>
          <w:lang w:val="en-US"/>
        </w:rPr>
        <w:t xml:space="preserve"> the ESCR, without taking into account that the Protocol of San Salvador created this sphere of protection, but concluded that the Court would only consider directly the rights established in </w:t>
      </w:r>
      <w:r w:rsidR="009F3D78" w:rsidRPr="00610904">
        <w:rPr>
          <w:noProof w:val="0"/>
          <w:szCs w:val="20"/>
          <w:lang w:val="en-US"/>
        </w:rPr>
        <w:t>Article</w:t>
      </w:r>
      <w:r w:rsidRPr="00610904">
        <w:rPr>
          <w:noProof w:val="0"/>
          <w:szCs w:val="20"/>
          <w:lang w:val="en-US"/>
        </w:rPr>
        <w:t xml:space="preserve"> 8(</w:t>
      </w:r>
      <w:r w:rsidR="003E12DE" w:rsidRPr="00610904">
        <w:rPr>
          <w:noProof w:val="0"/>
          <w:szCs w:val="20"/>
          <w:lang w:val="en-US"/>
        </w:rPr>
        <w:t>a</w:t>
      </w:r>
      <w:r w:rsidRPr="00610904">
        <w:rPr>
          <w:noProof w:val="0"/>
          <w:szCs w:val="20"/>
          <w:lang w:val="en-US"/>
        </w:rPr>
        <w:t>)</w:t>
      </w:r>
      <w:r w:rsidR="009F3D78" w:rsidRPr="00610904">
        <w:rPr>
          <w:noProof w:val="0"/>
          <w:szCs w:val="20"/>
          <w:lang w:val="en-US"/>
        </w:rPr>
        <w:t xml:space="preserve"> and </w:t>
      </w:r>
      <w:r w:rsidR="003E12DE" w:rsidRPr="00610904">
        <w:rPr>
          <w:noProof w:val="0"/>
          <w:szCs w:val="20"/>
          <w:lang w:val="en-US"/>
        </w:rPr>
        <w:t xml:space="preserve">13 </w:t>
      </w:r>
      <w:r w:rsidR="0013395A" w:rsidRPr="00610904">
        <w:rPr>
          <w:noProof w:val="0"/>
          <w:szCs w:val="20"/>
          <w:lang w:val="en-US"/>
        </w:rPr>
        <w:t>of the Protocol</w:t>
      </w:r>
      <w:r w:rsidR="003E12DE" w:rsidRPr="00610904">
        <w:rPr>
          <w:noProof w:val="0"/>
          <w:szCs w:val="20"/>
          <w:lang w:val="en-US"/>
        </w:rPr>
        <w:t xml:space="preserve">. </w:t>
      </w:r>
      <w:r w:rsidRPr="00610904">
        <w:rPr>
          <w:noProof w:val="0"/>
          <w:szCs w:val="20"/>
          <w:lang w:val="en-US"/>
        </w:rPr>
        <w:t>In addition, it has not</w:t>
      </w:r>
      <w:r w:rsidR="00B872AD" w:rsidRPr="00610904">
        <w:rPr>
          <w:noProof w:val="0"/>
          <w:szCs w:val="20"/>
          <w:lang w:val="en-US"/>
        </w:rPr>
        <w:t xml:space="preserve"> been proved that the use of connectivity or </w:t>
      </w:r>
      <w:r w:rsidRPr="00610904">
        <w:rPr>
          <w:noProof w:val="0"/>
          <w:szCs w:val="20"/>
          <w:lang w:val="en-US"/>
        </w:rPr>
        <w:t>the concept of a “decent life” as mechanisms for the indirect protection of</w:t>
      </w:r>
      <w:r w:rsidR="003E12DE" w:rsidRPr="00610904">
        <w:rPr>
          <w:noProof w:val="0"/>
          <w:szCs w:val="20"/>
          <w:lang w:val="en-US"/>
        </w:rPr>
        <w:t xml:space="preserve"> </w:t>
      </w:r>
      <w:r w:rsidR="002310E6" w:rsidRPr="00610904">
        <w:rPr>
          <w:noProof w:val="0"/>
          <w:szCs w:val="20"/>
          <w:lang w:val="en-US"/>
        </w:rPr>
        <w:t>the ESCR</w:t>
      </w:r>
      <w:r w:rsidR="003E12DE" w:rsidRPr="00610904">
        <w:rPr>
          <w:rStyle w:val="FootnoteReference"/>
          <w:noProof w:val="0"/>
          <w:lang w:val="en-US"/>
        </w:rPr>
        <w:footnoteReference w:id="458"/>
      </w:r>
      <w:r w:rsidR="003E12DE" w:rsidRPr="00610904">
        <w:rPr>
          <w:noProof w:val="0"/>
          <w:szCs w:val="20"/>
          <w:lang w:val="en-US"/>
        </w:rPr>
        <w:t xml:space="preserve"> </w:t>
      </w:r>
      <w:r w:rsidRPr="00610904">
        <w:rPr>
          <w:noProof w:val="0"/>
          <w:szCs w:val="20"/>
          <w:lang w:val="en-US"/>
        </w:rPr>
        <w:t>is not effective for the protection and guarantee of the</w:t>
      </w:r>
      <w:r w:rsidR="00B872AD" w:rsidRPr="00610904">
        <w:rPr>
          <w:noProof w:val="0"/>
          <w:szCs w:val="20"/>
          <w:lang w:val="en-US"/>
        </w:rPr>
        <w:t xml:space="preserve"> victims’</w:t>
      </w:r>
      <w:r w:rsidRPr="00610904">
        <w:rPr>
          <w:noProof w:val="0"/>
          <w:szCs w:val="20"/>
          <w:lang w:val="en-US"/>
        </w:rPr>
        <w:t xml:space="preserve"> rights, or that it is not an option that provides extensive protection. I agree that it is important that case law must be progressive and provide all possible guarantees,</w:t>
      </w:r>
      <w:r w:rsidR="00B872AD" w:rsidRPr="00610904">
        <w:rPr>
          <w:noProof w:val="0"/>
          <w:szCs w:val="20"/>
          <w:lang w:val="en-US"/>
        </w:rPr>
        <w:t xml:space="preserve"> but in those cases in which</w:t>
      </w:r>
      <w:r w:rsidRPr="00610904">
        <w:rPr>
          <w:noProof w:val="0"/>
          <w:szCs w:val="20"/>
          <w:lang w:val="en-US"/>
        </w:rPr>
        <w:t xml:space="preserve"> protection can be achieve</w:t>
      </w:r>
      <w:r w:rsidR="00B872AD" w:rsidRPr="00610904">
        <w:rPr>
          <w:noProof w:val="0"/>
          <w:szCs w:val="20"/>
          <w:lang w:val="en-US"/>
        </w:rPr>
        <w:t>d</w:t>
      </w:r>
      <w:r w:rsidRPr="00610904">
        <w:rPr>
          <w:noProof w:val="0"/>
          <w:szCs w:val="20"/>
          <w:lang w:val="en-US"/>
        </w:rPr>
        <w:t xml:space="preserve"> by less problematic and </w:t>
      </w:r>
      <w:r w:rsidR="00856968" w:rsidRPr="00610904">
        <w:rPr>
          <w:noProof w:val="0"/>
          <w:szCs w:val="20"/>
          <w:lang w:val="en-US"/>
        </w:rPr>
        <w:t>controversial</w:t>
      </w:r>
      <w:r w:rsidR="00B872AD" w:rsidRPr="00610904">
        <w:rPr>
          <w:noProof w:val="0"/>
          <w:szCs w:val="20"/>
          <w:lang w:val="en-US"/>
        </w:rPr>
        <w:t xml:space="preserve"> </w:t>
      </w:r>
      <w:r w:rsidR="00B872AD" w:rsidRPr="00610904">
        <w:rPr>
          <w:noProof w:val="0"/>
          <w:szCs w:val="20"/>
          <w:lang w:val="en-US"/>
        </w:rPr>
        <w:lastRenderedPageBreak/>
        <w:t>mechanisms,</w:t>
      </w:r>
      <w:r w:rsidRPr="00610904">
        <w:rPr>
          <w:noProof w:val="0"/>
          <w:szCs w:val="20"/>
          <w:lang w:val="en-US"/>
        </w:rPr>
        <w:t xml:space="preserve"> it is better to choose the most effective means and leave academic pretensions to one side.</w:t>
      </w:r>
    </w:p>
    <w:p w:rsidR="003E12DE" w:rsidRPr="00610904" w:rsidRDefault="003E12DE" w:rsidP="00610904">
      <w:pPr>
        <w:pStyle w:val="ListParagraph"/>
        <w:tabs>
          <w:tab w:val="left" w:pos="426"/>
          <w:tab w:val="left" w:pos="709"/>
        </w:tabs>
        <w:ind w:left="0"/>
        <w:rPr>
          <w:noProof w:val="0"/>
          <w:szCs w:val="20"/>
          <w:lang w:val="en-US"/>
        </w:rPr>
      </w:pPr>
    </w:p>
    <w:p w:rsidR="00C140A8" w:rsidRPr="00610904" w:rsidRDefault="00C140A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Thus, in this </w:t>
      </w:r>
      <w:r w:rsidR="00856968" w:rsidRPr="00610904">
        <w:rPr>
          <w:noProof w:val="0"/>
          <w:szCs w:val="20"/>
          <w:lang w:val="en-US"/>
        </w:rPr>
        <w:t>judgment</w:t>
      </w:r>
      <w:r w:rsidRPr="00610904">
        <w:rPr>
          <w:noProof w:val="0"/>
          <w:szCs w:val="20"/>
          <w:lang w:val="en-US"/>
        </w:rPr>
        <w:t xml:space="preserve">, the Court decided to examine </w:t>
      </w:r>
      <w:r w:rsidR="003E12DE" w:rsidRPr="00610904">
        <w:rPr>
          <w:noProof w:val="0"/>
          <w:szCs w:val="20"/>
          <w:lang w:val="en-US"/>
        </w:rPr>
        <w:t>Talía Gonzales Lluy</w:t>
      </w:r>
      <w:r w:rsidR="00B872AD" w:rsidRPr="00610904">
        <w:rPr>
          <w:noProof w:val="0"/>
          <w:szCs w:val="20"/>
          <w:lang w:val="en-US"/>
        </w:rPr>
        <w:t>’s health problems</w:t>
      </w:r>
      <w:r w:rsidR="003E12DE" w:rsidRPr="00610904">
        <w:rPr>
          <w:noProof w:val="0"/>
          <w:szCs w:val="20"/>
          <w:lang w:val="en-US"/>
        </w:rPr>
        <w:t xml:space="preserve"> </w:t>
      </w:r>
      <w:r w:rsidR="00B872AD" w:rsidRPr="00610904">
        <w:rPr>
          <w:noProof w:val="0"/>
          <w:szCs w:val="20"/>
          <w:lang w:val="en-US"/>
        </w:rPr>
        <w:t xml:space="preserve">as </w:t>
      </w:r>
      <w:r w:rsidRPr="00610904">
        <w:rPr>
          <w:noProof w:val="0"/>
          <w:szCs w:val="20"/>
          <w:lang w:val="en-US"/>
        </w:rPr>
        <w:t xml:space="preserve">a persons living with HIV under the rights to life and to </w:t>
      </w:r>
      <w:r w:rsidR="007C0734" w:rsidRPr="00610904">
        <w:rPr>
          <w:noProof w:val="0"/>
          <w:szCs w:val="20"/>
          <w:lang w:val="en-US"/>
        </w:rPr>
        <w:t>personal integrity</w:t>
      </w:r>
      <w:r w:rsidR="003E12DE" w:rsidRPr="00610904">
        <w:rPr>
          <w:noProof w:val="0"/>
          <w:szCs w:val="20"/>
          <w:lang w:val="en-US"/>
        </w:rPr>
        <w:t xml:space="preserve"> </w:t>
      </w:r>
      <w:r w:rsidRPr="00610904">
        <w:rPr>
          <w:noProof w:val="0"/>
          <w:szCs w:val="20"/>
          <w:lang w:val="en-US"/>
        </w:rPr>
        <w:t>recognized in</w:t>
      </w:r>
      <w:r w:rsidR="003E12DE" w:rsidRPr="00610904">
        <w:rPr>
          <w:noProof w:val="0"/>
          <w:szCs w:val="20"/>
          <w:lang w:val="en-US"/>
        </w:rPr>
        <w:t xml:space="preserve"> </w:t>
      </w:r>
      <w:r w:rsidR="009F3D78" w:rsidRPr="00610904">
        <w:rPr>
          <w:noProof w:val="0"/>
          <w:szCs w:val="20"/>
          <w:lang w:val="en-US"/>
        </w:rPr>
        <w:t>Articles</w:t>
      </w:r>
      <w:r w:rsidR="003E12DE" w:rsidRPr="00610904">
        <w:rPr>
          <w:noProof w:val="0"/>
          <w:szCs w:val="20"/>
          <w:lang w:val="en-US"/>
        </w:rPr>
        <w:t xml:space="preserve"> 4</w:t>
      </w:r>
      <w:r w:rsidR="009F3D78" w:rsidRPr="00610904">
        <w:rPr>
          <w:noProof w:val="0"/>
          <w:szCs w:val="20"/>
          <w:lang w:val="en-US"/>
        </w:rPr>
        <w:t xml:space="preserve"> and </w:t>
      </w:r>
      <w:r w:rsidR="003E12DE" w:rsidRPr="00610904">
        <w:rPr>
          <w:noProof w:val="0"/>
          <w:szCs w:val="20"/>
          <w:lang w:val="en-US"/>
        </w:rPr>
        <w:t>5</w:t>
      </w:r>
      <w:r w:rsidR="009F3D78" w:rsidRPr="00610904">
        <w:rPr>
          <w:noProof w:val="0"/>
          <w:szCs w:val="20"/>
          <w:lang w:val="en-US"/>
        </w:rPr>
        <w:t xml:space="preserve"> of the Convention</w:t>
      </w:r>
      <w:r w:rsidR="003E12DE" w:rsidRPr="00610904">
        <w:rPr>
          <w:noProof w:val="0"/>
          <w:szCs w:val="20"/>
          <w:lang w:val="en-US"/>
        </w:rPr>
        <w:t xml:space="preserve">. </w:t>
      </w:r>
      <w:r w:rsidRPr="00610904">
        <w:rPr>
          <w:noProof w:val="0"/>
          <w:szCs w:val="20"/>
          <w:lang w:val="en-US"/>
        </w:rPr>
        <w:t xml:space="preserve">The fact that the Court chose to argue the case in this </w:t>
      </w:r>
      <w:proofErr w:type="gramStart"/>
      <w:r w:rsidRPr="00610904">
        <w:rPr>
          <w:noProof w:val="0"/>
          <w:szCs w:val="20"/>
          <w:lang w:val="en-US"/>
        </w:rPr>
        <w:t>way,</w:t>
      </w:r>
      <w:proofErr w:type="gramEnd"/>
      <w:r w:rsidRPr="00610904">
        <w:rPr>
          <w:noProof w:val="0"/>
          <w:szCs w:val="20"/>
          <w:lang w:val="en-US"/>
        </w:rPr>
        <w:t xml:space="preserve"> did not prevent it from making important progress </w:t>
      </w:r>
      <w:r w:rsidR="00B872AD" w:rsidRPr="00610904">
        <w:rPr>
          <w:noProof w:val="0"/>
          <w:szCs w:val="20"/>
          <w:lang w:val="en-US"/>
        </w:rPr>
        <w:t xml:space="preserve">as regards </w:t>
      </w:r>
      <w:r w:rsidRPr="00610904">
        <w:rPr>
          <w:noProof w:val="0"/>
          <w:szCs w:val="20"/>
          <w:lang w:val="en-US"/>
        </w:rPr>
        <w:t>the requirements of availability, accessibility, acceptability and quality in the provision of hea</w:t>
      </w:r>
      <w:r w:rsidR="00B872AD" w:rsidRPr="00610904">
        <w:rPr>
          <w:noProof w:val="0"/>
          <w:szCs w:val="20"/>
          <w:lang w:val="en-US"/>
        </w:rPr>
        <w:t>lth care services, as well as</w:t>
      </w:r>
      <w:r w:rsidRPr="00610904">
        <w:rPr>
          <w:noProof w:val="0"/>
          <w:szCs w:val="20"/>
          <w:lang w:val="en-US"/>
        </w:rPr>
        <w:t xml:space="preserve"> the obligation to regulate, monitor and supervise the provision of services in private health care centers. This does not entail the creation of a new right, but merely provides content and scope to rights such as to life and to integrity that are recognized in the Convention and, therefore, accepted by the States Parties.</w:t>
      </w:r>
    </w:p>
    <w:p w:rsidR="003E12DE" w:rsidRPr="00610904" w:rsidRDefault="003E12DE" w:rsidP="00610904">
      <w:pPr>
        <w:pStyle w:val="ListParagraph"/>
        <w:tabs>
          <w:tab w:val="left" w:pos="426"/>
          <w:tab w:val="left" w:pos="709"/>
        </w:tabs>
        <w:ind w:left="0"/>
        <w:rPr>
          <w:noProof w:val="0"/>
          <w:szCs w:val="20"/>
          <w:lang w:val="en-US"/>
        </w:rPr>
      </w:pPr>
    </w:p>
    <w:p w:rsidR="00C140A8" w:rsidRPr="00610904" w:rsidRDefault="00C140A8"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 xml:space="preserve">Furthermore, another of my concerns is that expanding the Court’s competence, </w:t>
      </w:r>
      <w:r w:rsidR="00B872AD" w:rsidRPr="00610904">
        <w:rPr>
          <w:noProof w:val="0"/>
          <w:szCs w:val="20"/>
          <w:lang w:val="en-US"/>
        </w:rPr>
        <w:t>in disregard of</w:t>
      </w:r>
      <w:r w:rsidRPr="00610904">
        <w:rPr>
          <w:noProof w:val="0"/>
          <w:szCs w:val="20"/>
          <w:lang w:val="en-US"/>
        </w:rPr>
        <w:t xml:space="preserve"> the will of the States</w:t>
      </w:r>
      <w:r w:rsidR="00B872AD" w:rsidRPr="00610904">
        <w:rPr>
          <w:noProof w:val="0"/>
          <w:szCs w:val="20"/>
          <w:lang w:val="en-US"/>
        </w:rPr>
        <w:t>,</w:t>
      </w:r>
      <w:r w:rsidRPr="00610904">
        <w:rPr>
          <w:noProof w:val="0"/>
          <w:szCs w:val="20"/>
          <w:lang w:val="en-US"/>
        </w:rPr>
        <w:t xml:space="preserve"> </w:t>
      </w:r>
      <w:r w:rsidR="00CE2091" w:rsidRPr="00610904">
        <w:rPr>
          <w:noProof w:val="0"/>
          <w:szCs w:val="20"/>
          <w:lang w:val="en-US"/>
        </w:rPr>
        <w:t xml:space="preserve">delegitimizes the Court and calls into question the progress made, with considerable effort, on other issues in its case law. The legitimacy of the courts stems, in the first place, from the will of the States that decided to establish them, as well as from their judgments, the reasoning that they present in those judgments, and their adherence to the law. If the Court exceeds the functions assigned to it under the American Convention and other treaties of the inter-American system, it would be undermining the legitimacy and confidence that the States </w:t>
      </w:r>
      <w:r w:rsidR="00B872AD" w:rsidRPr="00610904">
        <w:rPr>
          <w:noProof w:val="0"/>
          <w:szCs w:val="20"/>
          <w:lang w:val="en-US"/>
        </w:rPr>
        <w:t xml:space="preserve">have </w:t>
      </w:r>
      <w:r w:rsidR="00CE2091" w:rsidRPr="00610904">
        <w:rPr>
          <w:noProof w:val="0"/>
          <w:szCs w:val="20"/>
          <w:lang w:val="en-US"/>
        </w:rPr>
        <w:t>deposited in it. A decision that involved disregarding the will of the States on this point could give rise to a negative reaction or dis</w:t>
      </w:r>
      <w:r w:rsidR="00B872AD" w:rsidRPr="00610904">
        <w:rPr>
          <w:noProof w:val="0"/>
          <w:szCs w:val="20"/>
          <w:lang w:val="en-US"/>
        </w:rPr>
        <w:t>pleasure</w:t>
      </w:r>
      <w:r w:rsidR="00CE2091" w:rsidRPr="00610904">
        <w:rPr>
          <w:noProof w:val="0"/>
          <w:szCs w:val="20"/>
          <w:lang w:val="en-US"/>
        </w:rPr>
        <w:t xml:space="preserve"> that jeopardizes the system. Even though the Court was not established to </w:t>
      </w:r>
      <w:r w:rsidR="00B06AED" w:rsidRPr="00610904">
        <w:rPr>
          <w:noProof w:val="0"/>
          <w:szCs w:val="20"/>
          <w:lang w:val="en-US"/>
        </w:rPr>
        <w:t>please</w:t>
      </w:r>
      <w:r w:rsidR="00CE2091" w:rsidRPr="00610904">
        <w:rPr>
          <w:noProof w:val="0"/>
          <w:szCs w:val="20"/>
          <w:lang w:val="en-US"/>
        </w:rPr>
        <w:t xml:space="preserve"> the States, because its mandate is to rule on their international responsibility, it should not </w:t>
      </w:r>
      <w:r w:rsidR="00B06AED" w:rsidRPr="00610904">
        <w:rPr>
          <w:noProof w:val="0"/>
          <w:szCs w:val="20"/>
          <w:lang w:val="en-US"/>
        </w:rPr>
        <w:t>create</w:t>
      </w:r>
      <w:r w:rsidR="00CE2091" w:rsidRPr="00610904">
        <w:rPr>
          <w:noProof w:val="0"/>
          <w:szCs w:val="20"/>
          <w:lang w:val="en-US"/>
        </w:rPr>
        <w:t xml:space="preserve"> an imbalance that could lead to a lack of protection for the human rights that it seeks to safeguard. In this regard, I agree that:</w:t>
      </w:r>
    </w:p>
    <w:p w:rsidR="003E12DE" w:rsidRPr="00610904" w:rsidRDefault="003E12DE" w:rsidP="00610904">
      <w:pPr>
        <w:pStyle w:val="ListParagraph"/>
        <w:tabs>
          <w:tab w:val="left" w:pos="426"/>
          <w:tab w:val="left" w:pos="709"/>
        </w:tabs>
        <w:ind w:left="0"/>
        <w:rPr>
          <w:noProof w:val="0"/>
          <w:szCs w:val="20"/>
          <w:lang w:val="en-US"/>
        </w:rPr>
      </w:pPr>
    </w:p>
    <w:p w:rsidR="003E12DE" w:rsidRPr="00610904" w:rsidRDefault="003E12DE" w:rsidP="00610904">
      <w:pPr>
        <w:tabs>
          <w:tab w:val="left" w:pos="709"/>
        </w:tabs>
        <w:ind w:left="426" w:right="333"/>
        <w:rPr>
          <w:noProof w:val="0"/>
          <w:sz w:val="16"/>
          <w:szCs w:val="16"/>
          <w:lang w:val="en-US"/>
        </w:rPr>
      </w:pPr>
      <w:r w:rsidRPr="00610904">
        <w:rPr>
          <w:noProof w:val="0"/>
          <w:sz w:val="16"/>
          <w:szCs w:val="16"/>
          <w:lang w:val="en-US"/>
        </w:rPr>
        <w:t>“</w:t>
      </w:r>
      <w:r w:rsidR="00CE2091" w:rsidRPr="00610904">
        <w:rPr>
          <w:noProof w:val="0"/>
          <w:sz w:val="16"/>
          <w:szCs w:val="16"/>
          <w:lang w:val="en-US"/>
        </w:rPr>
        <w:t>A Court interpretation of the scope of article 26 that would permit direct access for ESC violations could constitute either broadening of the jurisdiction, or expansion of the "opportunities to detect, expose or remedy noncompliance”</w:t>
      </w:r>
      <w:r w:rsidR="00B06AED" w:rsidRPr="00610904">
        <w:rPr>
          <w:noProof w:val="0"/>
          <w:sz w:val="16"/>
          <w:szCs w:val="16"/>
          <w:lang w:val="en-US"/>
        </w:rPr>
        <w:t xml:space="preserve"> </w:t>
      </w:r>
      <w:r w:rsidR="00CE2091" w:rsidRPr="00610904">
        <w:rPr>
          <w:noProof w:val="0"/>
          <w:sz w:val="16"/>
          <w:szCs w:val="16"/>
          <w:lang w:val="en-US"/>
        </w:rPr>
        <w:t>- in either case, results likely to produce hostile state reaction. Again, in both cases, a given state's hostility would flow primarily from its belief that the supranational body is engaging in more or a different kind of oversight than the state initially accepted. In this model, state perception is more important than the correctness (to the extent that this may be judged objectively) of the supranational decision. If, as we argue, states understand the terms of the American Convention and the Court's rulings in Five Pensioners and subsequent cases as limits on direct access for ESC litigation via article 26, a broader interpretation of that article by the Court would constitute overlegalization.</w:t>
      </w:r>
      <w:r w:rsidRPr="00610904">
        <w:rPr>
          <w:noProof w:val="0"/>
          <w:sz w:val="16"/>
          <w:szCs w:val="16"/>
          <w:lang w:val="en-US"/>
        </w:rPr>
        <w:t>”</w:t>
      </w:r>
      <w:r w:rsidRPr="00610904">
        <w:rPr>
          <w:rStyle w:val="FootnoteReference"/>
          <w:noProof w:val="0"/>
          <w:sz w:val="16"/>
          <w:szCs w:val="16"/>
          <w:lang w:val="en-US"/>
        </w:rPr>
        <w:footnoteReference w:id="459"/>
      </w:r>
    </w:p>
    <w:p w:rsidR="003E12DE" w:rsidRPr="00610904" w:rsidRDefault="003E12DE" w:rsidP="00610904">
      <w:pPr>
        <w:tabs>
          <w:tab w:val="left" w:pos="709"/>
        </w:tabs>
        <w:ind w:left="426" w:right="333"/>
        <w:rPr>
          <w:noProof w:val="0"/>
          <w:sz w:val="16"/>
          <w:szCs w:val="16"/>
          <w:lang w:val="en-US"/>
        </w:rPr>
      </w:pPr>
    </w:p>
    <w:p w:rsidR="003E12DE" w:rsidRPr="00610904" w:rsidRDefault="00CE2091" w:rsidP="00610904">
      <w:pPr>
        <w:pStyle w:val="ListParagraph"/>
        <w:numPr>
          <w:ilvl w:val="0"/>
          <w:numId w:val="17"/>
        </w:numPr>
        <w:tabs>
          <w:tab w:val="left" w:pos="709"/>
        </w:tabs>
        <w:ind w:left="0" w:firstLine="0"/>
        <w:contextualSpacing/>
        <w:rPr>
          <w:noProof w:val="0"/>
          <w:szCs w:val="20"/>
          <w:lang w:val="en-US"/>
        </w:rPr>
      </w:pPr>
      <w:r w:rsidRPr="00610904">
        <w:rPr>
          <w:noProof w:val="0"/>
          <w:szCs w:val="20"/>
          <w:lang w:val="en-US"/>
        </w:rPr>
        <w:t>Lastly, I consider that human rights courts, such as</w:t>
      </w:r>
      <w:r w:rsidR="003E12DE" w:rsidRPr="00610904">
        <w:rPr>
          <w:noProof w:val="0"/>
          <w:szCs w:val="20"/>
          <w:lang w:val="en-US"/>
        </w:rPr>
        <w:t xml:space="preserve"> </w:t>
      </w:r>
      <w:r w:rsidR="009F3D78" w:rsidRPr="00610904">
        <w:rPr>
          <w:noProof w:val="0"/>
          <w:szCs w:val="20"/>
          <w:lang w:val="en-US"/>
        </w:rPr>
        <w:t>the Inter-American Court</w:t>
      </w:r>
      <w:r w:rsidR="003E12DE" w:rsidRPr="00610904">
        <w:rPr>
          <w:noProof w:val="0"/>
          <w:szCs w:val="20"/>
          <w:lang w:val="en-US"/>
        </w:rPr>
        <w:t xml:space="preserve">, </w:t>
      </w:r>
      <w:r w:rsidRPr="00610904">
        <w:rPr>
          <w:noProof w:val="0"/>
          <w:szCs w:val="20"/>
          <w:lang w:val="en-US"/>
        </w:rPr>
        <w:t>cannot try and make up for the democratic deficiencies of the countries, and should therefore exercise caution in this regard.</w:t>
      </w:r>
      <w:r w:rsidR="003E12DE" w:rsidRPr="00610904">
        <w:rPr>
          <w:rStyle w:val="FootnoteReference"/>
          <w:noProof w:val="0"/>
          <w:lang w:val="en-US"/>
        </w:rPr>
        <w:footnoteReference w:id="460"/>
      </w:r>
      <w:r w:rsidRPr="00610904">
        <w:rPr>
          <w:noProof w:val="0"/>
          <w:szCs w:val="20"/>
          <w:lang w:val="en-US"/>
        </w:rPr>
        <w:t xml:space="preserve"> Human rights courts should seek to protect the rights of minorities, but based always on the competences that have been assigned to them</w:t>
      </w:r>
      <w:r w:rsidR="003E12DE" w:rsidRPr="00610904">
        <w:rPr>
          <w:noProof w:val="0"/>
          <w:szCs w:val="20"/>
          <w:lang w:val="en-US"/>
        </w:rPr>
        <w:t xml:space="preserve">. </w:t>
      </w:r>
      <w:r w:rsidRPr="00610904">
        <w:rPr>
          <w:noProof w:val="0"/>
          <w:szCs w:val="20"/>
          <w:lang w:val="en-US"/>
        </w:rPr>
        <w:t xml:space="preserve">The stability and future of the inter-American system depends to a great extent on the balance that the Court achieves between the temptation to </w:t>
      </w:r>
      <w:r w:rsidR="00856968" w:rsidRPr="00610904">
        <w:rPr>
          <w:noProof w:val="0"/>
          <w:szCs w:val="20"/>
          <w:lang w:val="en-US"/>
        </w:rPr>
        <w:t>over expand</w:t>
      </w:r>
      <w:r w:rsidRPr="00610904">
        <w:rPr>
          <w:noProof w:val="0"/>
          <w:szCs w:val="20"/>
          <w:lang w:val="en-US"/>
        </w:rPr>
        <w:t xml:space="preserve"> it competences and the need to make progress in legal standards for the effective protection and guarantee of human rights. </w:t>
      </w:r>
    </w:p>
    <w:p w:rsidR="003E12DE" w:rsidRPr="00610904" w:rsidRDefault="003E12DE" w:rsidP="00610904">
      <w:pPr>
        <w:tabs>
          <w:tab w:val="left" w:pos="709"/>
        </w:tabs>
        <w:rPr>
          <w:noProof w:val="0"/>
          <w:color w:val="1F497D"/>
          <w:lang w:val="en-US"/>
        </w:rPr>
      </w:pPr>
    </w:p>
    <w:p w:rsidR="003E12DE" w:rsidRPr="00610904" w:rsidRDefault="003E12DE" w:rsidP="00610904">
      <w:pPr>
        <w:pStyle w:val="ListParagraph"/>
        <w:spacing w:after="240"/>
        <w:ind w:left="0" w:right="96"/>
        <w:rPr>
          <w:noProof w:val="0"/>
          <w:lang w:val="en-US"/>
        </w:rPr>
      </w:pPr>
    </w:p>
    <w:p w:rsidR="003E12DE" w:rsidRPr="00610904" w:rsidRDefault="003E12DE" w:rsidP="00610904">
      <w:pPr>
        <w:pStyle w:val="NormalWeb"/>
        <w:spacing w:before="0" w:beforeAutospacing="0" w:after="0" w:afterAutospacing="0"/>
        <w:ind w:left="3600" w:right="96" w:firstLine="720"/>
        <w:jc w:val="center"/>
        <w:rPr>
          <w:rFonts w:ascii="Verdana" w:eastAsia="Calibri" w:hAnsi="Verdana"/>
          <w:noProof w:val="0"/>
          <w:sz w:val="20"/>
          <w:szCs w:val="20"/>
          <w:lang w:val="en-US" w:eastAsia="en-US"/>
        </w:rPr>
      </w:pPr>
    </w:p>
    <w:p w:rsidR="003E12DE" w:rsidRPr="0051351F" w:rsidRDefault="003E12DE" w:rsidP="00610904">
      <w:pPr>
        <w:pStyle w:val="NormalWeb"/>
        <w:spacing w:before="0" w:beforeAutospacing="0" w:after="0" w:afterAutospacing="0"/>
        <w:ind w:left="3600" w:right="96" w:firstLine="720"/>
        <w:jc w:val="center"/>
        <w:rPr>
          <w:rFonts w:ascii="Verdana" w:eastAsia="Calibri" w:hAnsi="Verdana"/>
          <w:noProof w:val="0"/>
          <w:sz w:val="20"/>
          <w:szCs w:val="20"/>
          <w:lang w:eastAsia="en-US"/>
        </w:rPr>
      </w:pPr>
      <w:r w:rsidRPr="0051351F">
        <w:rPr>
          <w:rFonts w:ascii="Verdana" w:eastAsia="Calibri" w:hAnsi="Verdana"/>
          <w:noProof w:val="0"/>
          <w:sz w:val="20"/>
          <w:szCs w:val="20"/>
          <w:lang w:eastAsia="en-US"/>
        </w:rPr>
        <w:t>Humberto Antonio Sierra Porto</w:t>
      </w:r>
    </w:p>
    <w:p w:rsidR="003E12DE" w:rsidRPr="00B31E31" w:rsidRDefault="009F3D78" w:rsidP="00610904">
      <w:pPr>
        <w:pStyle w:val="NormalWeb"/>
        <w:spacing w:before="0" w:beforeAutospacing="0" w:after="0" w:afterAutospacing="0"/>
        <w:ind w:left="3960" w:right="96" w:firstLine="360"/>
        <w:jc w:val="center"/>
        <w:rPr>
          <w:rFonts w:ascii="Verdana" w:eastAsia="Calibri" w:hAnsi="Verdana"/>
          <w:noProof w:val="0"/>
          <w:sz w:val="20"/>
          <w:szCs w:val="20"/>
          <w:lang w:eastAsia="en-US"/>
        </w:rPr>
      </w:pPr>
      <w:r w:rsidRPr="00B31E31">
        <w:rPr>
          <w:rFonts w:ascii="Verdana" w:eastAsia="Calibri" w:hAnsi="Verdana"/>
          <w:noProof w:val="0"/>
          <w:sz w:val="20"/>
          <w:szCs w:val="20"/>
          <w:lang w:eastAsia="en-US"/>
        </w:rPr>
        <w:t>Judge</w:t>
      </w:r>
    </w:p>
    <w:p w:rsidR="003E12DE" w:rsidRPr="0051351F" w:rsidRDefault="003E12DE" w:rsidP="00610904">
      <w:pPr>
        <w:rPr>
          <w:noProof w:val="0"/>
          <w:szCs w:val="20"/>
        </w:rPr>
      </w:pPr>
    </w:p>
    <w:p w:rsidR="003E12DE" w:rsidRPr="0051351F" w:rsidRDefault="003E12DE" w:rsidP="00610904">
      <w:pPr>
        <w:rPr>
          <w:noProof w:val="0"/>
          <w:szCs w:val="20"/>
        </w:rPr>
      </w:pPr>
    </w:p>
    <w:p w:rsidR="003E12DE" w:rsidRPr="0051351F" w:rsidRDefault="003E12DE" w:rsidP="00610904">
      <w:pPr>
        <w:rPr>
          <w:noProof w:val="0"/>
          <w:szCs w:val="20"/>
        </w:rPr>
      </w:pPr>
      <w:r w:rsidRPr="0051351F">
        <w:rPr>
          <w:noProof w:val="0"/>
          <w:szCs w:val="20"/>
        </w:rPr>
        <w:t>Pablo Saavedra Alessandri</w:t>
      </w:r>
    </w:p>
    <w:p w:rsidR="003E12DE" w:rsidRPr="00610904" w:rsidRDefault="003E12DE" w:rsidP="00610904">
      <w:pPr>
        <w:rPr>
          <w:noProof w:val="0"/>
          <w:szCs w:val="20"/>
          <w:lang w:val="en-US"/>
        </w:rPr>
      </w:pPr>
      <w:r w:rsidRPr="0051351F">
        <w:rPr>
          <w:noProof w:val="0"/>
          <w:szCs w:val="20"/>
        </w:rPr>
        <w:tab/>
      </w:r>
      <w:r w:rsidR="009F3D78" w:rsidRPr="00610904">
        <w:rPr>
          <w:noProof w:val="0"/>
          <w:szCs w:val="20"/>
          <w:lang w:val="en-US"/>
        </w:rPr>
        <w:t>Secretary</w:t>
      </w:r>
    </w:p>
    <w:p w:rsidR="003E12DE" w:rsidRPr="00610904" w:rsidRDefault="003E12DE" w:rsidP="00610904">
      <w:pPr>
        <w:tabs>
          <w:tab w:val="left" w:pos="709"/>
        </w:tabs>
        <w:rPr>
          <w:noProof w:val="0"/>
          <w:lang w:val="en-US"/>
        </w:rPr>
      </w:pPr>
    </w:p>
    <w:p w:rsidR="003E12DE" w:rsidRPr="00610904" w:rsidRDefault="003E12DE" w:rsidP="00610904">
      <w:pPr>
        <w:rPr>
          <w:noProof w:val="0"/>
          <w:lang w:val="en-US"/>
        </w:rPr>
        <w:sectPr w:rsidR="003E12DE" w:rsidRPr="00610904" w:rsidSect="003E12DE">
          <w:headerReference w:type="default" r:id="rId12"/>
          <w:footnotePr>
            <w:numRestart w:val="eachSect"/>
          </w:footnotePr>
          <w:pgSz w:w="12240" w:h="15840" w:code="1"/>
          <w:pgMar w:top="1417" w:right="1701" w:bottom="1417" w:left="1701" w:header="708" w:footer="708" w:gutter="0"/>
          <w:pgNumType w:start="1"/>
          <w:cols w:space="708"/>
          <w:titlePg/>
          <w:docGrid w:linePitch="360"/>
        </w:sectPr>
      </w:pPr>
    </w:p>
    <w:p w:rsidR="003E12DE" w:rsidRPr="00610904" w:rsidRDefault="003E12DE" w:rsidP="00610904">
      <w:pPr>
        <w:spacing w:line="360" w:lineRule="auto"/>
        <w:ind w:left="2160" w:right="96" w:hanging="2160"/>
        <w:jc w:val="center"/>
        <w:rPr>
          <w:b/>
          <w:noProof w:val="0"/>
          <w:szCs w:val="20"/>
          <w:lang w:val="en-US"/>
        </w:rPr>
      </w:pPr>
    </w:p>
    <w:p w:rsidR="003E12DE" w:rsidRPr="00610904" w:rsidRDefault="00163298" w:rsidP="00610904">
      <w:pPr>
        <w:spacing w:line="360" w:lineRule="auto"/>
        <w:ind w:left="2160" w:right="96" w:hanging="2160"/>
        <w:jc w:val="center"/>
        <w:rPr>
          <w:b/>
          <w:noProof w:val="0"/>
          <w:szCs w:val="20"/>
          <w:lang w:val="en-US"/>
        </w:rPr>
      </w:pPr>
      <w:r w:rsidRPr="00610904">
        <w:rPr>
          <w:b/>
          <w:noProof w:val="0"/>
          <w:szCs w:val="20"/>
          <w:lang w:val="en-US"/>
        </w:rPr>
        <w:t xml:space="preserve">CONCURRING OPINION OF JUDGE </w:t>
      </w:r>
      <w:r w:rsidR="003E12DE" w:rsidRPr="00610904">
        <w:rPr>
          <w:b/>
          <w:noProof w:val="0"/>
          <w:szCs w:val="20"/>
          <w:lang w:val="en-US"/>
        </w:rPr>
        <w:t>ALBERTO PÉREZ PÉREZ</w:t>
      </w:r>
    </w:p>
    <w:p w:rsidR="003E12DE" w:rsidRPr="00610904" w:rsidRDefault="003E12DE" w:rsidP="00610904">
      <w:pPr>
        <w:ind w:left="-142" w:right="-138"/>
        <w:jc w:val="center"/>
        <w:rPr>
          <w:rFonts w:eastAsia="MS Mincho" w:cs="Times New Roman"/>
          <w:b/>
          <w:noProof w:val="0"/>
          <w:sz w:val="16"/>
          <w:szCs w:val="20"/>
          <w:lang w:val="en-US"/>
        </w:rPr>
      </w:pPr>
    </w:p>
    <w:p w:rsidR="003E12DE" w:rsidRPr="0051351F" w:rsidRDefault="00163298" w:rsidP="00610904">
      <w:pPr>
        <w:ind w:left="-142" w:right="-138"/>
        <w:jc w:val="center"/>
        <w:rPr>
          <w:rFonts w:eastAsia="MS Mincho" w:cs="Times New Roman"/>
          <w:b/>
          <w:i/>
          <w:noProof w:val="0"/>
          <w:sz w:val="16"/>
          <w:szCs w:val="20"/>
          <w:u w:val="single"/>
        </w:rPr>
      </w:pPr>
      <w:r w:rsidRPr="0051351F">
        <w:rPr>
          <w:rFonts w:eastAsia="MS Mincho" w:cs="Times New Roman"/>
          <w:b/>
          <w:i/>
          <w:noProof w:val="0"/>
          <w:szCs w:val="20"/>
          <w:u w:val="single"/>
        </w:rPr>
        <w:t xml:space="preserve">CASE </w:t>
      </w:r>
      <w:r w:rsidR="00610904" w:rsidRPr="0051351F">
        <w:rPr>
          <w:rFonts w:eastAsia="MS Mincho" w:cs="Times New Roman"/>
          <w:b/>
          <w:i/>
          <w:noProof w:val="0"/>
          <w:szCs w:val="20"/>
          <w:u w:val="single"/>
        </w:rPr>
        <w:t>OF GONZALES</w:t>
      </w:r>
      <w:r w:rsidRPr="0051351F">
        <w:rPr>
          <w:rFonts w:eastAsia="MS Mincho" w:cs="Times New Roman"/>
          <w:b/>
          <w:i/>
          <w:noProof w:val="0"/>
          <w:szCs w:val="20"/>
          <w:u w:val="single"/>
        </w:rPr>
        <w:t xml:space="preserve"> LLUY ET AL</w:t>
      </w:r>
      <w:r w:rsidR="009F3D78" w:rsidRPr="0051351F">
        <w:rPr>
          <w:rFonts w:eastAsia="MS Mincho" w:cs="Times New Roman"/>
          <w:b/>
          <w:i/>
          <w:noProof w:val="0"/>
          <w:szCs w:val="20"/>
          <w:u w:val="single"/>
        </w:rPr>
        <w:t>.</w:t>
      </w:r>
      <w:r w:rsidRPr="0051351F">
        <w:rPr>
          <w:rFonts w:eastAsia="MS Mincho" w:cs="Times New Roman"/>
          <w:b/>
          <w:i/>
          <w:noProof w:val="0"/>
          <w:szCs w:val="20"/>
          <w:u w:val="single"/>
        </w:rPr>
        <w:t xml:space="preserve"> </w:t>
      </w:r>
      <w:r w:rsidR="00B31E31">
        <w:rPr>
          <w:rFonts w:eastAsia="MS Mincho" w:cs="Times New Roman"/>
          <w:b/>
          <w:i/>
          <w:noProof w:val="0"/>
          <w:szCs w:val="20"/>
          <w:u w:val="single"/>
        </w:rPr>
        <w:t>v</w:t>
      </w:r>
      <w:r w:rsidR="003E12DE" w:rsidRPr="0051351F">
        <w:rPr>
          <w:rFonts w:eastAsia="MS Mincho" w:cs="Times New Roman"/>
          <w:b/>
          <w:i/>
          <w:noProof w:val="0"/>
          <w:szCs w:val="20"/>
          <w:u w:val="single"/>
        </w:rPr>
        <w:t>. ECUADO</w:t>
      </w:r>
      <w:r w:rsidR="003E12DE" w:rsidRPr="0051351F">
        <w:rPr>
          <w:rFonts w:eastAsia="Times New Roman" w:cs="Verdana Bold"/>
          <w:b/>
          <w:bCs/>
          <w:i/>
          <w:caps/>
          <w:noProof w:val="0"/>
          <w:szCs w:val="20"/>
          <w:u w:val="single"/>
        </w:rPr>
        <w:t>R</w:t>
      </w:r>
    </w:p>
    <w:p w:rsidR="003E12DE" w:rsidRPr="0051351F" w:rsidRDefault="003E12DE" w:rsidP="00610904">
      <w:pPr>
        <w:ind w:left="-142" w:right="-138"/>
        <w:jc w:val="center"/>
        <w:rPr>
          <w:rFonts w:eastAsia="MS Mincho" w:cs="Times New Roman"/>
          <w:b/>
          <w:noProof w:val="0"/>
          <w:szCs w:val="20"/>
        </w:rPr>
      </w:pPr>
    </w:p>
    <w:p w:rsidR="003E12DE" w:rsidRPr="00610904" w:rsidRDefault="00163298" w:rsidP="00610904">
      <w:pPr>
        <w:ind w:left="-142" w:right="-138"/>
        <w:jc w:val="center"/>
        <w:rPr>
          <w:rFonts w:eastAsia="MS Mincho" w:cs="Times New Roman"/>
          <w:b/>
          <w:noProof w:val="0"/>
          <w:szCs w:val="20"/>
          <w:lang w:val="en-US"/>
        </w:rPr>
      </w:pPr>
      <w:r w:rsidRPr="00610904">
        <w:rPr>
          <w:rFonts w:eastAsia="MS Mincho" w:cs="Times New Roman"/>
          <w:b/>
          <w:noProof w:val="0"/>
          <w:szCs w:val="20"/>
          <w:lang w:val="en-US"/>
        </w:rPr>
        <w:t xml:space="preserve">JUDGMENT OF SEPTEMBER 1, </w:t>
      </w:r>
      <w:r w:rsidR="003E12DE" w:rsidRPr="00610904">
        <w:rPr>
          <w:rFonts w:eastAsia="MS Mincho" w:cs="Times New Roman"/>
          <w:b/>
          <w:noProof w:val="0"/>
          <w:szCs w:val="20"/>
          <w:lang w:val="en-US"/>
        </w:rPr>
        <w:t>2015</w:t>
      </w:r>
    </w:p>
    <w:p w:rsidR="003E12DE" w:rsidRPr="00610904" w:rsidRDefault="00163298" w:rsidP="00610904">
      <w:pPr>
        <w:ind w:left="-142" w:right="-138"/>
        <w:jc w:val="center"/>
        <w:rPr>
          <w:rFonts w:eastAsia="MS Mincho" w:cs="Times New Roman"/>
          <w:b/>
          <w:noProof w:val="0"/>
          <w:szCs w:val="20"/>
          <w:lang w:val="en-US"/>
        </w:rPr>
      </w:pPr>
      <w:r w:rsidRPr="00610904">
        <w:rPr>
          <w:rFonts w:eastAsia="MS Mincho" w:cs="Times New Roman"/>
          <w:b/>
          <w:noProof w:val="0"/>
          <w:szCs w:val="20"/>
          <w:lang w:val="en-US"/>
        </w:rPr>
        <w:t>(</w:t>
      </w:r>
      <w:r w:rsidRPr="00610904">
        <w:rPr>
          <w:rFonts w:eastAsia="MS Mincho" w:cs="Times New Roman"/>
          <w:b/>
          <w:i/>
          <w:noProof w:val="0"/>
          <w:szCs w:val="20"/>
          <w:lang w:val="en-US"/>
        </w:rPr>
        <w:t>Preliminary objections, merits, reparations and costs</w:t>
      </w:r>
      <w:r w:rsidRPr="00610904">
        <w:rPr>
          <w:rFonts w:eastAsia="MS Mincho" w:cs="Times New Roman"/>
          <w:b/>
          <w:noProof w:val="0"/>
          <w:szCs w:val="20"/>
          <w:lang w:val="en-US"/>
        </w:rPr>
        <w:t>)</w:t>
      </w:r>
    </w:p>
    <w:p w:rsidR="003E12DE" w:rsidRPr="00610904" w:rsidRDefault="003E12DE" w:rsidP="00610904">
      <w:pPr>
        <w:spacing w:after="120"/>
        <w:jc w:val="center"/>
        <w:rPr>
          <w:rFonts w:cs="Times New Roman"/>
          <w:b/>
          <w:noProof w:val="0"/>
          <w:szCs w:val="20"/>
          <w:lang w:val="en-US"/>
        </w:rPr>
      </w:pPr>
    </w:p>
    <w:p w:rsidR="00E96420" w:rsidRPr="00610904" w:rsidRDefault="00E96420" w:rsidP="00610904">
      <w:pPr>
        <w:spacing w:after="120"/>
        <w:jc w:val="center"/>
        <w:rPr>
          <w:rFonts w:cs="Times New Roman"/>
          <w:b/>
          <w:noProof w:val="0"/>
          <w:szCs w:val="20"/>
          <w:lang w:val="en-US"/>
        </w:rPr>
      </w:pPr>
    </w:p>
    <w:p w:rsidR="003E12DE" w:rsidRPr="00610904" w:rsidRDefault="00864DEB" w:rsidP="00610904">
      <w:pPr>
        <w:pStyle w:val="Estilo4"/>
        <w:numPr>
          <w:ilvl w:val="0"/>
          <w:numId w:val="20"/>
        </w:numPr>
        <w:spacing w:after="0"/>
        <w:ind w:left="0" w:firstLine="0"/>
        <w:rPr>
          <w:lang w:val="en-US"/>
        </w:rPr>
      </w:pPr>
      <w:r>
        <w:rPr>
          <w:lang w:val="en-US"/>
        </w:rPr>
        <w:t xml:space="preserve">I </w:t>
      </w:r>
      <w:r w:rsidR="00163298" w:rsidRPr="00610904">
        <w:rPr>
          <w:lang w:val="en-US"/>
        </w:rPr>
        <w:t>share</w:t>
      </w:r>
      <w:r>
        <w:rPr>
          <w:lang w:val="en-US"/>
        </w:rPr>
        <w:t xml:space="preserve"> fully</w:t>
      </w:r>
      <w:r w:rsidR="00163298" w:rsidRPr="00610904">
        <w:rPr>
          <w:lang w:val="en-US"/>
        </w:rPr>
        <w:t xml:space="preserve"> the content of the</w:t>
      </w:r>
      <w:r w:rsidR="004A6E8B" w:rsidRPr="00610904">
        <w:rPr>
          <w:lang w:val="en-US"/>
        </w:rPr>
        <w:t xml:space="preserve"> Judgment</w:t>
      </w:r>
      <w:r w:rsidR="003E12DE" w:rsidRPr="00610904">
        <w:rPr>
          <w:lang w:val="en-US"/>
        </w:rPr>
        <w:t xml:space="preserve"> d</w:t>
      </w:r>
      <w:r w:rsidR="00163298" w:rsidRPr="00610904">
        <w:rPr>
          <w:lang w:val="en-US"/>
        </w:rPr>
        <w:t>elivered</w:t>
      </w:r>
      <w:r w:rsidR="003E12DE" w:rsidRPr="00610904">
        <w:rPr>
          <w:lang w:val="en-US"/>
        </w:rPr>
        <w:t xml:space="preserve"> </w:t>
      </w:r>
      <w:r w:rsidR="00163298" w:rsidRPr="00610904">
        <w:rPr>
          <w:lang w:val="en-US"/>
        </w:rPr>
        <w:t xml:space="preserve">in this case, and the profound feeling of solidarity with the victim and understanding of her sufferings.  However, I have felt the need to issue a concurring opinion in view of the constant proposals made during the deliberation of the case to cite the right to health as the main right violated by the State’s actions. In other words, a right that is not included among those recognized by </w:t>
      </w:r>
      <w:r w:rsidR="009F3D78" w:rsidRPr="00610904">
        <w:rPr>
          <w:lang w:val="en-US"/>
        </w:rPr>
        <w:t>the American Convention on Human Rights</w:t>
      </w:r>
      <w:r w:rsidR="003E12DE" w:rsidRPr="00610904">
        <w:rPr>
          <w:lang w:val="en-US"/>
        </w:rPr>
        <w:t xml:space="preserve">, </w:t>
      </w:r>
      <w:r w:rsidR="00163298" w:rsidRPr="00610904">
        <w:rPr>
          <w:lang w:val="en-US"/>
        </w:rPr>
        <w:t xml:space="preserve">but rather among those recognized by the </w:t>
      </w:r>
      <w:r w:rsidR="00852A2E" w:rsidRPr="00610904">
        <w:rPr>
          <w:lang w:val="en-US"/>
        </w:rPr>
        <w:t>Protocol of</w:t>
      </w:r>
      <w:r w:rsidR="003E12DE" w:rsidRPr="00610904">
        <w:rPr>
          <w:lang w:val="en-US"/>
        </w:rPr>
        <w:t xml:space="preserve"> San Salvador,</w:t>
      </w:r>
      <w:r w:rsidR="009F3D78" w:rsidRPr="00610904">
        <w:rPr>
          <w:lang w:val="en-US"/>
        </w:rPr>
        <w:t xml:space="preserve"> </w:t>
      </w:r>
      <w:r w:rsidR="0043300E" w:rsidRPr="00610904">
        <w:rPr>
          <w:lang w:val="en-US"/>
        </w:rPr>
        <w:t xml:space="preserve">and </w:t>
      </w:r>
      <w:r w:rsidR="00163298" w:rsidRPr="00610904">
        <w:rPr>
          <w:lang w:val="en-US"/>
        </w:rPr>
        <w:t xml:space="preserve">which is not one of the two rights that </w:t>
      </w:r>
      <w:r w:rsidR="009F3D78" w:rsidRPr="00610904">
        <w:rPr>
          <w:lang w:val="en-US"/>
        </w:rPr>
        <w:t>Article</w:t>
      </w:r>
      <w:r w:rsidR="003E12DE" w:rsidRPr="00610904">
        <w:rPr>
          <w:lang w:val="en-US"/>
        </w:rPr>
        <w:t xml:space="preserve"> 19 </w:t>
      </w:r>
      <w:r w:rsidR="0043300E" w:rsidRPr="00610904">
        <w:rPr>
          <w:lang w:val="en-US"/>
        </w:rPr>
        <w:t>of the</w:t>
      </w:r>
      <w:r w:rsidR="00163298" w:rsidRPr="00610904">
        <w:rPr>
          <w:lang w:val="en-US"/>
        </w:rPr>
        <w:t xml:space="preserve"> Protocol includes under the specific system of protection; that is, the intervention of the organs of the system: </w:t>
      </w:r>
      <w:r w:rsidR="002F5BBA" w:rsidRPr="00610904">
        <w:rPr>
          <w:lang w:val="en-US"/>
        </w:rPr>
        <w:t>the Inter-American Commission on Human Rights</w:t>
      </w:r>
      <w:r w:rsidR="009F3D78" w:rsidRPr="00610904">
        <w:rPr>
          <w:lang w:val="en-US"/>
        </w:rPr>
        <w:t xml:space="preserve"> and the Inter-American Court of Human Rights</w:t>
      </w:r>
      <w:r w:rsidR="003E12DE" w:rsidRPr="00610904">
        <w:rPr>
          <w:lang w:val="en-US"/>
        </w:rPr>
        <w:t xml:space="preserve">. </w:t>
      </w:r>
      <w:r w:rsidR="00163298" w:rsidRPr="00610904">
        <w:rPr>
          <w:lang w:val="en-US"/>
        </w:rPr>
        <w:t xml:space="preserve">I consider that those proposals were totally unfounded, for the following reasons. </w:t>
      </w:r>
    </w:p>
    <w:p w:rsidR="0043300E" w:rsidRPr="00610904" w:rsidRDefault="0043300E" w:rsidP="00610904">
      <w:pPr>
        <w:pStyle w:val="Estilo4"/>
        <w:numPr>
          <w:ilvl w:val="0"/>
          <w:numId w:val="0"/>
        </w:numPr>
        <w:spacing w:after="0"/>
        <w:rPr>
          <w:lang w:val="en-US"/>
        </w:rPr>
      </w:pPr>
    </w:p>
    <w:p w:rsidR="0043300E" w:rsidRPr="00610904" w:rsidRDefault="003E12DE" w:rsidP="00610904">
      <w:pPr>
        <w:pStyle w:val="Estilo1"/>
        <w:numPr>
          <w:ilvl w:val="0"/>
          <w:numId w:val="19"/>
        </w:numPr>
        <w:spacing w:after="0"/>
        <w:ind w:left="0" w:right="0" w:firstLine="0"/>
        <w:rPr>
          <w:b/>
          <w:noProof w:val="0"/>
          <w:szCs w:val="20"/>
          <w:lang w:val="en-US"/>
        </w:rPr>
      </w:pPr>
      <w:r w:rsidRPr="00610904">
        <w:rPr>
          <w:b/>
          <w:noProof w:val="0"/>
          <w:szCs w:val="20"/>
          <w:lang w:val="en-US"/>
        </w:rPr>
        <w:t>RECO</w:t>
      </w:r>
      <w:r w:rsidR="00163298" w:rsidRPr="00610904">
        <w:rPr>
          <w:b/>
          <w:noProof w:val="0"/>
          <w:szCs w:val="20"/>
          <w:lang w:val="en-US"/>
        </w:rPr>
        <w:t xml:space="preserve">GNITION OF RIGHTS AND INCLUSION IN THE PROTECTION </w:t>
      </w:r>
      <w:r w:rsidR="0043300E" w:rsidRPr="00610904">
        <w:rPr>
          <w:b/>
          <w:noProof w:val="0"/>
          <w:szCs w:val="20"/>
          <w:lang w:val="en-US"/>
        </w:rPr>
        <w:t>SYSTEM</w:t>
      </w:r>
    </w:p>
    <w:p w:rsidR="0043300E" w:rsidRPr="00610904" w:rsidRDefault="0043300E" w:rsidP="00610904">
      <w:pPr>
        <w:pStyle w:val="Estilo1"/>
        <w:spacing w:after="0"/>
        <w:ind w:left="0" w:right="0" w:firstLine="0"/>
        <w:rPr>
          <w:b/>
          <w:noProof w:val="0"/>
          <w:szCs w:val="20"/>
          <w:lang w:val="en-US"/>
        </w:rPr>
      </w:pPr>
    </w:p>
    <w:p w:rsidR="003E12DE" w:rsidRPr="00610904" w:rsidRDefault="009F3D78" w:rsidP="00610904">
      <w:pPr>
        <w:pStyle w:val="Estilo4"/>
        <w:numPr>
          <w:ilvl w:val="0"/>
          <w:numId w:val="20"/>
        </w:numPr>
        <w:spacing w:after="0"/>
        <w:ind w:left="0" w:firstLine="0"/>
        <w:rPr>
          <w:lang w:val="en-US"/>
        </w:rPr>
      </w:pPr>
      <w:r w:rsidRPr="00610904">
        <w:rPr>
          <w:lang w:val="en-US"/>
        </w:rPr>
        <w:t>The American Convention</w:t>
      </w:r>
      <w:r w:rsidR="003E12DE" w:rsidRPr="00610904">
        <w:rPr>
          <w:lang w:val="en-US"/>
        </w:rPr>
        <w:t xml:space="preserve"> </w:t>
      </w:r>
      <w:r w:rsidR="00163298" w:rsidRPr="00610904">
        <w:rPr>
          <w:lang w:val="en-US"/>
        </w:rPr>
        <w:t xml:space="preserve">plays a dual role with regard to the rights established therein: on the one hand it recognizes those rights and, on the other hand, it includes them in a protection system that is the substantial innovation made by this instrument. </w:t>
      </w:r>
    </w:p>
    <w:p w:rsidR="0043300E" w:rsidRPr="00610904" w:rsidRDefault="0043300E" w:rsidP="00610904">
      <w:pPr>
        <w:pStyle w:val="Estilo4"/>
        <w:numPr>
          <w:ilvl w:val="0"/>
          <w:numId w:val="0"/>
        </w:numPr>
        <w:spacing w:after="0"/>
        <w:rPr>
          <w:lang w:val="en-US"/>
        </w:rPr>
      </w:pPr>
    </w:p>
    <w:p w:rsidR="003E12DE" w:rsidRPr="00610904" w:rsidRDefault="00163298" w:rsidP="00610904">
      <w:pPr>
        <w:pStyle w:val="Estilo2"/>
        <w:numPr>
          <w:ilvl w:val="0"/>
          <w:numId w:val="21"/>
        </w:numPr>
        <w:tabs>
          <w:tab w:val="clear" w:pos="567"/>
          <w:tab w:val="clear" w:pos="1134"/>
        </w:tabs>
        <w:spacing w:after="0"/>
        <w:rPr>
          <w:b/>
          <w:noProof w:val="0"/>
          <w:lang w:val="en-US"/>
        </w:rPr>
      </w:pPr>
      <w:r w:rsidRPr="00610904">
        <w:rPr>
          <w:b/>
          <w:i/>
          <w:noProof w:val="0"/>
          <w:lang w:val="en-US"/>
        </w:rPr>
        <w:t xml:space="preserve">Recognition of rights </w:t>
      </w:r>
    </w:p>
    <w:p w:rsidR="0043300E" w:rsidRPr="00610904" w:rsidRDefault="0043300E" w:rsidP="00610904">
      <w:pPr>
        <w:pStyle w:val="Estilo2"/>
        <w:tabs>
          <w:tab w:val="clear" w:pos="567"/>
          <w:tab w:val="clear" w:pos="1134"/>
          <w:tab w:val="clear" w:pos="4767"/>
        </w:tabs>
        <w:spacing w:after="0"/>
        <w:ind w:left="1429" w:firstLine="0"/>
        <w:rPr>
          <w:b/>
          <w:noProof w:val="0"/>
          <w:lang w:val="en-US"/>
        </w:rPr>
      </w:pPr>
    </w:p>
    <w:p w:rsidR="003E12DE" w:rsidRPr="00610904" w:rsidRDefault="009F3D78" w:rsidP="00610904">
      <w:pPr>
        <w:pStyle w:val="Estilo4"/>
        <w:numPr>
          <w:ilvl w:val="0"/>
          <w:numId w:val="20"/>
        </w:numPr>
        <w:spacing w:after="0"/>
        <w:ind w:left="0" w:firstLine="0"/>
        <w:rPr>
          <w:lang w:val="en-US"/>
        </w:rPr>
      </w:pPr>
      <w:r w:rsidRPr="00610904">
        <w:rPr>
          <w:lang w:val="en-US"/>
        </w:rPr>
        <w:t>The American Convention</w:t>
      </w:r>
      <w:r w:rsidR="003E12DE" w:rsidRPr="00610904">
        <w:rPr>
          <w:lang w:val="en-US"/>
        </w:rPr>
        <w:t xml:space="preserve"> </w:t>
      </w:r>
      <w:r w:rsidR="003E12DE" w:rsidRPr="00610904">
        <w:rPr>
          <w:i/>
          <w:lang w:val="en-US"/>
        </w:rPr>
        <w:t>reco</w:t>
      </w:r>
      <w:r w:rsidR="00163298" w:rsidRPr="00610904">
        <w:rPr>
          <w:i/>
          <w:lang w:val="en-US"/>
        </w:rPr>
        <w:t xml:space="preserve">gnizes the civil and political rights </w:t>
      </w:r>
      <w:r w:rsidR="003E12DE" w:rsidRPr="00610904">
        <w:rPr>
          <w:lang w:val="en-US"/>
        </w:rPr>
        <w:t>inclu</w:t>
      </w:r>
      <w:r w:rsidR="00163298" w:rsidRPr="00610904">
        <w:rPr>
          <w:lang w:val="en-US"/>
        </w:rPr>
        <w:t>ded in Chapter II of Part I:</w:t>
      </w:r>
      <w:r w:rsidR="003E12DE" w:rsidRPr="00610904">
        <w:rPr>
          <w:rStyle w:val="FootnoteReference"/>
          <w:lang w:val="en-US"/>
        </w:rPr>
        <w:footnoteReference w:id="461"/>
      </w:r>
      <w:r w:rsidR="00163298" w:rsidRPr="00610904">
        <w:rPr>
          <w:lang w:val="en-US"/>
        </w:rPr>
        <w:t xml:space="preserve"> the right to recognition of juridical personality, the right to life, the right to humane treatment, the prohibition of slavery and servitude, the right to personal liberty, the right to judicial guarantees, the principle of legality and retroactivity, the right to compensation in case of miscarriage of justice, protection of honor and dignity, freedom of conscience and religion, freedom of thought and expression, the right to correction or reply, the right of assembly, freedom of association, protection of the family, the right to a name, the rights of the child, the right to nationality, the right to property, freedom of movement and residence, political rights, equality before the law and </w:t>
      </w:r>
      <w:r w:rsidR="00830022" w:rsidRPr="00610904">
        <w:rPr>
          <w:lang w:val="en-US"/>
        </w:rPr>
        <w:t>judicial protection</w:t>
      </w:r>
      <w:r w:rsidR="003E12DE" w:rsidRPr="00610904">
        <w:rPr>
          <w:lang w:val="en-US"/>
        </w:rPr>
        <w:t xml:space="preserve">. </w:t>
      </w:r>
      <w:r w:rsidR="00163298" w:rsidRPr="00610904">
        <w:rPr>
          <w:lang w:val="en-US"/>
        </w:rPr>
        <w:t>These are the rights and freedoms “included in the system of protection of this Convention.</w:t>
      </w:r>
      <w:r w:rsidR="003E12DE" w:rsidRPr="00610904">
        <w:rPr>
          <w:lang w:val="en-US"/>
        </w:rPr>
        <w:t>”</w:t>
      </w:r>
      <w:r w:rsidR="003E12DE" w:rsidRPr="00610904">
        <w:rPr>
          <w:rStyle w:val="FootnoteReference"/>
          <w:lang w:val="en-US"/>
        </w:rPr>
        <w:footnoteReference w:id="462"/>
      </w:r>
    </w:p>
    <w:p w:rsidR="00B95390" w:rsidRPr="00610904" w:rsidRDefault="00B95390" w:rsidP="00610904">
      <w:pPr>
        <w:pStyle w:val="Estilo4"/>
        <w:numPr>
          <w:ilvl w:val="0"/>
          <w:numId w:val="0"/>
        </w:numPr>
        <w:spacing w:after="0"/>
        <w:rPr>
          <w:lang w:val="en-US"/>
        </w:rPr>
      </w:pPr>
    </w:p>
    <w:p w:rsidR="003E12DE" w:rsidRPr="00610904" w:rsidRDefault="00B95390" w:rsidP="00610904">
      <w:pPr>
        <w:pStyle w:val="Estilo4"/>
        <w:numPr>
          <w:ilvl w:val="0"/>
          <w:numId w:val="20"/>
        </w:numPr>
        <w:spacing w:after="160"/>
        <w:ind w:left="0" w:firstLine="0"/>
        <w:rPr>
          <w:lang w:val="en-US"/>
        </w:rPr>
      </w:pPr>
      <w:r w:rsidRPr="00610904">
        <w:rPr>
          <w:lang w:val="en-US"/>
        </w:rPr>
        <w:t>This does not mean that the foregoing</w:t>
      </w:r>
      <w:r w:rsidR="00163298" w:rsidRPr="00610904">
        <w:rPr>
          <w:lang w:val="en-US"/>
        </w:rPr>
        <w:t xml:space="preserve"> are the only rights and freedoms; it merely determines </w:t>
      </w:r>
      <w:r w:rsidR="00163298" w:rsidRPr="00610904">
        <w:rPr>
          <w:i/>
          <w:lang w:val="en-US"/>
        </w:rPr>
        <w:t>which of the rights a</w:t>
      </w:r>
      <w:r w:rsidRPr="00610904">
        <w:rPr>
          <w:i/>
          <w:lang w:val="en-US"/>
        </w:rPr>
        <w:t xml:space="preserve">nd freedoms are included in the </w:t>
      </w:r>
      <w:r w:rsidR="00163298" w:rsidRPr="00610904">
        <w:rPr>
          <w:i/>
          <w:lang w:val="en-US"/>
        </w:rPr>
        <w:t>system of protection</w:t>
      </w:r>
      <w:r w:rsidRPr="00610904">
        <w:rPr>
          <w:i/>
          <w:lang w:val="en-US"/>
        </w:rPr>
        <w:t xml:space="preserve"> </w:t>
      </w:r>
      <w:r w:rsidR="009F3D78" w:rsidRPr="00610904">
        <w:rPr>
          <w:lang w:val="en-US"/>
        </w:rPr>
        <w:t>of the Convention</w:t>
      </w:r>
      <w:r w:rsidR="003E12DE" w:rsidRPr="00610904">
        <w:rPr>
          <w:lang w:val="en-US"/>
        </w:rPr>
        <w:t xml:space="preserve">: </w:t>
      </w:r>
      <w:r w:rsidR="00163298" w:rsidRPr="00610904">
        <w:rPr>
          <w:lang w:val="en-US"/>
        </w:rPr>
        <w:t>on the one hand</w:t>
      </w:r>
      <w:r w:rsidR="003E12DE" w:rsidRPr="00610904">
        <w:rPr>
          <w:lang w:val="en-US"/>
        </w:rPr>
        <w:t xml:space="preserve">, </w:t>
      </w:r>
      <w:r w:rsidR="009F3D78" w:rsidRPr="00610904">
        <w:rPr>
          <w:lang w:val="en-US"/>
        </w:rPr>
        <w:t>Articles</w:t>
      </w:r>
      <w:r w:rsidR="003E12DE" w:rsidRPr="00610904">
        <w:rPr>
          <w:lang w:val="en-US"/>
        </w:rPr>
        <w:t xml:space="preserve"> 31, 76</w:t>
      </w:r>
      <w:r w:rsidR="009F3D78" w:rsidRPr="00610904">
        <w:rPr>
          <w:lang w:val="en-US"/>
        </w:rPr>
        <w:t xml:space="preserve"> and </w:t>
      </w:r>
      <w:r w:rsidR="00163298" w:rsidRPr="00610904">
        <w:rPr>
          <w:lang w:val="en-US"/>
        </w:rPr>
        <w:t xml:space="preserve">77 regulate the way in which other rights could be included in the system of protection </w:t>
      </w:r>
      <w:r w:rsidR="009F3D78" w:rsidRPr="00610904">
        <w:rPr>
          <w:lang w:val="en-US"/>
        </w:rPr>
        <w:t>of the Convention</w:t>
      </w:r>
      <w:r w:rsidR="003E12DE" w:rsidRPr="00610904">
        <w:rPr>
          <w:lang w:val="en-US"/>
        </w:rPr>
        <w:t xml:space="preserve">; </w:t>
      </w:r>
      <w:r w:rsidR="00163298" w:rsidRPr="00610904">
        <w:rPr>
          <w:lang w:val="en-US"/>
        </w:rPr>
        <w:t xml:space="preserve">on </w:t>
      </w:r>
      <w:r w:rsidR="00163298" w:rsidRPr="00610904">
        <w:rPr>
          <w:lang w:val="en-US"/>
        </w:rPr>
        <w:lastRenderedPageBreak/>
        <w:t>the other hand,</w:t>
      </w:r>
      <w:r w:rsidR="003E12DE" w:rsidRPr="00610904">
        <w:rPr>
          <w:lang w:val="en-US"/>
        </w:rPr>
        <w:t xml:space="preserve"> </w:t>
      </w:r>
      <w:r w:rsidR="009F3D78" w:rsidRPr="00610904">
        <w:rPr>
          <w:lang w:val="en-US"/>
        </w:rPr>
        <w:t>Article</w:t>
      </w:r>
      <w:r w:rsidR="003E12DE" w:rsidRPr="00610904">
        <w:rPr>
          <w:lang w:val="en-US"/>
        </w:rPr>
        <w:t xml:space="preserve"> 29 (“</w:t>
      </w:r>
      <w:r w:rsidR="00163298" w:rsidRPr="00610904">
        <w:rPr>
          <w:lang w:val="en-US"/>
        </w:rPr>
        <w:t xml:space="preserve">Restrictions regarding interpretation,” included in Chapter IV, “Suspension of Guarantees, Interpretation, and Application”) </w:t>
      </w:r>
      <w:r w:rsidR="00163298" w:rsidRPr="00610904">
        <w:rPr>
          <w:i/>
          <w:lang w:val="en-US"/>
        </w:rPr>
        <w:t>recognizes</w:t>
      </w:r>
      <w:r w:rsidR="00163298" w:rsidRPr="00610904">
        <w:rPr>
          <w:lang w:val="en-US"/>
        </w:rPr>
        <w:t xml:space="preserve"> other rights and guarantees (in particular “that are inherent in the human personality or derived from representative democracy as a form of government”), but mentions nothing about their inclusions in the system of protection</w:t>
      </w:r>
      <w:r w:rsidR="003E12DE" w:rsidRPr="00610904">
        <w:rPr>
          <w:lang w:val="en-US"/>
        </w:rPr>
        <w:t>.</w:t>
      </w:r>
    </w:p>
    <w:p w:rsidR="003E12DE" w:rsidRPr="00610904" w:rsidRDefault="00A8072E" w:rsidP="00610904">
      <w:pPr>
        <w:pStyle w:val="Estilo4"/>
        <w:numPr>
          <w:ilvl w:val="0"/>
          <w:numId w:val="20"/>
        </w:numPr>
        <w:spacing w:after="160"/>
        <w:ind w:left="0" w:firstLine="0"/>
        <w:rPr>
          <w:lang w:val="en-US"/>
        </w:rPr>
      </w:pPr>
      <w:r w:rsidRPr="00610904">
        <w:rPr>
          <w:lang w:val="en-US"/>
        </w:rPr>
        <w:t>Article</w:t>
      </w:r>
      <w:r w:rsidR="003E12DE" w:rsidRPr="00610904">
        <w:rPr>
          <w:lang w:val="en-US"/>
        </w:rPr>
        <w:t xml:space="preserve"> 31, </w:t>
      </w:r>
      <w:r w:rsidR="00163298" w:rsidRPr="00610904">
        <w:rPr>
          <w:lang w:val="en-US"/>
        </w:rPr>
        <w:t>entitled</w:t>
      </w:r>
      <w:r w:rsidR="003E12DE" w:rsidRPr="00610904">
        <w:rPr>
          <w:lang w:val="en-US"/>
        </w:rPr>
        <w:t xml:space="preserve"> “Reco</w:t>
      </w:r>
      <w:r w:rsidR="00163298" w:rsidRPr="00610904">
        <w:rPr>
          <w:lang w:val="en-US"/>
        </w:rPr>
        <w:t>gnition of Other Rights,” regulates the way in which these other rights “may be included in</w:t>
      </w:r>
      <w:r w:rsidR="00B95390" w:rsidRPr="00610904">
        <w:rPr>
          <w:lang w:val="en-US"/>
        </w:rPr>
        <w:t xml:space="preserve"> the </w:t>
      </w:r>
      <w:r w:rsidR="00163298" w:rsidRPr="00610904">
        <w:rPr>
          <w:lang w:val="en-US"/>
        </w:rPr>
        <w:t xml:space="preserve">system of protection of this Convention,” “in accordance with the procedures established in </w:t>
      </w:r>
      <w:r w:rsidR="009F3D78" w:rsidRPr="00610904">
        <w:rPr>
          <w:lang w:val="en-US"/>
        </w:rPr>
        <w:t>Articles</w:t>
      </w:r>
      <w:r w:rsidR="003E12DE" w:rsidRPr="00610904">
        <w:rPr>
          <w:lang w:val="en-US"/>
        </w:rPr>
        <w:t xml:space="preserve"> 76</w:t>
      </w:r>
      <w:r w:rsidR="009F3D78" w:rsidRPr="00610904">
        <w:rPr>
          <w:lang w:val="en-US"/>
        </w:rPr>
        <w:t xml:space="preserve"> and </w:t>
      </w:r>
      <w:r w:rsidR="003E12DE" w:rsidRPr="00610904">
        <w:rPr>
          <w:lang w:val="en-US"/>
        </w:rPr>
        <w:t>77</w:t>
      </w:r>
      <w:r w:rsidR="00163298" w:rsidRPr="00610904">
        <w:rPr>
          <w:lang w:val="en-US"/>
        </w:rPr>
        <w:t>.</w:t>
      </w:r>
      <w:r w:rsidR="003E12DE" w:rsidRPr="00610904">
        <w:rPr>
          <w:lang w:val="en-US"/>
        </w:rPr>
        <w:t xml:space="preserve">” </w:t>
      </w:r>
    </w:p>
    <w:p w:rsidR="003E12DE" w:rsidRPr="00610904" w:rsidRDefault="00163298" w:rsidP="00610904">
      <w:pPr>
        <w:pStyle w:val="Estilo4"/>
        <w:numPr>
          <w:ilvl w:val="0"/>
          <w:numId w:val="20"/>
        </w:numPr>
        <w:spacing w:after="300"/>
        <w:ind w:left="0" w:firstLine="0"/>
        <w:rPr>
          <w:lang w:val="en-US"/>
        </w:rPr>
      </w:pPr>
      <w:r w:rsidRPr="00610904">
        <w:rPr>
          <w:lang w:val="en-US"/>
        </w:rPr>
        <w:t>This means that there are “other rights,” in addition to those recognized by</w:t>
      </w:r>
      <w:r w:rsidR="003E12DE" w:rsidRPr="00610904">
        <w:rPr>
          <w:lang w:val="en-US"/>
        </w:rPr>
        <w:t xml:space="preserve"> </w:t>
      </w:r>
      <w:r w:rsidR="009F3D78" w:rsidRPr="00610904">
        <w:rPr>
          <w:lang w:val="en-US"/>
        </w:rPr>
        <w:t>the Convention</w:t>
      </w:r>
      <w:r w:rsidR="00B95390" w:rsidRPr="00610904">
        <w:rPr>
          <w:lang w:val="en-US"/>
        </w:rPr>
        <w:t>,</w:t>
      </w:r>
      <w:r w:rsidR="003E12DE" w:rsidRPr="00610904">
        <w:rPr>
          <w:lang w:val="en-US"/>
        </w:rPr>
        <w:t xml:space="preserve"> </w:t>
      </w:r>
      <w:r w:rsidRPr="00610904">
        <w:rPr>
          <w:lang w:val="en-US"/>
        </w:rPr>
        <w:t>that may be justiciab</w:t>
      </w:r>
      <w:r w:rsidR="00B95390" w:rsidRPr="00610904">
        <w:rPr>
          <w:lang w:val="en-US"/>
        </w:rPr>
        <w:t xml:space="preserve">le according to domestic law or </w:t>
      </w:r>
      <w:r w:rsidRPr="00610904">
        <w:rPr>
          <w:lang w:val="en-US"/>
        </w:rPr>
        <w:t>to</w:t>
      </w:r>
      <w:r w:rsidR="00B95390" w:rsidRPr="00610904">
        <w:rPr>
          <w:lang w:val="en-US"/>
        </w:rPr>
        <w:t xml:space="preserve"> another legal order, but they would</w:t>
      </w:r>
      <w:r w:rsidRPr="00610904">
        <w:rPr>
          <w:lang w:val="en-US"/>
        </w:rPr>
        <w:t xml:space="preserve"> only</w:t>
      </w:r>
      <w:r w:rsidR="00B95390" w:rsidRPr="00610904">
        <w:rPr>
          <w:lang w:val="en-US"/>
        </w:rPr>
        <w:t xml:space="preserve"> be</w:t>
      </w:r>
      <w:r w:rsidRPr="00610904">
        <w:rPr>
          <w:lang w:val="en-US"/>
        </w:rPr>
        <w:t xml:space="preserve"> “recognized” for the effects </w:t>
      </w:r>
      <w:r w:rsidR="009F3D78" w:rsidRPr="00610904">
        <w:rPr>
          <w:lang w:val="en-US"/>
        </w:rPr>
        <w:t>of the Convention</w:t>
      </w:r>
      <w:r w:rsidR="003E12DE" w:rsidRPr="00610904">
        <w:rPr>
          <w:lang w:val="en-US"/>
        </w:rPr>
        <w:t xml:space="preserve"> (</w:t>
      </w:r>
      <w:r w:rsidR="00A8072E" w:rsidRPr="00610904">
        <w:rPr>
          <w:lang w:val="en-US"/>
        </w:rPr>
        <w:t>Article</w:t>
      </w:r>
      <w:r w:rsidRPr="00610904">
        <w:rPr>
          <w:lang w:val="en-US"/>
        </w:rPr>
        <w:t xml:space="preserve"> 1(</w:t>
      </w:r>
      <w:r w:rsidR="003E12DE" w:rsidRPr="00610904">
        <w:rPr>
          <w:lang w:val="en-US"/>
        </w:rPr>
        <w:t>1</w:t>
      </w:r>
      <w:r w:rsidRPr="00610904">
        <w:rPr>
          <w:lang w:val="en-US"/>
        </w:rPr>
        <w:t>)</w:t>
      </w:r>
      <w:r w:rsidR="003E12DE" w:rsidRPr="00610904">
        <w:rPr>
          <w:lang w:val="en-US"/>
        </w:rPr>
        <w:t>)</w:t>
      </w:r>
      <w:r w:rsidR="009F3D78" w:rsidRPr="00610904">
        <w:rPr>
          <w:lang w:val="en-US"/>
        </w:rPr>
        <w:t xml:space="preserve"> and </w:t>
      </w:r>
      <w:r w:rsidRPr="00610904">
        <w:rPr>
          <w:lang w:val="en-US"/>
        </w:rPr>
        <w:t xml:space="preserve">included in the </w:t>
      </w:r>
      <w:r w:rsidR="00B95390" w:rsidRPr="00610904">
        <w:rPr>
          <w:lang w:val="en-US"/>
        </w:rPr>
        <w:t xml:space="preserve">protection </w:t>
      </w:r>
      <w:r w:rsidRPr="00610904">
        <w:rPr>
          <w:lang w:val="en-US"/>
        </w:rPr>
        <w:t xml:space="preserve">system created by this instrument when the procedures established in </w:t>
      </w:r>
      <w:r w:rsidR="006E502B" w:rsidRPr="00610904">
        <w:rPr>
          <w:lang w:val="en-US"/>
        </w:rPr>
        <w:t>Article</w:t>
      </w:r>
      <w:r w:rsidR="003E12DE" w:rsidRPr="00610904">
        <w:rPr>
          <w:lang w:val="en-US"/>
        </w:rPr>
        <w:t xml:space="preserve"> 76 </w:t>
      </w:r>
      <w:r w:rsidRPr="00610904">
        <w:rPr>
          <w:lang w:val="en-US"/>
        </w:rPr>
        <w:t xml:space="preserve">or </w:t>
      </w:r>
      <w:r w:rsidR="006E502B" w:rsidRPr="00610904">
        <w:rPr>
          <w:lang w:val="en-US"/>
        </w:rPr>
        <w:t>Article</w:t>
      </w:r>
      <w:r w:rsidR="003E12DE" w:rsidRPr="00610904">
        <w:rPr>
          <w:lang w:val="en-US"/>
        </w:rPr>
        <w:t xml:space="preserve"> 77</w:t>
      </w:r>
      <w:r w:rsidRPr="00610904">
        <w:rPr>
          <w:lang w:val="en-US"/>
        </w:rPr>
        <w:t xml:space="preserve"> have been followed</w:t>
      </w:r>
      <w:r w:rsidR="003E12DE" w:rsidRPr="00610904">
        <w:rPr>
          <w:lang w:val="en-US"/>
        </w:rPr>
        <w:t xml:space="preserve"> (</w:t>
      </w:r>
      <w:r w:rsidRPr="00610904">
        <w:rPr>
          <w:lang w:val="en-US"/>
        </w:rPr>
        <w:t>either by amendments or protocols).</w:t>
      </w:r>
    </w:p>
    <w:p w:rsidR="003E12DE" w:rsidRPr="00610904" w:rsidRDefault="00163298" w:rsidP="00610904">
      <w:pPr>
        <w:pStyle w:val="Estilo2"/>
        <w:numPr>
          <w:ilvl w:val="0"/>
          <w:numId w:val="21"/>
        </w:numPr>
        <w:tabs>
          <w:tab w:val="clear" w:pos="567"/>
          <w:tab w:val="clear" w:pos="1134"/>
        </w:tabs>
        <w:spacing w:after="0"/>
        <w:rPr>
          <w:b/>
          <w:i/>
          <w:noProof w:val="0"/>
          <w:lang w:val="en-US"/>
        </w:rPr>
      </w:pPr>
      <w:r w:rsidRPr="00610904">
        <w:rPr>
          <w:b/>
          <w:i/>
          <w:noProof w:val="0"/>
          <w:lang w:val="en-US"/>
        </w:rPr>
        <w:t>The system of protection</w:t>
      </w:r>
    </w:p>
    <w:p w:rsidR="00B95390" w:rsidRPr="00610904" w:rsidRDefault="00B95390" w:rsidP="00610904">
      <w:pPr>
        <w:pStyle w:val="Estilo2"/>
        <w:tabs>
          <w:tab w:val="clear" w:pos="567"/>
          <w:tab w:val="clear" w:pos="1134"/>
          <w:tab w:val="clear" w:pos="4767"/>
        </w:tabs>
        <w:spacing w:after="0"/>
        <w:ind w:left="1429" w:firstLine="0"/>
        <w:rPr>
          <w:b/>
          <w:i/>
          <w:noProof w:val="0"/>
          <w:lang w:val="en-US"/>
        </w:rPr>
      </w:pPr>
    </w:p>
    <w:p w:rsidR="003E12DE" w:rsidRPr="00610904" w:rsidRDefault="00163298" w:rsidP="00610904">
      <w:pPr>
        <w:pStyle w:val="Estilo4"/>
        <w:numPr>
          <w:ilvl w:val="0"/>
          <w:numId w:val="20"/>
        </w:numPr>
        <w:spacing w:after="0"/>
        <w:ind w:left="0" w:firstLine="0"/>
        <w:rPr>
          <w:lang w:val="en-US"/>
        </w:rPr>
      </w:pPr>
      <w:r w:rsidRPr="00610904">
        <w:rPr>
          <w:lang w:val="en-US"/>
        </w:rPr>
        <w:t>The system of protection is established in Part II, “Means of Protection,” which assigns this competence to</w:t>
      </w:r>
      <w:r w:rsidR="003E12DE" w:rsidRPr="00610904">
        <w:rPr>
          <w:lang w:val="en-US"/>
        </w:rPr>
        <w:t xml:space="preserve"> </w:t>
      </w:r>
      <w:r w:rsidR="002F5BBA" w:rsidRPr="00610904">
        <w:rPr>
          <w:lang w:val="en-US"/>
        </w:rPr>
        <w:t>the Inter-American Commission on Human Rights</w:t>
      </w:r>
      <w:r w:rsidRPr="00610904">
        <w:rPr>
          <w:lang w:val="en-US"/>
        </w:rPr>
        <w:t xml:space="preserve"> and</w:t>
      </w:r>
      <w:r w:rsidR="003E12DE" w:rsidRPr="00610904">
        <w:rPr>
          <w:lang w:val="en-US"/>
        </w:rPr>
        <w:t xml:space="preserve"> </w:t>
      </w:r>
      <w:r w:rsidR="009F3D78" w:rsidRPr="00610904">
        <w:rPr>
          <w:lang w:val="en-US"/>
        </w:rPr>
        <w:t>the Inter-American Court</w:t>
      </w:r>
      <w:r w:rsidR="003E12DE" w:rsidRPr="00610904">
        <w:rPr>
          <w:lang w:val="en-US"/>
        </w:rPr>
        <w:t xml:space="preserve"> </w:t>
      </w:r>
      <w:r w:rsidRPr="00610904">
        <w:rPr>
          <w:lang w:val="en-US"/>
        </w:rPr>
        <w:t>of Human Rights</w:t>
      </w:r>
      <w:r w:rsidR="003E12DE" w:rsidRPr="00610904">
        <w:rPr>
          <w:lang w:val="en-US"/>
        </w:rPr>
        <w:t xml:space="preserve"> (</w:t>
      </w:r>
      <w:r w:rsidRPr="00610904">
        <w:rPr>
          <w:lang w:val="en-US"/>
        </w:rPr>
        <w:t>according to</w:t>
      </w:r>
      <w:r w:rsidR="003E12DE" w:rsidRPr="00610904">
        <w:rPr>
          <w:lang w:val="en-US"/>
        </w:rPr>
        <w:t xml:space="preserve"> </w:t>
      </w:r>
      <w:r w:rsidR="009F3D78" w:rsidRPr="00610904">
        <w:rPr>
          <w:lang w:val="en-US"/>
        </w:rPr>
        <w:t>Article</w:t>
      </w:r>
      <w:r w:rsidR="003E12DE" w:rsidRPr="00610904">
        <w:rPr>
          <w:lang w:val="en-US"/>
        </w:rPr>
        <w:t xml:space="preserve"> 33). </w:t>
      </w:r>
      <w:r w:rsidRPr="00610904">
        <w:rPr>
          <w:lang w:val="en-US"/>
        </w:rPr>
        <w:t>The whole of this</w:t>
      </w:r>
      <w:r w:rsidR="003E12DE" w:rsidRPr="00610904">
        <w:rPr>
          <w:lang w:val="en-US"/>
        </w:rPr>
        <w:t xml:space="preserve"> </w:t>
      </w:r>
      <w:r w:rsidRPr="00610904">
        <w:rPr>
          <w:lang w:val="en-US"/>
        </w:rPr>
        <w:t>protection</w:t>
      </w:r>
      <w:r w:rsidR="00B95390" w:rsidRPr="00610904">
        <w:rPr>
          <w:lang w:val="en-US"/>
        </w:rPr>
        <w:t xml:space="preserve"> system</w:t>
      </w:r>
      <w:r w:rsidRPr="00610904">
        <w:rPr>
          <w:lang w:val="en-US"/>
        </w:rPr>
        <w:t xml:space="preserve"> relates to the human rights established in</w:t>
      </w:r>
      <w:r w:rsidR="003E12DE" w:rsidRPr="00610904">
        <w:rPr>
          <w:lang w:val="en-US"/>
        </w:rPr>
        <w:t xml:space="preserve"> </w:t>
      </w:r>
      <w:r w:rsidR="009F3D78" w:rsidRPr="00610904">
        <w:rPr>
          <w:lang w:val="en-US"/>
        </w:rPr>
        <w:t>the Convention</w:t>
      </w:r>
      <w:r w:rsidRPr="00610904">
        <w:rPr>
          <w:lang w:val="en-US"/>
        </w:rPr>
        <w:t xml:space="preserve"> or to the rights and freedoms recognized by </w:t>
      </w:r>
      <w:r w:rsidR="009F3D78" w:rsidRPr="00610904">
        <w:rPr>
          <w:lang w:val="en-US"/>
        </w:rPr>
        <w:t>the Convention</w:t>
      </w:r>
      <w:r w:rsidR="003E12DE" w:rsidRPr="00610904">
        <w:rPr>
          <w:lang w:val="en-US"/>
        </w:rPr>
        <w:t xml:space="preserve">. </w:t>
      </w:r>
      <w:r w:rsidRPr="00610904">
        <w:rPr>
          <w:lang w:val="en-US"/>
        </w:rPr>
        <w:t xml:space="preserve">Let us look at the pertinent provisions: </w:t>
      </w:r>
    </w:p>
    <w:p w:rsidR="00B95390" w:rsidRPr="00610904" w:rsidRDefault="00B95390" w:rsidP="00610904">
      <w:pPr>
        <w:pStyle w:val="Estilo4"/>
        <w:numPr>
          <w:ilvl w:val="0"/>
          <w:numId w:val="0"/>
        </w:numPr>
        <w:spacing w:after="0"/>
        <w:rPr>
          <w:lang w:val="en-US"/>
        </w:rPr>
      </w:pPr>
    </w:p>
    <w:p w:rsidR="00163298" w:rsidRPr="00610904" w:rsidRDefault="002F5BBA" w:rsidP="00610904">
      <w:pPr>
        <w:pStyle w:val="Estilo2"/>
        <w:numPr>
          <w:ilvl w:val="0"/>
          <w:numId w:val="22"/>
        </w:numPr>
        <w:tabs>
          <w:tab w:val="clear" w:pos="567"/>
          <w:tab w:val="clear" w:pos="1134"/>
        </w:tabs>
        <w:spacing w:after="0"/>
        <w:ind w:left="0" w:firstLine="720"/>
        <w:rPr>
          <w:noProof w:val="0"/>
          <w:lang w:val="en-US"/>
        </w:rPr>
      </w:pPr>
      <w:r w:rsidRPr="00610904">
        <w:rPr>
          <w:i/>
          <w:noProof w:val="0"/>
          <w:lang w:val="en-US"/>
        </w:rPr>
        <w:t>The Commission</w:t>
      </w:r>
      <w:r w:rsidR="003E12DE" w:rsidRPr="00610904">
        <w:rPr>
          <w:i/>
          <w:noProof w:val="0"/>
          <w:lang w:val="en-US"/>
        </w:rPr>
        <w:t xml:space="preserve"> (</w:t>
      </w:r>
      <w:r w:rsidR="00163298" w:rsidRPr="00610904">
        <w:rPr>
          <w:i/>
          <w:noProof w:val="0"/>
          <w:lang w:val="en-US"/>
        </w:rPr>
        <w:t>Chapter</w:t>
      </w:r>
      <w:r w:rsidR="003E12DE" w:rsidRPr="00610904">
        <w:rPr>
          <w:i/>
          <w:noProof w:val="0"/>
          <w:lang w:val="en-US"/>
        </w:rPr>
        <w:t xml:space="preserve"> VII)</w:t>
      </w:r>
      <w:r w:rsidR="003E12DE" w:rsidRPr="00610904">
        <w:rPr>
          <w:noProof w:val="0"/>
          <w:lang w:val="en-US"/>
        </w:rPr>
        <w:t xml:space="preserve">: </w:t>
      </w:r>
      <w:r w:rsidR="00163298" w:rsidRPr="00610904">
        <w:rPr>
          <w:noProof w:val="0"/>
          <w:lang w:val="en-US"/>
        </w:rPr>
        <w:t>the pertinent a</w:t>
      </w:r>
      <w:r w:rsidR="00A8072E" w:rsidRPr="00610904">
        <w:rPr>
          <w:noProof w:val="0"/>
          <w:lang w:val="en-US"/>
        </w:rPr>
        <w:t>rticles</w:t>
      </w:r>
      <w:r w:rsidR="003E12DE" w:rsidRPr="00610904">
        <w:rPr>
          <w:noProof w:val="0"/>
          <w:lang w:val="en-US"/>
        </w:rPr>
        <w:t xml:space="preserve"> </w:t>
      </w:r>
      <w:r w:rsidR="00163298" w:rsidRPr="00610904">
        <w:rPr>
          <w:noProof w:val="0"/>
          <w:lang w:val="en-US"/>
        </w:rPr>
        <w:t xml:space="preserve">refer to the competence </w:t>
      </w:r>
      <w:r w:rsidR="003309BE" w:rsidRPr="00610904">
        <w:rPr>
          <w:noProof w:val="0"/>
          <w:lang w:val="en-US"/>
        </w:rPr>
        <w:t xml:space="preserve">of the </w:t>
      </w:r>
      <w:r w:rsidRPr="00610904">
        <w:rPr>
          <w:noProof w:val="0"/>
          <w:lang w:val="en-US"/>
        </w:rPr>
        <w:t>Commission</w:t>
      </w:r>
      <w:r w:rsidR="003E12DE" w:rsidRPr="00610904">
        <w:rPr>
          <w:noProof w:val="0"/>
          <w:lang w:val="en-US"/>
        </w:rPr>
        <w:t xml:space="preserve">, </w:t>
      </w:r>
      <w:r w:rsidR="00163298" w:rsidRPr="00610904">
        <w:rPr>
          <w:noProof w:val="0"/>
          <w:lang w:val="en-US"/>
        </w:rPr>
        <w:t>the admissibility of cases, and the procedure.</w:t>
      </w:r>
      <w:r w:rsidR="003E12DE" w:rsidRPr="00610904">
        <w:rPr>
          <w:noProof w:val="0"/>
          <w:lang w:val="en-US"/>
        </w:rPr>
        <w:t xml:space="preserve"> </w:t>
      </w:r>
      <w:r w:rsidRPr="00610904">
        <w:rPr>
          <w:noProof w:val="0"/>
          <w:lang w:val="en-US"/>
        </w:rPr>
        <w:t>The Commission</w:t>
      </w:r>
      <w:r w:rsidR="003E12DE" w:rsidRPr="00610904">
        <w:rPr>
          <w:noProof w:val="0"/>
          <w:lang w:val="en-US"/>
        </w:rPr>
        <w:t xml:space="preserve"> </w:t>
      </w:r>
      <w:r w:rsidR="00163298" w:rsidRPr="00610904">
        <w:rPr>
          <w:noProof w:val="0"/>
          <w:lang w:val="en-US"/>
        </w:rPr>
        <w:t>has</w:t>
      </w:r>
      <w:r w:rsidR="003E12DE" w:rsidRPr="00610904">
        <w:rPr>
          <w:noProof w:val="0"/>
          <w:lang w:val="en-US"/>
        </w:rPr>
        <w:t xml:space="preserve"> </w:t>
      </w:r>
      <w:r w:rsidR="00163298" w:rsidRPr="00610904">
        <w:rPr>
          <w:i/>
          <w:noProof w:val="0"/>
          <w:lang w:val="en-US"/>
        </w:rPr>
        <w:t>competence</w:t>
      </w:r>
      <w:r w:rsidR="003E12DE" w:rsidRPr="00610904">
        <w:rPr>
          <w:noProof w:val="0"/>
          <w:lang w:val="en-US"/>
        </w:rPr>
        <w:t xml:space="preserve"> </w:t>
      </w:r>
      <w:r w:rsidR="004A6E8B" w:rsidRPr="00610904">
        <w:rPr>
          <w:noProof w:val="0"/>
          <w:lang w:val="en-US"/>
        </w:rPr>
        <w:t>in relation to</w:t>
      </w:r>
      <w:r w:rsidR="00163298" w:rsidRPr="00610904">
        <w:rPr>
          <w:noProof w:val="0"/>
          <w:lang w:val="en-US"/>
        </w:rPr>
        <w:t xml:space="preserve"> the “petitions” lodged by “[a]ny person or group of persons, or non-governmental entity legally recognized in one or more Member States of the Organization [of American States]” </w:t>
      </w:r>
      <w:r w:rsidR="00163298" w:rsidRPr="00610904">
        <w:rPr>
          <w:i/>
          <w:noProof w:val="0"/>
          <w:lang w:val="en-US"/>
        </w:rPr>
        <w:t>“</w:t>
      </w:r>
      <w:r w:rsidR="00163298" w:rsidRPr="00610904">
        <w:rPr>
          <w:noProof w:val="0"/>
          <w:spacing w:val="-3"/>
          <w:lang w:val="en-US"/>
        </w:rPr>
        <w:t xml:space="preserve">containing denunciations or complaints of </w:t>
      </w:r>
      <w:r w:rsidR="00163298" w:rsidRPr="00610904">
        <w:rPr>
          <w:i/>
          <w:noProof w:val="0"/>
          <w:spacing w:val="-3"/>
          <w:lang w:val="en-US"/>
        </w:rPr>
        <w:t>violation of this Convention</w:t>
      </w:r>
      <w:r w:rsidR="00163298" w:rsidRPr="00610904">
        <w:rPr>
          <w:noProof w:val="0"/>
          <w:spacing w:val="-3"/>
          <w:lang w:val="en-US"/>
        </w:rPr>
        <w:t xml:space="preserve"> by a State Party </w:t>
      </w:r>
      <w:r w:rsidR="00163298" w:rsidRPr="00610904">
        <w:rPr>
          <w:noProof w:val="0"/>
          <w:lang w:val="en-US"/>
        </w:rPr>
        <w:t xml:space="preserve">(Article 44) or “communications in which a State Party alleges that another State Party has committed a </w:t>
      </w:r>
      <w:r w:rsidR="00163298" w:rsidRPr="00610904">
        <w:rPr>
          <w:i/>
          <w:noProof w:val="0"/>
          <w:lang w:val="en-US"/>
        </w:rPr>
        <w:t>violation of a human right set forth in this Convention</w:t>
      </w:r>
      <w:r w:rsidR="00163298" w:rsidRPr="00610904">
        <w:rPr>
          <w:noProof w:val="0"/>
          <w:lang w:val="en-US"/>
        </w:rPr>
        <w:t>” (Article 45)</w:t>
      </w:r>
      <w:r w:rsidR="00163298" w:rsidRPr="00610904">
        <w:rPr>
          <w:i/>
          <w:noProof w:val="0"/>
          <w:lang w:val="en-US"/>
        </w:rPr>
        <w:t xml:space="preserve">. </w:t>
      </w:r>
      <w:r w:rsidR="00163298" w:rsidRPr="00610904">
        <w:rPr>
          <w:noProof w:val="0"/>
          <w:lang w:val="en-US"/>
        </w:rPr>
        <w:t xml:space="preserve">“The petition or communication that </w:t>
      </w:r>
      <w:r w:rsidR="00163298" w:rsidRPr="00610904">
        <w:rPr>
          <w:noProof w:val="0"/>
          <w:spacing w:val="-3"/>
          <w:lang w:val="en-US"/>
        </w:rPr>
        <w:t xml:space="preserve">does not state facts that tend to establish a violation of the rights guaranteed by this Convention” shall be considered </w:t>
      </w:r>
      <w:r w:rsidR="00163298" w:rsidRPr="00610904">
        <w:rPr>
          <w:i/>
          <w:noProof w:val="0"/>
          <w:spacing w:val="-3"/>
          <w:lang w:val="en-US"/>
        </w:rPr>
        <w:t>inadmissible</w:t>
      </w:r>
      <w:r w:rsidR="00163298" w:rsidRPr="00610904">
        <w:rPr>
          <w:noProof w:val="0"/>
          <w:spacing w:val="-3"/>
          <w:lang w:val="en-US"/>
        </w:rPr>
        <w:t xml:space="preserve"> </w:t>
      </w:r>
      <w:r w:rsidR="00163298" w:rsidRPr="00610904">
        <w:rPr>
          <w:noProof w:val="0"/>
          <w:lang w:val="en-US"/>
        </w:rPr>
        <w:t xml:space="preserve">(Article 47(b)). And the section on “Procedure” refers to the case in which the Commission “receives a petition or communication alleging </w:t>
      </w:r>
      <w:r w:rsidR="00163298" w:rsidRPr="00610904">
        <w:rPr>
          <w:i/>
          <w:noProof w:val="0"/>
          <w:lang w:val="en-US"/>
        </w:rPr>
        <w:t>violation of any of the rights protected by this Convention</w:t>
      </w:r>
      <w:r w:rsidR="00163298" w:rsidRPr="00610904">
        <w:rPr>
          <w:noProof w:val="0"/>
          <w:lang w:val="en-US"/>
        </w:rPr>
        <w:t>.”</w:t>
      </w:r>
    </w:p>
    <w:p w:rsidR="00B95390" w:rsidRPr="00610904" w:rsidRDefault="00B95390" w:rsidP="00610904">
      <w:pPr>
        <w:pStyle w:val="Estilo2"/>
        <w:tabs>
          <w:tab w:val="clear" w:pos="567"/>
          <w:tab w:val="clear" w:pos="1134"/>
          <w:tab w:val="clear" w:pos="4767"/>
        </w:tabs>
        <w:spacing w:after="0"/>
        <w:ind w:left="720" w:firstLine="0"/>
        <w:rPr>
          <w:noProof w:val="0"/>
          <w:lang w:val="en-US"/>
        </w:rPr>
      </w:pPr>
    </w:p>
    <w:p w:rsidR="00163298" w:rsidRPr="00610904" w:rsidRDefault="009F3D78" w:rsidP="00610904">
      <w:pPr>
        <w:pStyle w:val="Estilo5"/>
        <w:spacing w:after="200" w:line="240" w:lineRule="auto"/>
        <w:jc w:val="both"/>
        <w:rPr>
          <w:rFonts w:ascii="Verdana" w:hAnsi="Verdana"/>
          <w:sz w:val="20"/>
          <w:szCs w:val="20"/>
          <w:lang w:val="en-US"/>
        </w:rPr>
      </w:pPr>
      <w:r w:rsidRPr="00610904">
        <w:rPr>
          <w:rFonts w:ascii="Verdana" w:hAnsi="Verdana"/>
          <w:sz w:val="20"/>
          <w:szCs w:val="20"/>
          <w:lang w:val="en-US"/>
        </w:rPr>
        <w:t>The Court</w:t>
      </w:r>
      <w:r w:rsidR="003E12DE" w:rsidRPr="00610904">
        <w:rPr>
          <w:rFonts w:ascii="Verdana" w:hAnsi="Verdana"/>
          <w:sz w:val="20"/>
          <w:szCs w:val="20"/>
          <w:lang w:val="en-US"/>
        </w:rPr>
        <w:t xml:space="preserve"> (</w:t>
      </w:r>
      <w:r w:rsidR="00163298" w:rsidRPr="00610904">
        <w:rPr>
          <w:rFonts w:ascii="Verdana" w:hAnsi="Verdana"/>
          <w:sz w:val="20"/>
          <w:szCs w:val="20"/>
          <w:lang w:val="en-US"/>
        </w:rPr>
        <w:t>Chapter</w:t>
      </w:r>
      <w:r w:rsidR="003E12DE" w:rsidRPr="00610904">
        <w:rPr>
          <w:rFonts w:ascii="Verdana" w:hAnsi="Verdana"/>
          <w:sz w:val="20"/>
          <w:szCs w:val="20"/>
          <w:lang w:val="en-US"/>
        </w:rPr>
        <w:t xml:space="preserve"> VIII): </w:t>
      </w:r>
      <w:r w:rsidR="00163298" w:rsidRPr="00610904">
        <w:rPr>
          <w:rFonts w:ascii="Verdana" w:hAnsi="Verdana"/>
          <w:i w:val="0"/>
          <w:sz w:val="20"/>
          <w:szCs w:val="20"/>
          <w:lang w:val="en-US"/>
        </w:rPr>
        <w:t>the pertinent a</w:t>
      </w:r>
      <w:r w:rsidR="00A8072E" w:rsidRPr="00610904">
        <w:rPr>
          <w:rFonts w:ascii="Verdana" w:hAnsi="Verdana"/>
          <w:i w:val="0"/>
          <w:sz w:val="20"/>
          <w:szCs w:val="20"/>
          <w:lang w:val="en-US"/>
        </w:rPr>
        <w:t>rticles</w:t>
      </w:r>
      <w:r w:rsidR="003E12DE" w:rsidRPr="00610904">
        <w:rPr>
          <w:rFonts w:ascii="Verdana" w:hAnsi="Verdana"/>
          <w:i w:val="0"/>
          <w:sz w:val="20"/>
          <w:szCs w:val="20"/>
          <w:lang w:val="en-US"/>
        </w:rPr>
        <w:t xml:space="preserve"> </w:t>
      </w:r>
      <w:r w:rsidR="00163298" w:rsidRPr="00610904">
        <w:rPr>
          <w:rFonts w:ascii="Verdana" w:hAnsi="Verdana"/>
          <w:i w:val="0"/>
          <w:sz w:val="20"/>
          <w:szCs w:val="20"/>
          <w:lang w:val="en-US"/>
        </w:rPr>
        <w:t xml:space="preserve">refer to cases that may be submitted to the Court and its competence. Regarding the </w:t>
      </w:r>
      <w:r w:rsidR="00163298" w:rsidRPr="00610904">
        <w:rPr>
          <w:rFonts w:ascii="Verdana" w:hAnsi="Verdana"/>
          <w:sz w:val="20"/>
          <w:szCs w:val="20"/>
          <w:lang w:val="en-US"/>
        </w:rPr>
        <w:t>submission of cases</w:t>
      </w:r>
      <w:r w:rsidR="00163298" w:rsidRPr="00610904">
        <w:rPr>
          <w:rFonts w:ascii="Verdana" w:hAnsi="Verdana"/>
          <w:i w:val="0"/>
          <w:sz w:val="20"/>
          <w:szCs w:val="20"/>
          <w:lang w:val="en-US"/>
        </w:rPr>
        <w:t>: it may only hear a case submitted by the States Parties or the Commission when the procedures before the Commission have been exhausted (Article 61), so that all the norms cited in relation to the Commissi</w:t>
      </w:r>
      <w:r w:rsidR="00B95390" w:rsidRPr="00610904">
        <w:rPr>
          <w:rFonts w:ascii="Verdana" w:hAnsi="Verdana"/>
          <w:i w:val="0"/>
          <w:sz w:val="20"/>
          <w:szCs w:val="20"/>
          <w:lang w:val="en-US"/>
        </w:rPr>
        <w:t>on are applicable. Regarding</w:t>
      </w:r>
      <w:r w:rsidR="00163298" w:rsidRPr="00610904">
        <w:rPr>
          <w:rFonts w:ascii="Verdana" w:hAnsi="Verdana"/>
          <w:i w:val="0"/>
          <w:sz w:val="20"/>
          <w:szCs w:val="20"/>
          <w:lang w:val="en-US"/>
        </w:rPr>
        <w:t xml:space="preserve"> </w:t>
      </w:r>
      <w:r w:rsidR="00163298" w:rsidRPr="00610904">
        <w:rPr>
          <w:rFonts w:ascii="Verdana" w:hAnsi="Verdana"/>
          <w:sz w:val="20"/>
          <w:szCs w:val="20"/>
          <w:lang w:val="en-US"/>
        </w:rPr>
        <w:t>competence</w:t>
      </w:r>
      <w:r w:rsidR="00163298" w:rsidRPr="00610904">
        <w:rPr>
          <w:rFonts w:ascii="Verdana" w:hAnsi="Verdana"/>
          <w:i w:val="0"/>
          <w:sz w:val="20"/>
          <w:szCs w:val="20"/>
          <w:lang w:val="en-US"/>
        </w:rPr>
        <w:t>, the Court must decide whether “</w:t>
      </w:r>
      <w:r w:rsidR="00163298" w:rsidRPr="00610904">
        <w:rPr>
          <w:rFonts w:ascii="Verdana" w:hAnsi="Verdana"/>
          <w:i w:val="0"/>
          <w:spacing w:val="-3"/>
          <w:sz w:val="20"/>
          <w:szCs w:val="20"/>
          <w:lang w:val="en-US"/>
        </w:rPr>
        <w:t xml:space="preserve">there has been a </w:t>
      </w:r>
      <w:r w:rsidR="00163298" w:rsidRPr="00610904">
        <w:rPr>
          <w:rFonts w:ascii="Verdana" w:hAnsi="Verdana"/>
          <w:spacing w:val="-3"/>
          <w:sz w:val="20"/>
          <w:szCs w:val="20"/>
          <w:lang w:val="en-US"/>
        </w:rPr>
        <w:t>violation of a right or freedom protected by this Convention,”</w:t>
      </w:r>
      <w:r w:rsidR="00163298" w:rsidRPr="00610904">
        <w:rPr>
          <w:rFonts w:ascii="Verdana" w:hAnsi="Verdana"/>
          <w:i w:val="0"/>
          <w:spacing w:val="-3"/>
          <w:sz w:val="20"/>
          <w:szCs w:val="20"/>
          <w:lang w:val="en-US"/>
        </w:rPr>
        <w:t xml:space="preserve"> and, if so, it “shall rule that the injured party be ensured the enjoyment of his </w:t>
      </w:r>
      <w:r w:rsidR="00163298" w:rsidRPr="00610904">
        <w:rPr>
          <w:rFonts w:ascii="Verdana" w:hAnsi="Verdana"/>
          <w:spacing w:val="-3"/>
          <w:sz w:val="20"/>
          <w:szCs w:val="20"/>
          <w:lang w:val="en-US"/>
        </w:rPr>
        <w:t>right or freedom that was violated</w:t>
      </w:r>
      <w:r w:rsidR="00163298" w:rsidRPr="00610904">
        <w:rPr>
          <w:rFonts w:ascii="Verdana" w:hAnsi="Verdana"/>
          <w:i w:val="0"/>
          <w:spacing w:val="-3"/>
          <w:sz w:val="20"/>
          <w:szCs w:val="20"/>
          <w:lang w:val="en-US"/>
        </w:rPr>
        <w:t xml:space="preserve">,” and, “if appropriate, that the consequences of the measure or situation that constituted “the </w:t>
      </w:r>
      <w:r w:rsidR="00163298" w:rsidRPr="00610904">
        <w:rPr>
          <w:rFonts w:ascii="Verdana" w:hAnsi="Verdana"/>
          <w:spacing w:val="-3"/>
          <w:sz w:val="20"/>
          <w:szCs w:val="20"/>
          <w:lang w:val="en-US"/>
        </w:rPr>
        <w:t>breach of such right or freedom</w:t>
      </w:r>
      <w:r w:rsidR="00163298" w:rsidRPr="00610904">
        <w:rPr>
          <w:rFonts w:ascii="Verdana" w:hAnsi="Verdana"/>
          <w:i w:val="0"/>
          <w:spacing w:val="-3"/>
          <w:sz w:val="20"/>
          <w:szCs w:val="20"/>
          <w:lang w:val="en-US"/>
        </w:rPr>
        <w:t xml:space="preserve"> be remedied</w:t>
      </w:r>
      <w:r w:rsidR="00B95390" w:rsidRPr="00610904">
        <w:rPr>
          <w:rFonts w:ascii="Verdana" w:hAnsi="Verdana"/>
          <w:i w:val="0"/>
          <w:spacing w:val="-3"/>
          <w:sz w:val="20"/>
          <w:szCs w:val="20"/>
          <w:lang w:val="en-US"/>
        </w:rPr>
        <w:t>.</w:t>
      </w:r>
      <w:r w:rsidR="00163298" w:rsidRPr="00610904">
        <w:rPr>
          <w:rFonts w:ascii="Verdana" w:hAnsi="Verdana"/>
          <w:i w:val="0"/>
          <w:spacing w:val="-3"/>
          <w:sz w:val="20"/>
          <w:szCs w:val="20"/>
          <w:lang w:val="en-US"/>
        </w:rPr>
        <w:t>”</w:t>
      </w:r>
    </w:p>
    <w:p w:rsidR="003E12DE" w:rsidRPr="00610904" w:rsidRDefault="002453CC" w:rsidP="00610904">
      <w:pPr>
        <w:pStyle w:val="Estilo4"/>
        <w:numPr>
          <w:ilvl w:val="0"/>
          <w:numId w:val="20"/>
        </w:numPr>
        <w:spacing w:after="300"/>
        <w:ind w:left="0" w:firstLine="0"/>
        <w:rPr>
          <w:i/>
          <w:lang w:val="en-US"/>
        </w:rPr>
      </w:pPr>
      <w:r w:rsidRPr="0051351F">
        <w:rPr>
          <w:i/>
          <w:lang w:val="fr-FR"/>
        </w:rPr>
        <w:t>Scope of the</w:t>
      </w:r>
      <w:r w:rsidR="003E12DE" w:rsidRPr="0051351F">
        <w:rPr>
          <w:i/>
          <w:lang w:val="fr-FR"/>
        </w:rPr>
        <w:t xml:space="preserve"> “compétence de la compétence</w:t>
      </w:r>
      <w:r w:rsidRPr="0051351F">
        <w:rPr>
          <w:i/>
          <w:lang w:val="fr-FR"/>
        </w:rPr>
        <w:t>.”</w:t>
      </w:r>
      <w:r w:rsidR="003E12DE" w:rsidRPr="0051351F">
        <w:rPr>
          <w:i/>
          <w:lang w:val="fr-FR"/>
        </w:rPr>
        <w:t xml:space="preserve"> </w:t>
      </w:r>
      <w:r w:rsidR="003E12DE" w:rsidRPr="00610904">
        <w:rPr>
          <w:lang w:val="en-US"/>
        </w:rPr>
        <w:t>A</w:t>
      </w:r>
      <w:r w:rsidR="001359E5" w:rsidRPr="00610904">
        <w:rPr>
          <w:lang w:val="en-US"/>
        </w:rPr>
        <w:t xml:space="preserve">dding rights is not a competence </w:t>
      </w:r>
      <w:r w:rsidR="009F3D78" w:rsidRPr="00610904">
        <w:rPr>
          <w:lang w:val="en-US"/>
        </w:rPr>
        <w:t>of the Inter-American Court</w:t>
      </w:r>
      <w:r w:rsidR="003E12DE" w:rsidRPr="00610904">
        <w:rPr>
          <w:lang w:val="en-US"/>
        </w:rPr>
        <w:t xml:space="preserve">, </w:t>
      </w:r>
      <w:r w:rsidR="001359E5" w:rsidRPr="00610904">
        <w:rPr>
          <w:lang w:val="en-US"/>
        </w:rPr>
        <w:t xml:space="preserve">but rather of the State. The competence to decide, in each </w:t>
      </w:r>
      <w:r w:rsidR="001359E5" w:rsidRPr="00610904">
        <w:rPr>
          <w:lang w:val="en-US"/>
        </w:rPr>
        <w:lastRenderedPageBreak/>
        <w:t>contentious case whether or not it has competence does not mean that the Court may modify the meaning and scope of the competence assigned to it by the Convention.</w:t>
      </w:r>
    </w:p>
    <w:p w:rsidR="003E12DE" w:rsidRPr="00610904" w:rsidRDefault="00B95390" w:rsidP="00610904">
      <w:pPr>
        <w:pStyle w:val="Estilo1"/>
        <w:keepNext/>
        <w:numPr>
          <w:ilvl w:val="0"/>
          <w:numId w:val="19"/>
        </w:numPr>
        <w:spacing w:after="200"/>
        <w:ind w:left="0" w:right="0" w:firstLine="0"/>
        <w:rPr>
          <w:b/>
          <w:noProof w:val="0"/>
          <w:szCs w:val="20"/>
          <w:lang w:val="en-US"/>
        </w:rPr>
      </w:pPr>
      <w:r w:rsidRPr="00610904">
        <w:rPr>
          <w:b/>
          <w:noProof w:val="0"/>
          <w:szCs w:val="20"/>
          <w:lang w:val="en-US"/>
        </w:rPr>
        <w:t xml:space="preserve">A </w:t>
      </w:r>
      <w:r w:rsidR="006163E9" w:rsidRPr="00610904">
        <w:rPr>
          <w:b/>
          <w:noProof w:val="0"/>
          <w:szCs w:val="20"/>
          <w:lang w:val="en-US"/>
        </w:rPr>
        <w:t xml:space="preserve">MERE COMMITMENT TO PROGRESSIVE DEVELOPMENT AND NOT </w:t>
      </w:r>
      <w:r w:rsidRPr="00610904">
        <w:rPr>
          <w:b/>
          <w:noProof w:val="0"/>
          <w:szCs w:val="20"/>
          <w:lang w:val="en-US"/>
        </w:rPr>
        <w:t xml:space="preserve">A </w:t>
      </w:r>
      <w:r w:rsidR="006163E9" w:rsidRPr="00610904">
        <w:rPr>
          <w:b/>
          <w:noProof w:val="0"/>
          <w:szCs w:val="20"/>
          <w:lang w:val="en-US"/>
        </w:rPr>
        <w:t>RECOGNITION OF RIGHTS</w:t>
      </w:r>
    </w:p>
    <w:p w:rsidR="001359E5" w:rsidRPr="00610904" w:rsidRDefault="003E12DE" w:rsidP="00610904">
      <w:pPr>
        <w:pStyle w:val="Estilo4"/>
        <w:numPr>
          <w:ilvl w:val="0"/>
          <w:numId w:val="20"/>
        </w:numPr>
        <w:spacing w:after="300"/>
        <w:ind w:left="0" w:firstLine="0"/>
        <w:rPr>
          <w:lang w:val="en-US"/>
        </w:rPr>
      </w:pPr>
      <w:r w:rsidRPr="00610904">
        <w:rPr>
          <w:lang w:val="en-US"/>
        </w:rPr>
        <w:t xml:space="preserve"> </w:t>
      </w:r>
      <w:r w:rsidR="001359E5" w:rsidRPr="00610904">
        <w:rPr>
          <w:lang w:val="en-US"/>
        </w:rPr>
        <w:t>A reading o</w:t>
      </w:r>
      <w:r w:rsidR="006E502B" w:rsidRPr="00610904">
        <w:rPr>
          <w:lang w:val="en-US"/>
        </w:rPr>
        <w:t>f Article</w:t>
      </w:r>
      <w:r w:rsidRPr="00610904">
        <w:rPr>
          <w:lang w:val="en-US"/>
        </w:rPr>
        <w:t xml:space="preserve"> 26, </w:t>
      </w:r>
      <w:r w:rsidR="001359E5" w:rsidRPr="00610904">
        <w:rPr>
          <w:lang w:val="en-US"/>
        </w:rPr>
        <w:t>the sole article under</w:t>
      </w:r>
      <w:r w:rsidRPr="00610904">
        <w:rPr>
          <w:lang w:val="en-US"/>
        </w:rPr>
        <w:t xml:space="preserve"> </w:t>
      </w:r>
      <w:r w:rsidR="00163298" w:rsidRPr="00610904">
        <w:rPr>
          <w:lang w:val="en-US"/>
        </w:rPr>
        <w:t>Chapter</w:t>
      </w:r>
      <w:r w:rsidRPr="00610904">
        <w:rPr>
          <w:lang w:val="en-US"/>
        </w:rPr>
        <w:t xml:space="preserve"> III </w:t>
      </w:r>
      <w:r w:rsidR="001359E5" w:rsidRPr="00610904">
        <w:rPr>
          <w:lang w:val="en-US"/>
        </w:rPr>
        <w:t xml:space="preserve">of Part </w:t>
      </w:r>
      <w:r w:rsidRPr="00610904">
        <w:rPr>
          <w:lang w:val="en-US"/>
        </w:rPr>
        <w:t>I (</w:t>
      </w:r>
      <w:r w:rsidR="001B553E" w:rsidRPr="00610904">
        <w:rPr>
          <w:lang w:val="en-US"/>
        </w:rPr>
        <w:t>Economic, social and cultural rights</w:t>
      </w:r>
      <w:r w:rsidRPr="00610904">
        <w:rPr>
          <w:lang w:val="en-US"/>
        </w:rPr>
        <w:t>)</w:t>
      </w:r>
      <w:r w:rsidR="009F3D78" w:rsidRPr="00610904">
        <w:rPr>
          <w:lang w:val="en-US"/>
        </w:rPr>
        <w:t xml:space="preserve"> </w:t>
      </w:r>
      <w:r w:rsidR="001359E5" w:rsidRPr="00610904">
        <w:rPr>
          <w:lang w:val="en-US"/>
        </w:rPr>
        <w:t xml:space="preserve">entitled </w:t>
      </w:r>
      <w:r w:rsidRPr="00610904">
        <w:rPr>
          <w:lang w:val="en-US"/>
        </w:rPr>
        <w:t>“</w:t>
      </w:r>
      <w:r w:rsidR="001359E5" w:rsidRPr="00610904">
        <w:rPr>
          <w:lang w:val="en-US"/>
        </w:rPr>
        <w:t xml:space="preserve">Progressive Development,” reveals </w:t>
      </w:r>
      <w:r w:rsidR="009303FF" w:rsidRPr="00610904">
        <w:rPr>
          <w:lang w:val="en-US"/>
        </w:rPr>
        <w:t>that</w:t>
      </w:r>
      <w:r w:rsidR="001359E5" w:rsidRPr="00610904">
        <w:rPr>
          <w:lang w:val="en-US"/>
        </w:rPr>
        <w:t xml:space="preserve"> this article does not recognize or establish </w:t>
      </w:r>
      <w:r w:rsidR="00357398" w:rsidRPr="00610904">
        <w:rPr>
          <w:lang w:val="en-US"/>
        </w:rPr>
        <w:t>the economic, social and cultural rights</w:t>
      </w:r>
      <w:r w:rsidR="001359E5" w:rsidRPr="00610904">
        <w:rPr>
          <w:lang w:val="en-US"/>
        </w:rPr>
        <w:t xml:space="preserve">; rather it establishes something very different; the undertaking of the States to achieve progressively </w:t>
      </w:r>
      <w:r w:rsidR="001359E5" w:rsidRPr="00610904">
        <w:rPr>
          <w:spacing w:val="-3"/>
          <w:lang w:val="en-US"/>
        </w:rPr>
        <w:t xml:space="preserve">the full realization of the rights implicit in the economic, social, educational, scientific, and cultural standards set forth in the Charter of the Organization of American States as amended by the Protocol of Buenos Aires “to the extent permitted by the available resources.” The text of the article is absolutely clear, and also its context. This interpretation is corroborated by the subsequent agreements between the parties and by their subsequent conduct. Also, the background information on the article </w:t>
      </w:r>
      <w:proofErr w:type="gramStart"/>
      <w:r w:rsidR="001359E5" w:rsidRPr="00610904">
        <w:rPr>
          <w:spacing w:val="-3"/>
          <w:lang w:val="en-US"/>
        </w:rPr>
        <w:t>confirm</w:t>
      </w:r>
      <w:proofErr w:type="gramEnd"/>
      <w:r w:rsidR="001359E5" w:rsidRPr="00610904">
        <w:rPr>
          <w:spacing w:val="-3"/>
          <w:lang w:val="en-US"/>
        </w:rPr>
        <w:t xml:space="preserve"> this fully.</w:t>
      </w:r>
    </w:p>
    <w:p w:rsidR="003E12DE" w:rsidRPr="00610904" w:rsidRDefault="006163E9" w:rsidP="00610904">
      <w:pPr>
        <w:pStyle w:val="Estilo2"/>
        <w:numPr>
          <w:ilvl w:val="0"/>
          <w:numId w:val="23"/>
        </w:numPr>
        <w:tabs>
          <w:tab w:val="clear" w:pos="567"/>
          <w:tab w:val="clear" w:pos="1134"/>
        </w:tabs>
        <w:spacing w:after="200"/>
        <w:rPr>
          <w:b/>
          <w:noProof w:val="0"/>
          <w:lang w:val="en-US"/>
        </w:rPr>
      </w:pPr>
      <w:r w:rsidRPr="00610904">
        <w:rPr>
          <w:b/>
          <w:i/>
          <w:noProof w:val="0"/>
          <w:lang w:val="en-US"/>
        </w:rPr>
        <w:t>Rules for the interpretation of treaties</w:t>
      </w:r>
    </w:p>
    <w:p w:rsidR="003E12DE" w:rsidRPr="00610904" w:rsidRDefault="001359E5" w:rsidP="00610904">
      <w:pPr>
        <w:pStyle w:val="Estilo4"/>
        <w:numPr>
          <w:ilvl w:val="0"/>
          <w:numId w:val="20"/>
        </w:numPr>
        <w:spacing w:after="200"/>
        <w:ind w:left="0" w:firstLine="0"/>
        <w:rPr>
          <w:lang w:val="en-US"/>
        </w:rPr>
      </w:pPr>
      <w:r w:rsidRPr="00610904">
        <w:rPr>
          <w:lang w:val="en-US"/>
        </w:rPr>
        <w:t>According to the</w:t>
      </w:r>
      <w:r w:rsidR="00DB39D3" w:rsidRPr="00610904">
        <w:rPr>
          <w:lang w:val="en-US"/>
        </w:rPr>
        <w:t xml:space="preserve"> </w:t>
      </w:r>
      <w:r w:rsidRPr="00610904">
        <w:rPr>
          <w:lang w:val="en-US"/>
        </w:rPr>
        <w:t>general</w:t>
      </w:r>
      <w:r w:rsidR="00357398" w:rsidRPr="00610904">
        <w:rPr>
          <w:lang w:val="en-US"/>
        </w:rPr>
        <w:t xml:space="preserve"> rule of interpretation contained in </w:t>
      </w:r>
      <w:r w:rsidR="009F3D78" w:rsidRPr="00610904">
        <w:rPr>
          <w:lang w:val="en-US"/>
        </w:rPr>
        <w:t>Article</w:t>
      </w:r>
      <w:r w:rsidR="003E12DE" w:rsidRPr="00610904">
        <w:rPr>
          <w:lang w:val="en-US"/>
        </w:rPr>
        <w:t xml:space="preserve"> 31</w:t>
      </w:r>
      <w:r w:rsidR="009F3D78" w:rsidRPr="00610904">
        <w:rPr>
          <w:lang w:val="en-US"/>
        </w:rPr>
        <w:t xml:space="preserve"> of the</w:t>
      </w:r>
      <w:r w:rsidR="006163E9" w:rsidRPr="00610904">
        <w:rPr>
          <w:lang w:val="en-US"/>
        </w:rPr>
        <w:t xml:space="preserve"> Vienna</w:t>
      </w:r>
      <w:r w:rsidR="009F3D78" w:rsidRPr="00610904">
        <w:rPr>
          <w:lang w:val="en-US"/>
        </w:rPr>
        <w:t xml:space="preserve"> Convention</w:t>
      </w:r>
      <w:r w:rsidR="003E12DE" w:rsidRPr="00610904">
        <w:rPr>
          <w:lang w:val="en-US"/>
        </w:rPr>
        <w:t xml:space="preserve"> </w:t>
      </w:r>
      <w:r w:rsidR="006163E9" w:rsidRPr="00610904">
        <w:rPr>
          <w:lang w:val="en-US"/>
        </w:rPr>
        <w:t>of the Law of Treaties</w:t>
      </w:r>
      <w:r w:rsidR="003E12DE" w:rsidRPr="00610904">
        <w:rPr>
          <w:lang w:val="en-US"/>
        </w:rPr>
        <w:t xml:space="preserve">, “1. </w:t>
      </w:r>
      <w:r w:rsidR="00357398" w:rsidRPr="00610904">
        <w:rPr>
          <w:lang w:val="en-US"/>
        </w:rPr>
        <w:t xml:space="preserve">A treaty shall be interpreted in good faith in </w:t>
      </w:r>
      <w:r w:rsidR="00357398" w:rsidRPr="00610904">
        <w:rPr>
          <w:i/>
          <w:lang w:val="en-US"/>
        </w:rPr>
        <w:t>accordance with the ordinary meaning to be given to the terms of the treaty in their context and in the light of its object and purpose</w:t>
      </w:r>
      <w:r w:rsidR="00357398" w:rsidRPr="00610904">
        <w:rPr>
          <w:lang w:val="en-US"/>
        </w:rPr>
        <w:t>.</w:t>
      </w:r>
      <w:r w:rsidR="003E12DE" w:rsidRPr="00610904">
        <w:rPr>
          <w:lang w:val="en-US"/>
        </w:rPr>
        <w:t>”</w:t>
      </w:r>
      <w:r w:rsidR="00357398" w:rsidRPr="00610904">
        <w:rPr>
          <w:lang w:val="en-US"/>
        </w:rPr>
        <w:t xml:space="preserve"> The context comprises, among other elements, the </w:t>
      </w:r>
      <w:r w:rsidR="00B95390" w:rsidRPr="00610904">
        <w:rPr>
          <w:lang w:val="en-US"/>
        </w:rPr>
        <w:t>preamble to</w:t>
      </w:r>
      <w:r w:rsidR="00357398" w:rsidRPr="00610904">
        <w:rPr>
          <w:lang w:val="en-US"/>
        </w:rPr>
        <w:t xml:space="preserve"> the treaty, and “together with the context” any subsequent agreements and practice shall be taken into account: </w:t>
      </w:r>
    </w:p>
    <w:p w:rsidR="00357398" w:rsidRPr="00610904" w:rsidRDefault="00357398" w:rsidP="00610904">
      <w:pPr>
        <w:pStyle w:val="NormalWeb"/>
        <w:numPr>
          <w:ilvl w:val="0"/>
          <w:numId w:val="30"/>
        </w:numPr>
        <w:spacing w:before="0" w:beforeAutospacing="0" w:after="200" w:afterAutospacing="0"/>
        <w:ind w:left="900" w:right="468"/>
        <w:jc w:val="both"/>
        <w:rPr>
          <w:rFonts w:ascii="Verdana" w:hAnsi="Verdana"/>
          <w:noProof w:val="0"/>
          <w:sz w:val="20"/>
          <w:szCs w:val="20"/>
          <w:lang w:val="en-US"/>
        </w:rPr>
      </w:pPr>
      <w:r w:rsidRPr="00610904">
        <w:rPr>
          <w:rFonts w:ascii="Verdana" w:hAnsi="Verdana"/>
          <w:noProof w:val="0"/>
          <w:sz w:val="20"/>
          <w:szCs w:val="20"/>
          <w:lang w:val="en-US"/>
        </w:rPr>
        <w:t>any subsequent agreement between the parties regarding the interpretation of the treaty or the application of its provisions, and</w:t>
      </w:r>
    </w:p>
    <w:p w:rsidR="00357398" w:rsidRPr="00610904" w:rsidRDefault="00357398" w:rsidP="00610904">
      <w:pPr>
        <w:pStyle w:val="NormalWeb"/>
        <w:numPr>
          <w:ilvl w:val="0"/>
          <w:numId w:val="30"/>
        </w:numPr>
        <w:spacing w:before="0" w:beforeAutospacing="0" w:after="200" w:afterAutospacing="0"/>
        <w:ind w:left="900" w:right="468"/>
        <w:jc w:val="both"/>
        <w:rPr>
          <w:rFonts w:ascii="Verdana" w:hAnsi="Verdana"/>
          <w:noProof w:val="0"/>
          <w:sz w:val="20"/>
          <w:szCs w:val="20"/>
          <w:lang w:val="en-US"/>
        </w:rPr>
      </w:pPr>
      <w:proofErr w:type="gramStart"/>
      <w:r w:rsidRPr="00610904">
        <w:rPr>
          <w:rFonts w:ascii="Verdana" w:hAnsi="Verdana"/>
          <w:noProof w:val="0"/>
          <w:sz w:val="20"/>
          <w:szCs w:val="20"/>
          <w:lang w:val="en-US"/>
        </w:rPr>
        <w:t>any</w:t>
      </w:r>
      <w:proofErr w:type="gramEnd"/>
      <w:r w:rsidRPr="00610904">
        <w:rPr>
          <w:rFonts w:ascii="Verdana" w:hAnsi="Verdana"/>
          <w:noProof w:val="0"/>
          <w:sz w:val="20"/>
          <w:szCs w:val="20"/>
          <w:lang w:val="en-US"/>
        </w:rPr>
        <w:t xml:space="preserve"> subsequent practice in the application of the treaty which establishes the agreement of the partie</w:t>
      </w:r>
      <w:r w:rsidR="00B95390" w:rsidRPr="00610904">
        <w:rPr>
          <w:rFonts w:ascii="Verdana" w:hAnsi="Verdana"/>
          <w:noProof w:val="0"/>
          <w:sz w:val="20"/>
          <w:szCs w:val="20"/>
          <w:lang w:val="en-US"/>
        </w:rPr>
        <w:t>s regarding its interpretation.</w:t>
      </w:r>
    </w:p>
    <w:p w:rsidR="003E12DE" w:rsidRPr="00610904" w:rsidRDefault="00357398" w:rsidP="00610904">
      <w:pPr>
        <w:pStyle w:val="Estilo4"/>
        <w:numPr>
          <w:ilvl w:val="0"/>
          <w:numId w:val="20"/>
        </w:numPr>
        <w:spacing w:after="200"/>
        <w:ind w:left="0" w:firstLine="0"/>
        <w:rPr>
          <w:lang w:val="en-US"/>
        </w:rPr>
      </w:pPr>
      <w:r w:rsidRPr="00610904">
        <w:rPr>
          <w:lang w:val="en-US"/>
        </w:rPr>
        <w:t>Also, “recourse may be had to supplementary means of interpretation, including the preparatory work of the treaty and the circumstances of its conclusion, in order to confirm the meaning resulting from the application of a</w:t>
      </w:r>
      <w:r w:rsidR="006E502B" w:rsidRPr="00610904">
        <w:rPr>
          <w:lang w:val="en-US"/>
        </w:rPr>
        <w:t>rticle</w:t>
      </w:r>
      <w:r w:rsidR="003E12DE" w:rsidRPr="00610904">
        <w:rPr>
          <w:lang w:val="en-US"/>
        </w:rPr>
        <w:t xml:space="preserve"> 31</w:t>
      </w:r>
      <w:r w:rsidRPr="00610904">
        <w:rPr>
          <w:lang w:val="en-US"/>
        </w:rPr>
        <w:t>.</w:t>
      </w:r>
      <w:r w:rsidR="00DB39D3" w:rsidRPr="00610904">
        <w:rPr>
          <w:lang w:val="en-US"/>
        </w:rPr>
        <w:t>”</w:t>
      </w:r>
      <w:r w:rsidR="003E12DE" w:rsidRPr="00610904">
        <w:rPr>
          <w:rStyle w:val="FootnoteReference"/>
          <w:lang w:val="en-US"/>
        </w:rPr>
        <w:footnoteReference w:id="463"/>
      </w:r>
    </w:p>
    <w:p w:rsidR="003E12DE" w:rsidRPr="00610904" w:rsidRDefault="00357398" w:rsidP="00610904">
      <w:pPr>
        <w:pStyle w:val="Estilo4"/>
        <w:numPr>
          <w:ilvl w:val="0"/>
          <w:numId w:val="20"/>
        </w:numPr>
        <w:spacing w:after="300"/>
        <w:ind w:left="0" w:firstLine="0"/>
        <w:rPr>
          <w:lang w:val="en-US"/>
        </w:rPr>
      </w:pPr>
      <w:r w:rsidRPr="00610904">
        <w:rPr>
          <w:lang w:val="en-US"/>
        </w:rPr>
        <w:t>The</w:t>
      </w:r>
      <w:r w:rsidR="009F3D78" w:rsidRPr="00610904">
        <w:rPr>
          <w:lang w:val="en-US"/>
        </w:rPr>
        <w:t xml:space="preserve"> Inter-American Court</w:t>
      </w:r>
      <w:r w:rsidRPr="00610904">
        <w:rPr>
          <w:lang w:val="en-US"/>
        </w:rPr>
        <w:t xml:space="preserve">’s case law, interpreted correctly, does not support a position contrary to the one </w:t>
      </w:r>
      <w:r w:rsidR="0056398E" w:rsidRPr="00610904">
        <w:rPr>
          <w:lang w:val="en-US"/>
        </w:rPr>
        <w:t>described</w:t>
      </w:r>
      <w:r w:rsidRPr="00610904">
        <w:rPr>
          <w:lang w:val="en-US"/>
        </w:rPr>
        <w:t>. At time</w:t>
      </w:r>
      <w:r w:rsidR="00DB39D3" w:rsidRPr="00610904">
        <w:rPr>
          <w:lang w:val="en-US"/>
        </w:rPr>
        <w:t>s</w:t>
      </w:r>
      <w:r w:rsidRPr="00610904">
        <w:rPr>
          <w:lang w:val="en-US"/>
        </w:rPr>
        <w:t xml:space="preserve">, the case of Acevedo Buendía is cited to support the thesis that </w:t>
      </w:r>
      <w:r w:rsidR="009F3D78" w:rsidRPr="00610904">
        <w:rPr>
          <w:lang w:val="en-US"/>
        </w:rPr>
        <w:t>Article</w:t>
      </w:r>
      <w:r w:rsidR="003E12DE" w:rsidRPr="00610904">
        <w:rPr>
          <w:lang w:val="en-US"/>
        </w:rPr>
        <w:t xml:space="preserve"> 26 reco</w:t>
      </w:r>
      <w:r w:rsidRPr="00610904">
        <w:rPr>
          <w:lang w:val="en-US"/>
        </w:rPr>
        <w:t>gnizes economic, social and cultural rights as such, but an analysis of that j</w:t>
      </w:r>
      <w:r w:rsidR="004A6E8B" w:rsidRPr="00610904">
        <w:rPr>
          <w:lang w:val="en-US"/>
        </w:rPr>
        <w:t>udgment</w:t>
      </w:r>
      <w:r w:rsidR="003E12DE" w:rsidRPr="00610904">
        <w:rPr>
          <w:lang w:val="en-US"/>
        </w:rPr>
        <w:t xml:space="preserve"> </w:t>
      </w:r>
      <w:r w:rsidRPr="00610904">
        <w:rPr>
          <w:lang w:val="en-US"/>
        </w:rPr>
        <w:t>reveals that this is not so.</w:t>
      </w:r>
    </w:p>
    <w:p w:rsidR="003E12DE" w:rsidRPr="00610904" w:rsidRDefault="00357398" w:rsidP="00610904">
      <w:pPr>
        <w:pStyle w:val="Estilo2"/>
        <w:keepNext/>
        <w:numPr>
          <w:ilvl w:val="0"/>
          <w:numId w:val="21"/>
        </w:numPr>
        <w:tabs>
          <w:tab w:val="clear" w:pos="567"/>
          <w:tab w:val="clear" w:pos="1134"/>
        </w:tabs>
        <w:spacing w:after="200"/>
        <w:ind w:hanging="357"/>
        <w:rPr>
          <w:b/>
          <w:i/>
          <w:noProof w:val="0"/>
          <w:lang w:val="en-US"/>
        </w:rPr>
      </w:pPr>
      <w:r w:rsidRPr="00610904">
        <w:rPr>
          <w:b/>
          <w:i/>
          <w:noProof w:val="0"/>
          <w:lang w:val="en-US"/>
        </w:rPr>
        <w:t>The</w:t>
      </w:r>
      <w:r w:rsidR="003E12DE" w:rsidRPr="00610904">
        <w:rPr>
          <w:b/>
          <w:i/>
          <w:noProof w:val="0"/>
          <w:lang w:val="en-US"/>
        </w:rPr>
        <w:t xml:space="preserve"> </w:t>
      </w:r>
      <w:r w:rsidR="00852A2E" w:rsidRPr="00610904">
        <w:rPr>
          <w:b/>
          <w:i/>
          <w:noProof w:val="0"/>
          <w:lang w:val="en-US"/>
        </w:rPr>
        <w:t>Protocol of</w:t>
      </w:r>
      <w:r w:rsidR="003E12DE" w:rsidRPr="00610904">
        <w:rPr>
          <w:b/>
          <w:i/>
          <w:noProof w:val="0"/>
          <w:lang w:val="en-US"/>
        </w:rPr>
        <w:t xml:space="preserve"> San Salvador </w:t>
      </w:r>
      <w:r w:rsidRPr="00610904">
        <w:rPr>
          <w:b/>
          <w:i/>
          <w:noProof w:val="0"/>
          <w:lang w:val="en-US"/>
        </w:rPr>
        <w:t>as an application of</w:t>
      </w:r>
      <w:r w:rsidR="003E12DE" w:rsidRPr="00610904">
        <w:rPr>
          <w:b/>
          <w:i/>
          <w:noProof w:val="0"/>
          <w:lang w:val="en-US"/>
        </w:rPr>
        <w:t xml:space="preserve"> </w:t>
      </w:r>
      <w:r w:rsidR="009F3D78" w:rsidRPr="00610904">
        <w:rPr>
          <w:b/>
          <w:i/>
          <w:noProof w:val="0"/>
          <w:lang w:val="en-US"/>
        </w:rPr>
        <w:t>Articles</w:t>
      </w:r>
      <w:r w:rsidRPr="00610904">
        <w:rPr>
          <w:b/>
          <w:i/>
          <w:noProof w:val="0"/>
          <w:lang w:val="en-US"/>
        </w:rPr>
        <w:t xml:space="preserve"> 31 and 77 and as a subsequent agreement or subsequent practice</w:t>
      </w:r>
    </w:p>
    <w:p w:rsidR="003E12DE" w:rsidRPr="00610904" w:rsidRDefault="00DB39D3" w:rsidP="00610904">
      <w:pPr>
        <w:pStyle w:val="Estilo4"/>
        <w:numPr>
          <w:ilvl w:val="0"/>
          <w:numId w:val="20"/>
        </w:numPr>
        <w:spacing w:after="200"/>
        <w:ind w:left="0" w:firstLine="0"/>
        <w:rPr>
          <w:lang w:val="en-US"/>
        </w:rPr>
      </w:pPr>
      <w:r w:rsidRPr="00610904">
        <w:rPr>
          <w:lang w:val="en-US"/>
        </w:rPr>
        <w:t>Regarding</w:t>
      </w:r>
      <w:r w:rsidR="003E12DE" w:rsidRPr="00610904">
        <w:rPr>
          <w:lang w:val="en-US"/>
        </w:rPr>
        <w:t xml:space="preserve"> </w:t>
      </w:r>
      <w:r w:rsidR="00357398" w:rsidRPr="00610904">
        <w:rPr>
          <w:lang w:val="en-US"/>
        </w:rPr>
        <w:t>the economic, social and cultural rights</w:t>
      </w:r>
      <w:r w:rsidR="003E12DE" w:rsidRPr="00610904">
        <w:rPr>
          <w:lang w:val="en-US"/>
        </w:rPr>
        <w:t xml:space="preserve">, </w:t>
      </w:r>
      <w:r w:rsidR="00357398" w:rsidRPr="00610904">
        <w:rPr>
          <w:lang w:val="en-US"/>
        </w:rPr>
        <w:t>the States Parties</w:t>
      </w:r>
      <w:r w:rsidR="003E12DE" w:rsidRPr="00610904">
        <w:rPr>
          <w:lang w:val="en-US"/>
        </w:rPr>
        <w:t xml:space="preserve"> </w:t>
      </w:r>
      <w:r w:rsidRPr="00610904">
        <w:rPr>
          <w:lang w:val="en-US"/>
        </w:rPr>
        <w:t>h</w:t>
      </w:r>
      <w:r w:rsidR="001B553E" w:rsidRPr="00610904">
        <w:rPr>
          <w:lang w:val="en-US"/>
        </w:rPr>
        <w:t>ave, indeed, followed the path</w:t>
      </w:r>
      <w:r w:rsidR="003E12DE" w:rsidRPr="00610904">
        <w:rPr>
          <w:lang w:val="en-US"/>
        </w:rPr>
        <w:t xml:space="preserve"> </w:t>
      </w:r>
      <w:r w:rsidR="006E502B" w:rsidRPr="00610904">
        <w:rPr>
          <w:lang w:val="en-US"/>
        </w:rPr>
        <w:t>of Article</w:t>
      </w:r>
      <w:r w:rsidR="003E12DE" w:rsidRPr="00610904">
        <w:rPr>
          <w:lang w:val="en-US"/>
        </w:rPr>
        <w:t xml:space="preserve"> 77, </w:t>
      </w:r>
      <w:r w:rsidR="001B553E" w:rsidRPr="00610904">
        <w:rPr>
          <w:lang w:val="en-US"/>
        </w:rPr>
        <w:t>in the</w:t>
      </w:r>
      <w:r w:rsidR="003E12DE" w:rsidRPr="00610904">
        <w:rPr>
          <w:lang w:val="en-US"/>
        </w:rPr>
        <w:t xml:space="preserve"> </w:t>
      </w:r>
      <w:r w:rsidR="00852A2E" w:rsidRPr="00610904">
        <w:rPr>
          <w:i/>
          <w:lang w:val="en-US"/>
        </w:rPr>
        <w:t>Protocol of</w:t>
      </w:r>
      <w:r w:rsidR="003E12DE" w:rsidRPr="00610904">
        <w:rPr>
          <w:i/>
          <w:lang w:val="en-US"/>
        </w:rPr>
        <w:t xml:space="preserve"> San Salvador</w:t>
      </w:r>
      <w:r w:rsidR="003E12DE" w:rsidRPr="00610904">
        <w:rPr>
          <w:lang w:val="en-US"/>
        </w:rPr>
        <w:t xml:space="preserve"> (</w:t>
      </w:r>
      <w:r w:rsidR="00357398" w:rsidRPr="00610904">
        <w:rPr>
          <w:lang w:val="en-US"/>
        </w:rPr>
        <w:t xml:space="preserve">adopted on November 17, </w:t>
      </w:r>
      <w:r w:rsidR="003E12DE" w:rsidRPr="00610904">
        <w:rPr>
          <w:lang w:val="en-US"/>
        </w:rPr>
        <w:t>1988</w:t>
      </w:r>
      <w:r w:rsidR="00357398" w:rsidRPr="00610904">
        <w:rPr>
          <w:lang w:val="en-US"/>
        </w:rPr>
        <w:t xml:space="preserve">, and entered into force on </w:t>
      </w:r>
      <w:r w:rsidR="005C27CD" w:rsidRPr="00610904">
        <w:rPr>
          <w:lang w:val="en-US"/>
        </w:rPr>
        <w:t>November 16,</w:t>
      </w:r>
      <w:r w:rsidR="003E12DE" w:rsidRPr="00610904">
        <w:rPr>
          <w:lang w:val="en-US"/>
        </w:rPr>
        <w:t xml:space="preserve"> 1999). </w:t>
      </w:r>
      <w:r w:rsidR="001B553E" w:rsidRPr="00610904">
        <w:rPr>
          <w:lang w:val="en-US"/>
        </w:rPr>
        <w:t>This Protocol</w:t>
      </w:r>
      <w:r w:rsidR="003E12DE" w:rsidRPr="00610904">
        <w:rPr>
          <w:lang w:val="en-US"/>
        </w:rPr>
        <w:t>:</w:t>
      </w:r>
    </w:p>
    <w:p w:rsidR="003E12DE" w:rsidRPr="00610904" w:rsidRDefault="003E12DE" w:rsidP="00610904">
      <w:pPr>
        <w:pStyle w:val="Estilo5"/>
        <w:numPr>
          <w:ilvl w:val="0"/>
          <w:numId w:val="25"/>
        </w:numPr>
        <w:spacing w:after="200" w:line="240" w:lineRule="auto"/>
        <w:ind w:left="0" w:firstLine="720"/>
        <w:jc w:val="both"/>
        <w:rPr>
          <w:rFonts w:ascii="Verdana" w:hAnsi="Verdana"/>
          <w:i w:val="0"/>
          <w:sz w:val="20"/>
          <w:szCs w:val="20"/>
          <w:lang w:val="en-US"/>
        </w:rPr>
      </w:pPr>
      <w:r w:rsidRPr="00610904">
        <w:rPr>
          <w:rFonts w:ascii="Verdana" w:hAnsi="Verdana"/>
          <w:i w:val="0"/>
          <w:sz w:val="20"/>
          <w:szCs w:val="20"/>
          <w:lang w:val="en-US"/>
        </w:rPr>
        <w:lastRenderedPageBreak/>
        <w:t>Procla</w:t>
      </w:r>
      <w:r w:rsidR="001B553E" w:rsidRPr="00610904">
        <w:rPr>
          <w:rFonts w:ascii="Verdana" w:hAnsi="Verdana"/>
          <w:i w:val="0"/>
          <w:sz w:val="20"/>
          <w:szCs w:val="20"/>
          <w:lang w:val="en-US"/>
        </w:rPr>
        <w:t xml:space="preserve">ims </w:t>
      </w:r>
      <w:r w:rsidR="00DB39D3" w:rsidRPr="00610904">
        <w:rPr>
          <w:rFonts w:ascii="Verdana" w:hAnsi="Verdana"/>
          <w:i w:val="0"/>
          <w:sz w:val="20"/>
          <w:szCs w:val="20"/>
          <w:lang w:val="en-US"/>
        </w:rPr>
        <w:t>“</w:t>
      </w:r>
      <w:r w:rsidR="001B553E" w:rsidRPr="00610904">
        <w:rPr>
          <w:rFonts w:ascii="Verdana" w:hAnsi="Verdana" w:cs="Tahoma"/>
          <w:bCs/>
          <w:sz w:val="20"/>
          <w:szCs w:val="20"/>
          <w:lang w:val="en-US"/>
        </w:rPr>
        <w:t>the close relationship that exists between economic, social and cultural rights, and civil and political rights</w:t>
      </w:r>
      <w:r w:rsidR="001B553E" w:rsidRPr="00610904">
        <w:rPr>
          <w:rFonts w:ascii="Verdana" w:hAnsi="Verdana" w:cs="Tahoma"/>
          <w:bCs/>
          <w:i w:val="0"/>
          <w:sz w:val="20"/>
          <w:szCs w:val="20"/>
          <w:lang w:val="en-US"/>
        </w:rPr>
        <w:t>, in that the different categories of rights constitute an indivisible whole based on the recognition of the dignity of the human person, for which reason both require permanent protection and promotion if they are to be fully realized, and the violation of some rights in favor of the realization of others can never be justified</w:t>
      </w:r>
      <w:r w:rsidRPr="00610904">
        <w:rPr>
          <w:rFonts w:ascii="Verdana" w:hAnsi="Verdana"/>
          <w:i w:val="0"/>
          <w:sz w:val="20"/>
          <w:szCs w:val="20"/>
          <w:lang w:val="en-US"/>
        </w:rPr>
        <w:t>” (Pre</w:t>
      </w:r>
      <w:r w:rsidR="00357398" w:rsidRPr="00610904">
        <w:rPr>
          <w:rFonts w:ascii="Verdana" w:hAnsi="Verdana"/>
          <w:i w:val="0"/>
          <w:sz w:val="20"/>
          <w:szCs w:val="20"/>
          <w:lang w:val="en-US"/>
        </w:rPr>
        <w:t>amble, third paragraph</w:t>
      </w:r>
      <w:r w:rsidRPr="00610904">
        <w:rPr>
          <w:rFonts w:ascii="Verdana" w:hAnsi="Verdana"/>
          <w:i w:val="0"/>
          <w:sz w:val="20"/>
          <w:szCs w:val="20"/>
          <w:lang w:val="en-US"/>
        </w:rPr>
        <w:t>).</w:t>
      </w:r>
    </w:p>
    <w:p w:rsidR="001B553E" w:rsidRPr="00610904" w:rsidRDefault="003E12DE" w:rsidP="00610904">
      <w:pPr>
        <w:pStyle w:val="Estilo5"/>
        <w:spacing w:after="200" w:line="240" w:lineRule="auto"/>
        <w:jc w:val="both"/>
        <w:rPr>
          <w:rFonts w:ascii="Verdana" w:hAnsi="Verdana"/>
          <w:i w:val="0"/>
          <w:sz w:val="20"/>
          <w:szCs w:val="20"/>
          <w:lang w:val="en-US"/>
        </w:rPr>
      </w:pPr>
      <w:r w:rsidRPr="00610904">
        <w:rPr>
          <w:rFonts w:ascii="Verdana" w:hAnsi="Verdana"/>
          <w:sz w:val="20"/>
          <w:szCs w:val="20"/>
          <w:lang w:val="en-US"/>
        </w:rPr>
        <w:t>Rec</w:t>
      </w:r>
      <w:r w:rsidR="001B553E" w:rsidRPr="00610904">
        <w:rPr>
          <w:rFonts w:ascii="Verdana" w:hAnsi="Verdana"/>
          <w:sz w:val="20"/>
          <w:szCs w:val="20"/>
          <w:lang w:val="en-US"/>
        </w:rPr>
        <w:t>ognizes numerous economic, social and cultural rights:</w:t>
      </w:r>
      <w:r w:rsidR="001B553E" w:rsidRPr="00610904">
        <w:rPr>
          <w:rFonts w:ascii="Verdana" w:hAnsi="Verdana"/>
          <w:i w:val="0"/>
          <w:sz w:val="20"/>
          <w:szCs w:val="20"/>
          <w:lang w:val="en-US"/>
        </w:rPr>
        <w:t xml:space="preserve"> the right to work and to just, equitable and satisfactory working conditions; trade union rights; the right to social security; the right to health; the right to a healthy environment; the right to food, the right to education; the right to benefits of culture; the right to the formation and protection of the family; the rights of children; protection of the elderly, and protection of the handicapped.</w:t>
      </w:r>
    </w:p>
    <w:p w:rsidR="003E12DE" w:rsidRPr="00610904" w:rsidRDefault="001B553E" w:rsidP="00610904">
      <w:pPr>
        <w:pStyle w:val="Estilo5"/>
        <w:spacing w:after="200" w:line="240" w:lineRule="auto"/>
        <w:jc w:val="both"/>
        <w:rPr>
          <w:rFonts w:ascii="Verdana" w:hAnsi="Verdana"/>
          <w:i w:val="0"/>
          <w:sz w:val="20"/>
          <w:szCs w:val="20"/>
          <w:lang w:val="en-US"/>
        </w:rPr>
      </w:pPr>
      <w:r w:rsidRPr="00610904">
        <w:rPr>
          <w:rFonts w:ascii="Verdana" w:hAnsi="Verdana"/>
          <w:i w:val="0"/>
          <w:sz w:val="20"/>
          <w:szCs w:val="20"/>
          <w:lang w:val="en-US"/>
        </w:rPr>
        <w:t xml:space="preserve">But the </w:t>
      </w:r>
      <w:r w:rsidR="00163298" w:rsidRPr="00610904">
        <w:rPr>
          <w:rFonts w:ascii="Verdana" w:hAnsi="Verdana"/>
          <w:sz w:val="20"/>
          <w:szCs w:val="20"/>
          <w:lang w:val="en-US"/>
        </w:rPr>
        <w:t>system of protection</w:t>
      </w:r>
      <w:r w:rsidRPr="00610904">
        <w:rPr>
          <w:rFonts w:ascii="Verdana" w:hAnsi="Verdana"/>
          <w:sz w:val="20"/>
          <w:szCs w:val="20"/>
          <w:lang w:val="en-US"/>
        </w:rPr>
        <w:t xml:space="preserve"> under</w:t>
      </w:r>
      <w:r w:rsidR="009F3D78" w:rsidRPr="00610904">
        <w:rPr>
          <w:rFonts w:ascii="Verdana" w:hAnsi="Verdana"/>
          <w:sz w:val="20"/>
          <w:szCs w:val="20"/>
          <w:lang w:val="en-US"/>
        </w:rPr>
        <w:t xml:space="preserve"> the Convention</w:t>
      </w:r>
      <w:r w:rsidR="003E12DE" w:rsidRPr="00610904">
        <w:rPr>
          <w:rFonts w:ascii="Verdana" w:hAnsi="Verdana"/>
          <w:sz w:val="20"/>
          <w:szCs w:val="20"/>
          <w:lang w:val="en-US"/>
        </w:rPr>
        <w:t xml:space="preserve"> </w:t>
      </w:r>
      <w:r w:rsidRPr="00610904">
        <w:rPr>
          <w:rFonts w:ascii="Verdana" w:hAnsi="Verdana"/>
          <w:sz w:val="20"/>
          <w:szCs w:val="20"/>
          <w:lang w:val="en-US"/>
        </w:rPr>
        <w:t xml:space="preserve">only includes two of them </w:t>
      </w:r>
      <w:r w:rsidRPr="00610904">
        <w:rPr>
          <w:rFonts w:ascii="Verdana" w:hAnsi="Verdana"/>
          <w:i w:val="0"/>
          <w:sz w:val="20"/>
          <w:szCs w:val="20"/>
          <w:lang w:val="en-US"/>
        </w:rPr>
        <w:t xml:space="preserve">(one only partially): </w:t>
      </w:r>
      <w:r w:rsidR="003E12DE" w:rsidRPr="00610904">
        <w:rPr>
          <w:rFonts w:ascii="Verdana" w:hAnsi="Verdana"/>
          <w:i w:val="0"/>
          <w:sz w:val="20"/>
          <w:szCs w:val="20"/>
          <w:lang w:val="en-US"/>
        </w:rPr>
        <w:t>“</w:t>
      </w:r>
      <w:r w:rsidRPr="00610904">
        <w:rPr>
          <w:rFonts w:ascii="Verdana" w:hAnsi="Verdana"/>
          <w:i w:val="0"/>
          <w:sz w:val="20"/>
          <w:szCs w:val="20"/>
          <w:lang w:val="en-US"/>
        </w:rPr>
        <w:t>[a]ny instance in which the rights established in paragraph (a) of Article 8</w:t>
      </w:r>
      <w:r w:rsidRPr="00610904">
        <w:rPr>
          <w:rStyle w:val="FootnoteReference"/>
          <w:rFonts w:ascii="Verdana" w:hAnsi="Verdana"/>
          <w:i w:val="0"/>
          <w:sz w:val="20"/>
          <w:lang w:val="en-US"/>
        </w:rPr>
        <w:footnoteReference w:id="464"/>
      </w:r>
      <w:r w:rsidRPr="00610904">
        <w:rPr>
          <w:rFonts w:ascii="Verdana" w:hAnsi="Verdana"/>
          <w:i w:val="0"/>
          <w:sz w:val="20"/>
          <w:szCs w:val="20"/>
          <w:lang w:val="en-US"/>
        </w:rPr>
        <w:t xml:space="preserve"> and in Article 13</w:t>
      </w:r>
      <w:r w:rsidRPr="00610904">
        <w:rPr>
          <w:rStyle w:val="FootnoteReference"/>
          <w:rFonts w:ascii="Verdana" w:hAnsi="Verdana"/>
          <w:i w:val="0"/>
          <w:sz w:val="20"/>
          <w:lang w:val="en-US"/>
        </w:rPr>
        <w:footnoteReference w:id="465"/>
      </w:r>
      <w:r w:rsidRPr="00610904">
        <w:rPr>
          <w:rFonts w:ascii="Verdana" w:hAnsi="Verdana"/>
          <w:i w:val="0"/>
          <w:sz w:val="20"/>
          <w:szCs w:val="20"/>
          <w:lang w:val="en-US"/>
        </w:rPr>
        <w:t xml:space="preserve">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w:t>
      </w:r>
      <w:r w:rsidR="00DB39D3" w:rsidRPr="00610904">
        <w:rPr>
          <w:rFonts w:ascii="Verdana" w:hAnsi="Verdana"/>
          <w:i w:val="0"/>
          <w:sz w:val="20"/>
          <w:szCs w:val="20"/>
          <w:lang w:val="en-US"/>
        </w:rPr>
        <w:t>ican Convention on Human Rights</w:t>
      </w:r>
      <w:r w:rsidR="003E12DE" w:rsidRPr="00610904">
        <w:rPr>
          <w:rFonts w:ascii="Verdana" w:hAnsi="Verdana"/>
          <w:i w:val="0"/>
          <w:sz w:val="20"/>
          <w:szCs w:val="20"/>
          <w:lang w:val="en-US"/>
        </w:rPr>
        <w:t>” (</w:t>
      </w:r>
      <w:r w:rsidR="00A8072E" w:rsidRPr="00610904">
        <w:rPr>
          <w:rFonts w:ascii="Verdana" w:hAnsi="Verdana"/>
          <w:i w:val="0"/>
          <w:sz w:val="20"/>
          <w:szCs w:val="20"/>
          <w:lang w:val="en-US"/>
        </w:rPr>
        <w:t>Article</w:t>
      </w:r>
      <w:r w:rsidR="003E12DE" w:rsidRPr="00610904">
        <w:rPr>
          <w:rFonts w:ascii="Verdana" w:hAnsi="Verdana"/>
          <w:i w:val="0"/>
          <w:sz w:val="20"/>
          <w:szCs w:val="20"/>
          <w:lang w:val="en-US"/>
        </w:rPr>
        <w:t xml:space="preserve"> 19</w:t>
      </w:r>
      <w:r w:rsidRPr="00610904">
        <w:rPr>
          <w:rFonts w:ascii="Verdana" w:hAnsi="Verdana"/>
          <w:i w:val="0"/>
          <w:sz w:val="20"/>
          <w:szCs w:val="20"/>
          <w:lang w:val="en-US"/>
        </w:rPr>
        <w:t>(6)</w:t>
      </w:r>
      <w:r w:rsidR="003E12DE" w:rsidRPr="00610904">
        <w:rPr>
          <w:rFonts w:ascii="Verdana" w:hAnsi="Verdana"/>
          <w:i w:val="0"/>
          <w:sz w:val="20"/>
          <w:szCs w:val="20"/>
          <w:lang w:val="en-US"/>
        </w:rPr>
        <w:t xml:space="preserve"> </w:t>
      </w:r>
      <w:r w:rsidR="00882CCC" w:rsidRPr="00610904">
        <w:rPr>
          <w:rFonts w:ascii="Verdana" w:hAnsi="Verdana"/>
          <w:i w:val="0"/>
          <w:sz w:val="20"/>
          <w:szCs w:val="20"/>
          <w:lang w:val="en-US"/>
        </w:rPr>
        <w:t>of the Protocol</w:t>
      </w:r>
      <w:r w:rsidR="00852A2E" w:rsidRPr="00610904">
        <w:rPr>
          <w:rFonts w:ascii="Verdana" w:hAnsi="Verdana"/>
          <w:i w:val="0"/>
          <w:sz w:val="20"/>
          <w:szCs w:val="20"/>
          <w:lang w:val="en-US"/>
        </w:rPr>
        <w:t xml:space="preserve"> of</w:t>
      </w:r>
      <w:r w:rsidR="003E12DE" w:rsidRPr="00610904">
        <w:rPr>
          <w:rFonts w:ascii="Verdana" w:hAnsi="Verdana"/>
          <w:i w:val="0"/>
          <w:sz w:val="20"/>
          <w:szCs w:val="20"/>
          <w:lang w:val="en-US"/>
        </w:rPr>
        <w:t xml:space="preserve"> San Salvador). </w:t>
      </w:r>
      <w:r w:rsidRPr="00610904">
        <w:rPr>
          <w:rFonts w:ascii="Verdana" w:hAnsi="Verdana"/>
          <w:i w:val="0"/>
          <w:sz w:val="20"/>
          <w:szCs w:val="20"/>
          <w:lang w:val="en-US"/>
        </w:rPr>
        <w:t xml:space="preserve">This means that the system under the Protocol is very different from the system under </w:t>
      </w:r>
      <w:r w:rsidR="009F3D78" w:rsidRPr="00610904">
        <w:rPr>
          <w:rFonts w:ascii="Verdana" w:hAnsi="Verdana"/>
          <w:i w:val="0"/>
          <w:sz w:val="20"/>
          <w:szCs w:val="20"/>
          <w:lang w:val="en-US"/>
        </w:rPr>
        <w:t>the Convention</w:t>
      </w:r>
      <w:r w:rsidR="003E12DE" w:rsidRPr="00610904">
        <w:rPr>
          <w:rFonts w:ascii="Verdana" w:hAnsi="Verdana"/>
          <w:i w:val="0"/>
          <w:sz w:val="20"/>
          <w:szCs w:val="20"/>
          <w:lang w:val="en-US"/>
        </w:rPr>
        <w:t xml:space="preserve">. </w:t>
      </w:r>
      <w:r w:rsidRPr="00610904">
        <w:rPr>
          <w:rFonts w:ascii="Verdana" w:hAnsi="Verdana"/>
          <w:i w:val="0"/>
          <w:sz w:val="20"/>
          <w:szCs w:val="20"/>
          <w:lang w:val="en-US"/>
        </w:rPr>
        <w:t>While</w:t>
      </w:r>
      <w:r w:rsidR="00DB39D3" w:rsidRPr="00610904">
        <w:rPr>
          <w:rFonts w:ascii="Verdana" w:hAnsi="Verdana"/>
          <w:i w:val="0"/>
          <w:sz w:val="20"/>
          <w:szCs w:val="20"/>
          <w:lang w:val="en-US"/>
        </w:rPr>
        <w:t>, under</w:t>
      </w:r>
      <w:r w:rsidRPr="00610904">
        <w:rPr>
          <w:rFonts w:ascii="Verdana" w:hAnsi="Verdana"/>
          <w:i w:val="0"/>
          <w:sz w:val="20"/>
          <w:szCs w:val="20"/>
          <w:lang w:val="en-US"/>
        </w:rPr>
        <w:t xml:space="preserve"> the latter</w:t>
      </w:r>
      <w:r w:rsidR="00DB39D3" w:rsidRPr="00610904">
        <w:rPr>
          <w:rFonts w:ascii="Verdana" w:hAnsi="Verdana"/>
          <w:i w:val="0"/>
          <w:sz w:val="20"/>
          <w:szCs w:val="20"/>
          <w:lang w:val="en-US"/>
        </w:rPr>
        <w:t>,</w:t>
      </w:r>
      <w:r w:rsidRPr="00610904">
        <w:rPr>
          <w:rFonts w:ascii="Verdana" w:hAnsi="Verdana"/>
          <w:i w:val="0"/>
          <w:sz w:val="20"/>
          <w:szCs w:val="20"/>
          <w:lang w:val="en-US"/>
        </w:rPr>
        <w:t xml:space="preserve"> the recognition of a right or freedom entails its inclusion in the </w:t>
      </w:r>
      <w:r w:rsidR="00163298" w:rsidRPr="00610904">
        <w:rPr>
          <w:rFonts w:ascii="Verdana" w:hAnsi="Verdana"/>
          <w:i w:val="0"/>
          <w:sz w:val="20"/>
          <w:szCs w:val="20"/>
          <w:lang w:val="en-US"/>
        </w:rPr>
        <w:t>system of protection</w:t>
      </w:r>
      <w:r w:rsidR="003E12DE" w:rsidRPr="00610904">
        <w:rPr>
          <w:rFonts w:ascii="Verdana" w:hAnsi="Verdana"/>
          <w:i w:val="0"/>
          <w:sz w:val="20"/>
          <w:szCs w:val="20"/>
          <w:lang w:val="en-US"/>
        </w:rPr>
        <w:t xml:space="preserve">, </w:t>
      </w:r>
      <w:r w:rsidR="00DB39D3" w:rsidRPr="00610904">
        <w:rPr>
          <w:rFonts w:ascii="Verdana" w:hAnsi="Verdana"/>
          <w:i w:val="0"/>
          <w:sz w:val="20"/>
          <w:szCs w:val="20"/>
          <w:lang w:val="en-US"/>
        </w:rPr>
        <w:t>under</w:t>
      </w:r>
      <w:r w:rsidRPr="00610904">
        <w:rPr>
          <w:rFonts w:ascii="Verdana" w:hAnsi="Verdana"/>
          <w:i w:val="0"/>
          <w:sz w:val="20"/>
          <w:szCs w:val="20"/>
          <w:lang w:val="en-US"/>
        </w:rPr>
        <w:t xml:space="preserve"> the Protocol the recognition</w:t>
      </w:r>
      <w:r w:rsidR="00DB39D3" w:rsidRPr="00610904">
        <w:rPr>
          <w:rFonts w:ascii="Verdana" w:hAnsi="Verdana"/>
          <w:i w:val="0"/>
          <w:sz w:val="20"/>
          <w:szCs w:val="20"/>
          <w:lang w:val="en-US"/>
        </w:rPr>
        <w:t xml:space="preserve"> does not entail this inclusion, which </w:t>
      </w:r>
      <w:r w:rsidRPr="00610904">
        <w:rPr>
          <w:rFonts w:ascii="Verdana" w:hAnsi="Verdana"/>
          <w:i w:val="0"/>
          <w:sz w:val="20"/>
          <w:szCs w:val="20"/>
          <w:lang w:val="en-US"/>
        </w:rPr>
        <w:t>is exceptional and only occurs in two cases.</w:t>
      </w:r>
    </w:p>
    <w:p w:rsidR="003E12DE" w:rsidRPr="00610904" w:rsidRDefault="00357398" w:rsidP="00610904">
      <w:pPr>
        <w:pStyle w:val="Estilo4"/>
        <w:numPr>
          <w:ilvl w:val="0"/>
          <w:numId w:val="20"/>
        </w:numPr>
        <w:spacing w:after="300"/>
        <w:ind w:left="0" w:firstLine="0"/>
        <w:rPr>
          <w:lang w:val="en-US"/>
        </w:rPr>
      </w:pPr>
      <w:r w:rsidRPr="00610904">
        <w:rPr>
          <w:lang w:val="en-US"/>
        </w:rPr>
        <w:t>The</w:t>
      </w:r>
      <w:r w:rsidR="003E12DE" w:rsidRPr="00610904">
        <w:rPr>
          <w:lang w:val="en-US"/>
        </w:rPr>
        <w:t xml:space="preserve"> </w:t>
      </w:r>
      <w:r w:rsidR="00852A2E" w:rsidRPr="00610904">
        <w:rPr>
          <w:lang w:val="en-US"/>
        </w:rPr>
        <w:t>Protocol of</w:t>
      </w:r>
      <w:r w:rsidR="003E12DE" w:rsidRPr="00610904">
        <w:rPr>
          <w:lang w:val="en-US"/>
        </w:rPr>
        <w:t xml:space="preserve"> San Salvador </w:t>
      </w:r>
      <w:r w:rsidR="001B553E" w:rsidRPr="00610904">
        <w:rPr>
          <w:lang w:val="en-US"/>
        </w:rPr>
        <w:t xml:space="preserve">also constitutes an ulterior agreement between </w:t>
      </w:r>
      <w:r w:rsidRPr="00610904">
        <w:rPr>
          <w:lang w:val="en-US"/>
        </w:rPr>
        <w:t>the States Parties</w:t>
      </w:r>
      <w:r w:rsidR="009F3D78" w:rsidRPr="00610904">
        <w:rPr>
          <w:lang w:val="en-US"/>
        </w:rPr>
        <w:t xml:space="preserve"> and </w:t>
      </w:r>
      <w:r w:rsidR="001B553E" w:rsidRPr="00610904">
        <w:rPr>
          <w:lang w:val="en-US"/>
        </w:rPr>
        <w:t xml:space="preserve">an ulterior practice by them that </w:t>
      </w:r>
      <w:proofErr w:type="gramStart"/>
      <w:r w:rsidR="001B553E" w:rsidRPr="00610904">
        <w:rPr>
          <w:lang w:val="en-US"/>
        </w:rPr>
        <w:t>confirms</w:t>
      </w:r>
      <w:proofErr w:type="gramEnd"/>
      <w:r w:rsidR="001B553E" w:rsidRPr="00610904">
        <w:rPr>
          <w:lang w:val="en-US"/>
        </w:rPr>
        <w:t xml:space="preserve"> the above interpretation </w:t>
      </w:r>
      <w:r w:rsidR="006E502B" w:rsidRPr="00610904">
        <w:rPr>
          <w:lang w:val="en-US"/>
        </w:rPr>
        <w:t>of Article</w:t>
      </w:r>
      <w:r w:rsidR="003E12DE" w:rsidRPr="00610904">
        <w:rPr>
          <w:lang w:val="en-US"/>
        </w:rPr>
        <w:t xml:space="preserve"> 26.</w:t>
      </w:r>
    </w:p>
    <w:p w:rsidR="003E12DE" w:rsidRPr="00610904" w:rsidRDefault="003E12DE" w:rsidP="00610904">
      <w:pPr>
        <w:pStyle w:val="Estilo1"/>
        <w:numPr>
          <w:ilvl w:val="0"/>
          <w:numId w:val="19"/>
        </w:numPr>
        <w:spacing w:after="200"/>
        <w:ind w:left="0" w:right="0" w:firstLine="0"/>
        <w:rPr>
          <w:b/>
          <w:noProof w:val="0"/>
          <w:szCs w:val="20"/>
          <w:lang w:val="en-US"/>
        </w:rPr>
      </w:pPr>
      <w:r w:rsidRPr="00610904">
        <w:rPr>
          <w:b/>
          <w:noProof w:val="0"/>
          <w:szCs w:val="20"/>
          <w:lang w:val="en-US"/>
        </w:rPr>
        <w:t>DIF</w:t>
      </w:r>
      <w:r w:rsidR="00357398" w:rsidRPr="00610904">
        <w:rPr>
          <w:b/>
          <w:noProof w:val="0"/>
          <w:szCs w:val="20"/>
          <w:lang w:val="en-US"/>
        </w:rPr>
        <w:t>FERENCE WITH PROGRESSIVE INTERPRETATION</w:t>
      </w:r>
    </w:p>
    <w:p w:rsidR="003E12DE" w:rsidRPr="00610904" w:rsidRDefault="001B553E" w:rsidP="00610904">
      <w:pPr>
        <w:pStyle w:val="Estilo4"/>
        <w:numPr>
          <w:ilvl w:val="0"/>
          <w:numId w:val="20"/>
        </w:numPr>
        <w:spacing w:after="200"/>
        <w:ind w:left="0" w:firstLine="0"/>
        <w:rPr>
          <w:lang w:val="en-US"/>
        </w:rPr>
      </w:pPr>
      <w:r w:rsidRPr="00610904">
        <w:rPr>
          <w:lang w:val="en-US"/>
        </w:rPr>
        <w:t xml:space="preserve">Consequently, </w:t>
      </w:r>
      <w:r w:rsidR="009F3D78" w:rsidRPr="00610904">
        <w:rPr>
          <w:lang w:val="en-US"/>
        </w:rPr>
        <w:t>the Inter-American Court</w:t>
      </w:r>
      <w:r w:rsidR="003E12DE" w:rsidRPr="00610904">
        <w:rPr>
          <w:lang w:val="en-US"/>
        </w:rPr>
        <w:t xml:space="preserve"> </w:t>
      </w:r>
      <w:r w:rsidRPr="00610904">
        <w:rPr>
          <w:lang w:val="en-US"/>
        </w:rPr>
        <w:t xml:space="preserve">is unable to assume competence with regard to the presumed violation of a right or freedom that is not included under the </w:t>
      </w:r>
      <w:r w:rsidR="00163298" w:rsidRPr="00610904">
        <w:rPr>
          <w:lang w:val="en-US"/>
        </w:rPr>
        <w:t>system of protection</w:t>
      </w:r>
      <w:r w:rsidR="003E12DE" w:rsidRPr="00610904">
        <w:rPr>
          <w:lang w:val="en-US"/>
        </w:rPr>
        <w:t xml:space="preserve"> </w:t>
      </w:r>
      <w:r w:rsidRPr="00610904">
        <w:rPr>
          <w:lang w:val="en-US"/>
        </w:rPr>
        <w:t>by either</w:t>
      </w:r>
      <w:r w:rsidR="003E12DE" w:rsidRPr="00610904">
        <w:rPr>
          <w:lang w:val="en-US"/>
        </w:rPr>
        <w:t xml:space="preserve"> </w:t>
      </w:r>
      <w:r w:rsidR="009F3D78" w:rsidRPr="00610904">
        <w:rPr>
          <w:lang w:val="en-US"/>
        </w:rPr>
        <w:t>the American Convention</w:t>
      </w:r>
      <w:r w:rsidR="003E12DE" w:rsidRPr="00610904">
        <w:rPr>
          <w:lang w:val="en-US"/>
        </w:rPr>
        <w:t xml:space="preserve"> </w:t>
      </w:r>
      <w:r w:rsidRPr="00610904">
        <w:rPr>
          <w:lang w:val="en-US"/>
        </w:rPr>
        <w:t>or the</w:t>
      </w:r>
      <w:r w:rsidR="003E12DE" w:rsidRPr="00610904">
        <w:rPr>
          <w:lang w:val="en-US"/>
        </w:rPr>
        <w:t xml:space="preserve"> </w:t>
      </w:r>
      <w:r w:rsidR="00852A2E" w:rsidRPr="00610904">
        <w:rPr>
          <w:lang w:val="en-US"/>
        </w:rPr>
        <w:t>Protocol of</w:t>
      </w:r>
      <w:r w:rsidR="003E12DE" w:rsidRPr="00610904">
        <w:rPr>
          <w:lang w:val="en-US"/>
        </w:rPr>
        <w:t xml:space="preserve"> San Salvador. </w:t>
      </w:r>
      <w:r w:rsidRPr="00610904">
        <w:rPr>
          <w:lang w:val="en-US"/>
        </w:rPr>
        <w:t xml:space="preserve">On some occasions, it may achieve an analogous result – and it has done so in several cases, including this one – </w:t>
      </w:r>
      <w:r w:rsidR="00DB39D3" w:rsidRPr="00610904">
        <w:rPr>
          <w:lang w:val="en-US"/>
        </w:rPr>
        <w:t xml:space="preserve">by </w:t>
      </w:r>
      <w:r w:rsidRPr="00610904">
        <w:rPr>
          <w:lang w:val="en-US"/>
        </w:rPr>
        <w:t>applying, correctly, other provisions, such as those that protect the right to</w:t>
      </w:r>
      <w:r w:rsidR="008956E2" w:rsidRPr="00610904">
        <w:rPr>
          <w:lang w:val="en-US"/>
        </w:rPr>
        <w:t xml:space="preserve"> personal integrity</w:t>
      </w:r>
      <w:r w:rsidR="003E12DE" w:rsidRPr="00610904">
        <w:rPr>
          <w:lang w:val="en-US"/>
        </w:rPr>
        <w:t xml:space="preserve">, </w:t>
      </w:r>
      <w:r w:rsidRPr="00610904">
        <w:rPr>
          <w:lang w:val="en-US"/>
        </w:rPr>
        <w:t xml:space="preserve">to property, or to </w:t>
      </w:r>
      <w:r w:rsidR="00830022" w:rsidRPr="00610904">
        <w:rPr>
          <w:lang w:val="en-US"/>
        </w:rPr>
        <w:t>judicial guarantees</w:t>
      </w:r>
      <w:r w:rsidRPr="00610904">
        <w:rPr>
          <w:lang w:val="en-US"/>
        </w:rPr>
        <w:t xml:space="preserve"> and</w:t>
      </w:r>
      <w:r w:rsidR="003E12DE" w:rsidRPr="00610904">
        <w:rPr>
          <w:lang w:val="en-US"/>
        </w:rPr>
        <w:t xml:space="preserve"> </w:t>
      </w:r>
      <w:r w:rsidR="00830022" w:rsidRPr="00610904">
        <w:rPr>
          <w:lang w:val="en-US"/>
        </w:rPr>
        <w:t>judicial protection</w:t>
      </w:r>
      <w:r w:rsidR="003E12DE" w:rsidRPr="00610904">
        <w:rPr>
          <w:lang w:val="en-US"/>
        </w:rPr>
        <w:t>.</w:t>
      </w:r>
    </w:p>
    <w:p w:rsidR="003E12DE" w:rsidRPr="00610904" w:rsidRDefault="00DB39D3" w:rsidP="00610904">
      <w:pPr>
        <w:pStyle w:val="Estilo4"/>
        <w:numPr>
          <w:ilvl w:val="0"/>
          <w:numId w:val="20"/>
        </w:numPr>
        <w:spacing w:after="300"/>
        <w:ind w:left="0" w:firstLine="0"/>
        <w:rPr>
          <w:lang w:val="en-US"/>
        </w:rPr>
      </w:pPr>
      <w:r w:rsidRPr="00610904">
        <w:rPr>
          <w:lang w:val="en-US"/>
        </w:rPr>
        <w:t>Furthermore, the Court</w:t>
      </w:r>
      <w:r w:rsidR="001B553E" w:rsidRPr="00610904">
        <w:rPr>
          <w:lang w:val="en-US"/>
        </w:rPr>
        <w:t xml:space="preserve"> </w:t>
      </w:r>
      <w:r w:rsidRPr="00610904">
        <w:rPr>
          <w:lang w:val="en-US"/>
        </w:rPr>
        <w:t>may not</w:t>
      </w:r>
      <w:r w:rsidR="001B553E" w:rsidRPr="00610904">
        <w:rPr>
          <w:lang w:val="en-US"/>
        </w:rPr>
        <w:t xml:space="preserve"> cite a principle such as the progressive interpretation of international instruments in order to add rights to the system of protection. The appropriate sphere for the application of that principle is </w:t>
      </w:r>
      <w:r w:rsidRPr="00610904">
        <w:rPr>
          <w:lang w:val="en-US"/>
        </w:rPr>
        <w:t xml:space="preserve">in </w:t>
      </w:r>
      <w:r w:rsidR="001B553E" w:rsidRPr="00610904">
        <w:rPr>
          <w:lang w:val="en-US"/>
        </w:rPr>
        <w:t>the inte</w:t>
      </w:r>
      <w:r w:rsidRPr="00610904">
        <w:rPr>
          <w:lang w:val="en-US"/>
        </w:rPr>
        <w:t>rpretation of a right or freedom</w:t>
      </w:r>
      <w:r w:rsidR="001B553E" w:rsidRPr="00610904">
        <w:rPr>
          <w:lang w:val="en-US"/>
        </w:rPr>
        <w:t xml:space="preserve"> or of a State obligation, </w:t>
      </w:r>
      <w:r w:rsidRPr="00610904">
        <w:rPr>
          <w:lang w:val="en-US"/>
        </w:rPr>
        <w:t>which</w:t>
      </w:r>
      <w:r w:rsidR="001B553E" w:rsidRPr="00610904">
        <w:rPr>
          <w:lang w:val="en-US"/>
        </w:rPr>
        <w:t xml:space="preserve"> exists and is included under the system of protection of the Convention or the Protocol, in a different and generally broader sense than the one given originally by the authors. An example of this is the inclusion of the gender approach within the mention of “any other social </w:t>
      </w:r>
      <w:r w:rsidR="001B553E" w:rsidRPr="00610904">
        <w:rPr>
          <w:lang w:val="en-US"/>
        </w:rPr>
        <w:lastRenderedPageBreak/>
        <w:t>con</w:t>
      </w:r>
      <w:r w:rsidRPr="00610904">
        <w:rPr>
          <w:lang w:val="en-US"/>
        </w:rPr>
        <w:t>dition,” as one of the reasons of</w:t>
      </w:r>
      <w:r w:rsidR="001B553E" w:rsidRPr="00610904">
        <w:rPr>
          <w:lang w:val="en-US"/>
        </w:rPr>
        <w:t xml:space="preserve"> discrimination prohibited by </w:t>
      </w:r>
      <w:r w:rsidR="006E502B" w:rsidRPr="00610904">
        <w:rPr>
          <w:lang w:val="en-US"/>
        </w:rPr>
        <w:t>Article 1(1)</w:t>
      </w:r>
      <w:r w:rsidR="009F3D78" w:rsidRPr="00610904">
        <w:rPr>
          <w:lang w:val="en-US"/>
        </w:rPr>
        <w:t xml:space="preserve"> of the Convention</w:t>
      </w:r>
      <w:r w:rsidR="001B553E" w:rsidRPr="00610904">
        <w:rPr>
          <w:lang w:val="en-US"/>
        </w:rPr>
        <w:t>.</w:t>
      </w:r>
      <w:r w:rsidR="003E12DE" w:rsidRPr="00610904">
        <w:rPr>
          <w:rStyle w:val="FootnoteReference"/>
          <w:lang w:val="en-US"/>
        </w:rPr>
        <w:footnoteReference w:id="466"/>
      </w:r>
    </w:p>
    <w:p w:rsidR="003E12DE" w:rsidRPr="00610904" w:rsidRDefault="00357398" w:rsidP="00610904">
      <w:pPr>
        <w:pStyle w:val="Estilo1"/>
        <w:numPr>
          <w:ilvl w:val="0"/>
          <w:numId w:val="19"/>
        </w:numPr>
        <w:spacing w:after="160"/>
        <w:ind w:left="0" w:right="0" w:firstLine="0"/>
        <w:rPr>
          <w:b/>
          <w:noProof w:val="0"/>
          <w:szCs w:val="20"/>
          <w:lang w:val="en-US"/>
        </w:rPr>
      </w:pPr>
      <w:r w:rsidRPr="00610904">
        <w:rPr>
          <w:b/>
          <w:noProof w:val="0"/>
          <w:szCs w:val="20"/>
          <w:lang w:val="en-US"/>
        </w:rPr>
        <w:t xml:space="preserve">THE </w:t>
      </w:r>
      <w:r w:rsidR="00DB39D3" w:rsidRPr="00610904">
        <w:rPr>
          <w:b/>
          <w:noProof w:val="0"/>
          <w:szCs w:val="20"/>
          <w:lang w:val="en-US"/>
        </w:rPr>
        <w:t>TRAVAUX PRÉPARATOIRES</w:t>
      </w:r>
    </w:p>
    <w:p w:rsidR="003E12DE" w:rsidRPr="00610904" w:rsidRDefault="001B553E" w:rsidP="00610904">
      <w:pPr>
        <w:pStyle w:val="Estilo4"/>
        <w:numPr>
          <w:ilvl w:val="0"/>
          <w:numId w:val="20"/>
        </w:numPr>
        <w:spacing w:after="160"/>
        <w:ind w:left="0" w:firstLine="0"/>
        <w:rPr>
          <w:lang w:val="en-US"/>
        </w:rPr>
      </w:pPr>
      <w:r w:rsidRPr="00610904">
        <w:rPr>
          <w:lang w:val="en-US"/>
        </w:rPr>
        <w:t xml:space="preserve">The </w:t>
      </w:r>
      <w:r w:rsidR="00DB39D3" w:rsidRPr="00610904">
        <w:rPr>
          <w:lang w:val="en-US"/>
        </w:rPr>
        <w:t>prepara</w:t>
      </w:r>
      <w:r w:rsidRPr="00610904">
        <w:rPr>
          <w:lang w:val="en-US"/>
        </w:rPr>
        <w:t xml:space="preserve">tion </w:t>
      </w:r>
      <w:r w:rsidR="009F3D78" w:rsidRPr="00610904">
        <w:rPr>
          <w:lang w:val="en-US"/>
        </w:rPr>
        <w:t>of the American Convention</w:t>
      </w:r>
      <w:r w:rsidR="003E12DE" w:rsidRPr="00610904">
        <w:rPr>
          <w:lang w:val="en-US"/>
        </w:rPr>
        <w:t xml:space="preserve"> </w:t>
      </w:r>
      <w:r w:rsidRPr="00610904">
        <w:rPr>
          <w:lang w:val="en-US"/>
        </w:rPr>
        <w:t>extended over many years and some of the drafts recognized various economic, social and cultural rights</w:t>
      </w:r>
      <w:r w:rsidR="003E12DE" w:rsidRPr="00610904">
        <w:rPr>
          <w:lang w:val="en-US"/>
        </w:rPr>
        <w:t xml:space="preserve">, </w:t>
      </w:r>
      <w:r w:rsidRPr="00610904">
        <w:rPr>
          <w:lang w:val="en-US"/>
        </w:rPr>
        <w:t xml:space="preserve">although this did not necessarily involve their inclusion in the same </w:t>
      </w:r>
      <w:r w:rsidR="00163298" w:rsidRPr="00610904">
        <w:rPr>
          <w:lang w:val="en-US"/>
        </w:rPr>
        <w:t>system of protection</w:t>
      </w:r>
      <w:r w:rsidR="003E12DE" w:rsidRPr="00610904">
        <w:rPr>
          <w:lang w:val="en-US"/>
        </w:rPr>
        <w:t xml:space="preserve"> </w:t>
      </w:r>
      <w:r w:rsidRPr="00610904">
        <w:rPr>
          <w:lang w:val="en-US"/>
        </w:rPr>
        <w:t xml:space="preserve">established for civil and political rights. We consider it </w:t>
      </w:r>
      <w:r w:rsidR="00DB39D3" w:rsidRPr="00610904">
        <w:rPr>
          <w:lang w:val="en-US"/>
        </w:rPr>
        <w:t>preferable</w:t>
      </w:r>
      <w:r w:rsidRPr="00610904">
        <w:rPr>
          <w:lang w:val="en-US"/>
        </w:rPr>
        <w:t xml:space="preserve"> to limit </w:t>
      </w:r>
      <w:r w:rsidR="00DB39D3" w:rsidRPr="00610904">
        <w:rPr>
          <w:lang w:val="en-US"/>
        </w:rPr>
        <w:t>our</w:t>
      </w:r>
      <w:r w:rsidRPr="00610904">
        <w:rPr>
          <w:lang w:val="en-US"/>
        </w:rPr>
        <w:t xml:space="preserve"> </w:t>
      </w:r>
      <w:r w:rsidR="009303FF" w:rsidRPr="00610904">
        <w:rPr>
          <w:lang w:val="en-US"/>
        </w:rPr>
        <w:t>analysis</w:t>
      </w:r>
      <w:r w:rsidRPr="00610904">
        <w:rPr>
          <w:lang w:val="en-US"/>
        </w:rPr>
        <w:t xml:space="preserve"> to the Inter-American Specialized Conference on Human Rights during which the </w:t>
      </w:r>
      <w:r w:rsidR="00DB39D3" w:rsidRPr="00610904">
        <w:rPr>
          <w:lang w:val="en-US"/>
        </w:rPr>
        <w:t>final</w:t>
      </w:r>
      <w:r w:rsidRPr="00610904">
        <w:rPr>
          <w:lang w:val="en-US"/>
        </w:rPr>
        <w:t xml:space="preserve"> text </w:t>
      </w:r>
      <w:r w:rsidR="009F3D78" w:rsidRPr="00610904">
        <w:rPr>
          <w:lang w:val="en-US"/>
        </w:rPr>
        <w:t>of the American Convention</w:t>
      </w:r>
      <w:r w:rsidRPr="00610904">
        <w:rPr>
          <w:lang w:val="en-US"/>
        </w:rPr>
        <w:t xml:space="preserve"> was adopted</w:t>
      </w:r>
      <w:r w:rsidR="003E12DE" w:rsidRPr="00610904">
        <w:rPr>
          <w:lang w:val="en-US"/>
        </w:rPr>
        <w:t>.</w:t>
      </w:r>
    </w:p>
    <w:p w:rsidR="00E50868" w:rsidRPr="00610904" w:rsidRDefault="00E50868" w:rsidP="00610904">
      <w:pPr>
        <w:pStyle w:val="Estilo4"/>
        <w:numPr>
          <w:ilvl w:val="0"/>
          <w:numId w:val="20"/>
        </w:numPr>
        <w:spacing w:after="160"/>
        <w:ind w:left="0" w:firstLine="0"/>
        <w:rPr>
          <w:lang w:val="en-US"/>
        </w:rPr>
      </w:pPr>
      <w:r w:rsidRPr="00610904">
        <w:rPr>
          <w:lang w:val="en-US"/>
        </w:rPr>
        <w:t>Above all, it is necessary to indicate that the characterization of these</w:t>
      </w:r>
      <w:r w:rsidR="001B553E" w:rsidRPr="00610904">
        <w:rPr>
          <w:lang w:val="en-US"/>
        </w:rPr>
        <w:t xml:space="preserve"> preliminary discussions</w:t>
      </w:r>
      <w:r w:rsidRPr="00610904">
        <w:rPr>
          <w:lang w:val="en-US"/>
        </w:rPr>
        <w:t xml:space="preserve"> in the judgment in the</w:t>
      </w:r>
      <w:r w:rsidR="003E12DE" w:rsidRPr="00610904">
        <w:rPr>
          <w:lang w:val="en-US"/>
        </w:rPr>
        <w:t xml:space="preserve"> </w:t>
      </w:r>
      <w:r w:rsidRPr="00610904">
        <w:rPr>
          <w:rFonts w:cs="Arial"/>
          <w:i/>
          <w:lang w:val="en-US"/>
        </w:rPr>
        <w:t>case of Acevedo Buendía et al. (“Discharged and Retired Employees of the Comptroller</w:t>
      </w:r>
      <w:r w:rsidR="00597512" w:rsidRPr="00610904">
        <w:rPr>
          <w:rFonts w:cs="Arial"/>
          <w:i/>
          <w:lang w:val="en-US"/>
        </w:rPr>
        <w:t>’s Office</w:t>
      </w:r>
      <w:r w:rsidRPr="00610904">
        <w:rPr>
          <w:rFonts w:cs="Arial"/>
          <w:i/>
          <w:lang w:val="en-US"/>
        </w:rPr>
        <w:t>”)</w:t>
      </w:r>
      <w:r w:rsidRPr="00610904">
        <w:rPr>
          <w:rFonts w:cs="Arial"/>
          <w:lang w:val="en-US"/>
        </w:rPr>
        <w:t xml:space="preserve"> is incorrect. The judgment indicates the following: </w:t>
      </w:r>
    </w:p>
    <w:p w:rsidR="003E12DE" w:rsidRPr="00610904" w:rsidRDefault="00E50868" w:rsidP="00610904">
      <w:pPr>
        <w:ind w:left="720" w:right="468"/>
        <w:rPr>
          <w:rFonts w:cs="Arial"/>
          <w:noProof w:val="0"/>
          <w:sz w:val="18"/>
          <w:szCs w:val="18"/>
          <w:lang w:val="en-US"/>
        </w:rPr>
      </w:pPr>
      <w:r w:rsidRPr="00610904">
        <w:rPr>
          <w:rFonts w:cs="Arial"/>
          <w:noProof w:val="0"/>
          <w:sz w:val="18"/>
          <w:szCs w:val="18"/>
          <w:lang w:val="en-US"/>
        </w:rPr>
        <w:t xml:space="preserve">In this regard, the Court notes that the content of Article 26 of the Convention was the subject of intense discussion during the </w:t>
      </w:r>
      <w:r w:rsidRPr="00610904">
        <w:rPr>
          <w:rFonts w:cs="Arial"/>
          <w:i/>
          <w:noProof w:val="0"/>
          <w:sz w:val="18"/>
          <w:szCs w:val="18"/>
          <w:lang w:val="en-US"/>
        </w:rPr>
        <w:t>travaux préparatoires</w:t>
      </w:r>
      <w:r w:rsidRPr="00610904">
        <w:rPr>
          <w:rFonts w:cs="Arial"/>
          <w:noProof w:val="0"/>
          <w:sz w:val="18"/>
          <w:szCs w:val="18"/>
          <w:lang w:val="en-US"/>
        </w:rPr>
        <w:t xml:space="preserve"> of the Convention, as a result of the States Parties' interest in including a "direct reference” to economic, social and cultural “rights”; “a provision establishing </w:t>
      </w:r>
      <w:r w:rsidR="00DB39D3" w:rsidRPr="00610904">
        <w:rPr>
          <w:rFonts w:cs="Arial"/>
          <w:noProof w:val="0"/>
          <w:sz w:val="18"/>
          <w:szCs w:val="18"/>
          <w:lang w:val="en-US"/>
        </w:rPr>
        <w:t xml:space="preserve">a </w:t>
      </w:r>
      <w:r w:rsidRPr="00610904">
        <w:rPr>
          <w:rFonts w:cs="Arial"/>
          <w:noProof w:val="0"/>
          <w:sz w:val="18"/>
          <w:szCs w:val="18"/>
          <w:lang w:val="en-US"/>
        </w:rPr>
        <w:t xml:space="preserve">certain </w:t>
      </w:r>
      <w:r w:rsidR="00DB39D3" w:rsidRPr="00610904">
        <w:rPr>
          <w:rFonts w:cs="Arial"/>
          <w:noProof w:val="0"/>
          <w:sz w:val="18"/>
          <w:szCs w:val="18"/>
          <w:lang w:val="en-US"/>
        </w:rPr>
        <w:t xml:space="preserve">binding </w:t>
      </w:r>
      <w:r w:rsidRPr="00610904">
        <w:rPr>
          <w:rFonts w:cs="Arial"/>
          <w:noProof w:val="0"/>
          <w:sz w:val="18"/>
          <w:szCs w:val="18"/>
          <w:lang w:val="en-US"/>
        </w:rPr>
        <w:t xml:space="preserve">legal </w:t>
      </w:r>
      <w:r w:rsidR="00DB39D3" w:rsidRPr="00610904">
        <w:rPr>
          <w:rFonts w:cs="Arial"/>
          <w:noProof w:val="0"/>
          <w:sz w:val="18"/>
          <w:szCs w:val="18"/>
          <w:lang w:val="en-US"/>
        </w:rPr>
        <w:t>force […] in</w:t>
      </w:r>
      <w:r w:rsidRPr="00610904">
        <w:rPr>
          <w:rFonts w:cs="Arial"/>
          <w:noProof w:val="0"/>
          <w:sz w:val="18"/>
          <w:szCs w:val="18"/>
          <w:lang w:val="en-US"/>
        </w:rPr>
        <w:t xml:space="preserve"> compliance and application” [Chile]; as well as "the [respective] mechanisms [for its] promotion and protection” [Chile], since the preliminary draft of the treaty prepared by the Inter-American Commission referred to such mechanisms in two articles that, according to some States, only “</w:t>
      </w:r>
      <w:r w:rsidR="00DB39D3" w:rsidRPr="00610904">
        <w:rPr>
          <w:rFonts w:cs="Arial"/>
          <w:noProof w:val="0"/>
          <w:sz w:val="18"/>
          <w:szCs w:val="18"/>
          <w:lang w:val="en-US"/>
        </w:rPr>
        <w:t>referred</w:t>
      </w:r>
      <w:r w:rsidRPr="00610904">
        <w:rPr>
          <w:rFonts w:cs="Arial"/>
          <w:noProof w:val="0"/>
          <w:sz w:val="18"/>
          <w:szCs w:val="18"/>
          <w:lang w:val="en-US"/>
        </w:rPr>
        <w:t xml:space="preserve">, in a merely declarative text, </w:t>
      </w:r>
      <w:r w:rsidR="00DB39D3" w:rsidRPr="00610904">
        <w:rPr>
          <w:rFonts w:cs="Arial"/>
          <w:noProof w:val="0"/>
          <w:sz w:val="18"/>
          <w:szCs w:val="18"/>
          <w:lang w:val="en-US"/>
        </w:rPr>
        <w:t xml:space="preserve">to </w:t>
      </w:r>
      <w:r w:rsidRPr="00610904">
        <w:rPr>
          <w:rFonts w:cs="Arial"/>
          <w:noProof w:val="0"/>
          <w:sz w:val="18"/>
          <w:szCs w:val="18"/>
          <w:lang w:val="en-US"/>
        </w:rPr>
        <w:t xml:space="preserve">the conclusions reached at the Buenos </w:t>
      </w:r>
      <w:r w:rsidR="00DB39D3" w:rsidRPr="00610904">
        <w:rPr>
          <w:rFonts w:cs="Arial"/>
          <w:noProof w:val="0"/>
          <w:sz w:val="18"/>
          <w:szCs w:val="18"/>
          <w:lang w:val="en-US"/>
        </w:rPr>
        <w:t>Aires Conference” [Uruguay]. A</w:t>
      </w:r>
      <w:r w:rsidRPr="00610904">
        <w:rPr>
          <w:rFonts w:cs="Arial"/>
          <w:noProof w:val="0"/>
          <w:sz w:val="18"/>
          <w:szCs w:val="18"/>
          <w:lang w:val="en-US"/>
        </w:rPr>
        <w:t xml:space="preserve"> review of said </w:t>
      </w:r>
      <w:r w:rsidRPr="00610904">
        <w:rPr>
          <w:rFonts w:cs="Arial"/>
          <w:i/>
          <w:noProof w:val="0"/>
          <w:sz w:val="18"/>
          <w:szCs w:val="18"/>
          <w:lang w:val="en-US"/>
        </w:rPr>
        <w:t>travaux préparatoires</w:t>
      </w:r>
      <w:r w:rsidRPr="00610904">
        <w:rPr>
          <w:rFonts w:cs="Arial"/>
          <w:noProof w:val="0"/>
          <w:sz w:val="18"/>
          <w:szCs w:val="18"/>
          <w:lang w:val="en-US"/>
        </w:rPr>
        <w:t xml:space="preserve"> of the Convention also reveals that the main observations, based on which the Convention was adopted, placed special emphasis on “granting the economic, social and cultural rights the maximum protection compatible with the </w:t>
      </w:r>
      <w:r w:rsidR="00DB39D3" w:rsidRPr="00610904">
        <w:rPr>
          <w:rFonts w:cs="Arial"/>
          <w:noProof w:val="0"/>
          <w:sz w:val="18"/>
          <w:szCs w:val="18"/>
          <w:lang w:val="en-US"/>
        </w:rPr>
        <w:t xml:space="preserve">particular </w:t>
      </w:r>
      <w:r w:rsidRPr="00610904">
        <w:rPr>
          <w:rFonts w:cs="Arial"/>
          <w:noProof w:val="0"/>
          <w:sz w:val="18"/>
          <w:szCs w:val="18"/>
          <w:lang w:val="en-US"/>
        </w:rPr>
        <w:t xml:space="preserve">conditions of most of the </w:t>
      </w:r>
      <w:r w:rsidR="00DB39D3" w:rsidRPr="00610904">
        <w:rPr>
          <w:rFonts w:cs="Arial"/>
          <w:noProof w:val="0"/>
          <w:sz w:val="18"/>
          <w:szCs w:val="18"/>
          <w:lang w:val="en-US"/>
        </w:rPr>
        <w:t>States of the America</w:t>
      </w:r>
      <w:r w:rsidRPr="00610904">
        <w:rPr>
          <w:rFonts w:cs="Arial"/>
          <w:noProof w:val="0"/>
          <w:sz w:val="18"/>
          <w:szCs w:val="18"/>
          <w:lang w:val="en-US"/>
        </w:rPr>
        <w:t xml:space="preserve">s” [Brazil]. In this way, as part of the debate during the </w:t>
      </w:r>
      <w:r w:rsidRPr="00610904">
        <w:rPr>
          <w:rFonts w:cs="Arial"/>
          <w:i/>
          <w:noProof w:val="0"/>
          <w:sz w:val="18"/>
          <w:szCs w:val="18"/>
          <w:lang w:val="en-US"/>
        </w:rPr>
        <w:t>travaux préparatoires</w:t>
      </w:r>
      <w:r w:rsidRPr="00610904">
        <w:rPr>
          <w:rFonts w:cs="Arial"/>
          <w:noProof w:val="0"/>
          <w:sz w:val="18"/>
          <w:szCs w:val="18"/>
          <w:lang w:val="en-US"/>
        </w:rPr>
        <w:t xml:space="preserve">, it was also proposed "to make it possible to implement [the said rights] by means of the action of the courts” [Guatemala]. (The footnotes have been substituted by the </w:t>
      </w:r>
      <w:r w:rsidR="00DB39D3" w:rsidRPr="00610904">
        <w:rPr>
          <w:rFonts w:cs="Arial"/>
          <w:noProof w:val="0"/>
          <w:sz w:val="18"/>
          <w:szCs w:val="18"/>
          <w:lang w:val="en-US"/>
        </w:rPr>
        <w:t>name</w:t>
      </w:r>
      <w:r w:rsidRPr="00610904">
        <w:rPr>
          <w:rFonts w:cs="Arial"/>
          <w:noProof w:val="0"/>
          <w:sz w:val="18"/>
          <w:szCs w:val="18"/>
          <w:lang w:val="en-US"/>
        </w:rPr>
        <w:t xml:space="preserve"> of the State to which the different proposals are attributed.</w:t>
      </w:r>
      <w:r w:rsidR="00DB39D3" w:rsidRPr="00610904">
        <w:rPr>
          <w:rFonts w:cs="Arial"/>
          <w:noProof w:val="0"/>
          <w:sz w:val="18"/>
          <w:szCs w:val="18"/>
          <w:lang w:val="en-US"/>
        </w:rPr>
        <w:t>)</w:t>
      </w:r>
    </w:p>
    <w:p w:rsidR="00E50868" w:rsidRPr="00610904" w:rsidRDefault="00E50868" w:rsidP="00610904">
      <w:pPr>
        <w:ind w:left="720" w:right="468"/>
        <w:rPr>
          <w:rFonts w:cs="Arial"/>
          <w:noProof w:val="0"/>
          <w:szCs w:val="20"/>
          <w:lang w:val="en-US"/>
        </w:rPr>
      </w:pPr>
    </w:p>
    <w:p w:rsidR="003E12DE" w:rsidRPr="00610904" w:rsidRDefault="00E96420" w:rsidP="00610904">
      <w:pPr>
        <w:pStyle w:val="Estilo4"/>
        <w:numPr>
          <w:ilvl w:val="0"/>
          <w:numId w:val="20"/>
        </w:numPr>
        <w:spacing w:after="160"/>
        <w:ind w:left="0" w:firstLine="0"/>
        <w:rPr>
          <w:lang w:val="en-US"/>
        </w:rPr>
      </w:pPr>
      <w:r w:rsidRPr="00610904">
        <w:rPr>
          <w:lang w:val="en-US"/>
        </w:rPr>
        <w:t>A</w:t>
      </w:r>
      <w:r w:rsidR="00E50868" w:rsidRPr="00610904">
        <w:rPr>
          <w:lang w:val="en-US"/>
        </w:rPr>
        <w:t xml:space="preserve"> review of the proceedings of the Specialized Conference reveals a very</w:t>
      </w:r>
      <w:r w:rsidRPr="00610904">
        <w:rPr>
          <w:lang w:val="en-US"/>
        </w:rPr>
        <w:t xml:space="preserve"> different panorama. To begin with,</w:t>
      </w:r>
      <w:r w:rsidR="00E50868" w:rsidRPr="00610904">
        <w:rPr>
          <w:lang w:val="en-US"/>
        </w:rPr>
        <w:t xml:space="preserve"> the judgment of the Court includes fragments of observations made by four State</w:t>
      </w:r>
      <w:r w:rsidR="004867A0" w:rsidRPr="00610904">
        <w:rPr>
          <w:lang w:val="en-US"/>
        </w:rPr>
        <w:t>s from</w:t>
      </w:r>
      <w:r w:rsidR="00E50868" w:rsidRPr="00610904">
        <w:rPr>
          <w:lang w:val="en-US"/>
        </w:rPr>
        <w:t xml:space="preserve"> a total of 23 participating States, which is far from indicating a massive or majority movement in a specific direction. In reality, several other States made observations. These are transcribed below</w:t>
      </w:r>
      <w:r w:rsidR="003E12DE" w:rsidRPr="00610904">
        <w:rPr>
          <w:lang w:val="en-US"/>
        </w:rPr>
        <w:t>:</w:t>
      </w:r>
    </w:p>
    <w:p w:rsidR="003E12DE" w:rsidRPr="00610904" w:rsidRDefault="00795F5F" w:rsidP="00610904">
      <w:pPr>
        <w:pStyle w:val="Estilo4"/>
        <w:numPr>
          <w:ilvl w:val="0"/>
          <w:numId w:val="0"/>
        </w:numPr>
        <w:ind w:left="360"/>
        <w:rPr>
          <w:i/>
          <w:lang w:val="en-US"/>
        </w:rPr>
      </w:pPr>
      <w:r w:rsidRPr="00610904">
        <w:rPr>
          <w:i/>
          <w:lang w:val="en-US"/>
        </w:rPr>
        <w:t>Observations</w:t>
      </w:r>
      <w:r w:rsidR="003E12DE" w:rsidRPr="00610904">
        <w:rPr>
          <w:i/>
          <w:lang w:val="en-US"/>
        </w:rPr>
        <w:t xml:space="preserve"> </w:t>
      </w:r>
      <w:r w:rsidR="00E50868" w:rsidRPr="00610904">
        <w:rPr>
          <w:i/>
          <w:lang w:val="en-US"/>
        </w:rPr>
        <w:t>of</w:t>
      </w:r>
      <w:r w:rsidR="003E12DE" w:rsidRPr="00610904">
        <w:rPr>
          <w:i/>
          <w:lang w:val="en-US"/>
        </w:rPr>
        <w:t xml:space="preserve"> Uruguay</w:t>
      </w:r>
      <w:r w:rsidR="003E12DE" w:rsidRPr="00610904">
        <w:rPr>
          <w:rStyle w:val="FootnoteReference"/>
          <w:lang w:val="en-US"/>
        </w:rPr>
        <w:footnoteReference w:id="467"/>
      </w:r>
    </w:p>
    <w:p w:rsidR="003E12DE" w:rsidRPr="00610904" w:rsidRDefault="00E96420" w:rsidP="00610904">
      <w:pPr>
        <w:pStyle w:val="Estilo4"/>
        <w:numPr>
          <w:ilvl w:val="0"/>
          <w:numId w:val="0"/>
        </w:numPr>
        <w:spacing w:after="240"/>
        <w:ind w:left="720"/>
        <w:rPr>
          <w:sz w:val="18"/>
          <w:szCs w:val="18"/>
          <w:lang w:val="en-US"/>
        </w:rPr>
      </w:pPr>
      <w:r w:rsidRPr="00610904">
        <w:rPr>
          <w:sz w:val="18"/>
          <w:szCs w:val="18"/>
          <w:lang w:val="en-US"/>
        </w:rPr>
        <w:t xml:space="preserve">10. </w:t>
      </w:r>
      <w:r w:rsidR="00A8072E" w:rsidRPr="00610904">
        <w:rPr>
          <w:sz w:val="18"/>
          <w:szCs w:val="18"/>
          <w:lang w:val="en-US"/>
        </w:rPr>
        <w:t>Article</w:t>
      </w:r>
      <w:r w:rsidR="001B553E" w:rsidRPr="00610904">
        <w:rPr>
          <w:sz w:val="18"/>
          <w:szCs w:val="18"/>
          <w:lang w:val="en-US"/>
        </w:rPr>
        <w:t xml:space="preserve"> 25</w:t>
      </w:r>
      <w:r w:rsidR="003E12DE" w:rsidRPr="00610904">
        <w:rPr>
          <w:sz w:val="18"/>
          <w:szCs w:val="18"/>
          <w:lang w:val="en-US"/>
        </w:rPr>
        <w:t xml:space="preserve">, </w:t>
      </w:r>
      <w:r w:rsidR="001B553E" w:rsidRPr="00610904">
        <w:rPr>
          <w:sz w:val="18"/>
          <w:szCs w:val="18"/>
          <w:lang w:val="en-US"/>
        </w:rPr>
        <w:t>paragraph</w:t>
      </w:r>
      <w:r w:rsidR="003E12DE" w:rsidRPr="00610904">
        <w:rPr>
          <w:sz w:val="18"/>
          <w:szCs w:val="18"/>
          <w:lang w:val="en-US"/>
        </w:rPr>
        <w:t xml:space="preserve"> 2, </w:t>
      </w:r>
      <w:r w:rsidRPr="00610904">
        <w:rPr>
          <w:sz w:val="18"/>
          <w:szCs w:val="18"/>
          <w:lang w:val="en-US"/>
        </w:rPr>
        <w:t>reflects, in a text that is merely declarative,</w:t>
      </w:r>
      <w:r w:rsidR="001B553E" w:rsidRPr="00610904">
        <w:rPr>
          <w:sz w:val="18"/>
          <w:szCs w:val="18"/>
          <w:lang w:val="en-US"/>
        </w:rPr>
        <w:t xml:space="preserve"> conclusions </w:t>
      </w:r>
      <w:r w:rsidRPr="00610904">
        <w:rPr>
          <w:sz w:val="18"/>
          <w:szCs w:val="18"/>
          <w:lang w:val="en-US"/>
        </w:rPr>
        <w:t>reached</w:t>
      </w:r>
      <w:r w:rsidR="001B553E" w:rsidRPr="00610904">
        <w:rPr>
          <w:sz w:val="18"/>
          <w:szCs w:val="18"/>
          <w:lang w:val="en-US"/>
        </w:rPr>
        <w:t xml:space="preserve"> in the Conference of Buenos Aires. Its content does not appear to be suitable for a convention, but </w:t>
      </w:r>
      <w:r w:rsidRPr="00610904">
        <w:rPr>
          <w:sz w:val="18"/>
          <w:szCs w:val="18"/>
          <w:lang w:val="en-US"/>
        </w:rPr>
        <w:t xml:space="preserve">it may not be </w:t>
      </w:r>
      <w:r w:rsidR="001B553E" w:rsidRPr="00610904">
        <w:rPr>
          <w:sz w:val="18"/>
          <w:szCs w:val="18"/>
          <w:lang w:val="en-US"/>
        </w:rPr>
        <w:t>politically correct to oppose the inclusion of this text</w:t>
      </w:r>
      <w:r w:rsidR="009303FF" w:rsidRPr="00610904">
        <w:rPr>
          <w:sz w:val="18"/>
          <w:szCs w:val="18"/>
          <w:lang w:val="en-US"/>
        </w:rPr>
        <w:t>.</w:t>
      </w:r>
    </w:p>
    <w:p w:rsidR="003E12DE" w:rsidRPr="00610904" w:rsidRDefault="00795F5F" w:rsidP="00610904">
      <w:pPr>
        <w:pStyle w:val="Estilo4"/>
        <w:keepNext/>
        <w:numPr>
          <w:ilvl w:val="0"/>
          <w:numId w:val="0"/>
        </w:numPr>
        <w:ind w:left="357"/>
        <w:rPr>
          <w:lang w:val="en-US"/>
        </w:rPr>
      </w:pPr>
      <w:r w:rsidRPr="00610904">
        <w:rPr>
          <w:i/>
          <w:lang w:val="en-US"/>
        </w:rPr>
        <w:lastRenderedPageBreak/>
        <w:t>Observations</w:t>
      </w:r>
      <w:r w:rsidR="00E50868" w:rsidRPr="00610904">
        <w:rPr>
          <w:i/>
          <w:lang w:val="en-US"/>
        </w:rPr>
        <w:t xml:space="preserve"> of</w:t>
      </w:r>
      <w:r w:rsidR="003E12DE" w:rsidRPr="00610904">
        <w:rPr>
          <w:i/>
          <w:lang w:val="en-US"/>
        </w:rPr>
        <w:t xml:space="preserve"> Chile</w:t>
      </w:r>
      <w:r w:rsidR="003E12DE" w:rsidRPr="00610904">
        <w:rPr>
          <w:rStyle w:val="FootnoteReference"/>
          <w:lang w:val="en-US"/>
        </w:rPr>
        <w:footnoteReference w:id="468"/>
      </w:r>
    </w:p>
    <w:p w:rsidR="006F7D38" w:rsidRPr="00610904" w:rsidRDefault="003E12DE" w:rsidP="00610904">
      <w:pPr>
        <w:pStyle w:val="Estilo4"/>
        <w:numPr>
          <w:ilvl w:val="0"/>
          <w:numId w:val="0"/>
        </w:numPr>
        <w:ind w:left="720"/>
        <w:rPr>
          <w:sz w:val="18"/>
          <w:szCs w:val="18"/>
          <w:lang w:val="en-US"/>
        </w:rPr>
      </w:pPr>
      <w:r w:rsidRPr="00610904">
        <w:rPr>
          <w:sz w:val="18"/>
          <w:szCs w:val="18"/>
          <w:lang w:val="en-US"/>
        </w:rPr>
        <w:t xml:space="preserve">14. </w:t>
      </w:r>
      <w:r w:rsidR="001B553E" w:rsidRPr="00610904">
        <w:rPr>
          <w:sz w:val="18"/>
          <w:szCs w:val="18"/>
          <w:lang w:val="en-US"/>
        </w:rPr>
        <w:t xml:space="preserve">The provisions concerning economic, social and cultural rights </w:t>
      </w:r>
      <w:r w:rsidR="00E96420" w:rsidRPr="00610904">
        <w:rPr>
          <w:sz w:val="18"/>
          <w:szCs w:val="18"/>
          <w:lang w:val="en-US"/>
        </w:rPr>
        <w:t xml:space="preserve">that have remained in the draft </w:t>
      </w:r>
      <w:r w:rsidR="001B553E" w:rsidRPr="00610904">
        <w:rPr>
          <w:sz w:val="18"/>
          <w:szCs w:val="18"/>
          <w:lang w:val="en-US"/>
        </w:rPr>
        <w:t xml:space="preserve">are those that </w:t>
      </w:r>
      <w:r w:rsidR="002D527F" w:rsidRPr="00610904">
        <w:rPr>
          <w:sz w:val="18"/>
          <w:szCs w:val="18"/>
          <w:lang w:val="en-US"/>
        </w:rPr>
        <w:t>warrant</w:t>
      </w:r>
      <w:r w:rsidR="001B553E" w:rsidRPr="00610904">
        <w:rPr>
          <w:sz w:val="18"/>
          <w:szCs w:val="18"/>
          <w:lang w:val="en-US"/>
        </w:rPr>
        <w:t xml:space="preserve"> the </w:t>
      </w:r>
      <w:r w:rsidR="006F7D38" w:rsidRPr="00610904">
        <w:rPr>
          <w:sz w:val="18"/>
          <w:szCs w:val="18"/>
          <w:lang w:val="en-US"/>
        </w:rPr>
        <w:t>most</w:t>
      </w:r>
      <w:r w:rsidR="001B553E" w:rsidRPr="00610904">
        <w:rPr>
          <w:sz w:val="18"/>
          <w:szCs w:val="18"/>
          <w:lang w:val="en-US"/>
        </w:rPr>
        <w:t xml:space="preserve"> objections </w:t>
      </w:r>
      <w:r w:rsidR="002D527F" w:rsidRPr="00610904">
        <w:rPr>
          <w:sz w:val="18"/>
          <w:szCs w:val="18"/>
          <w:lang w:val="en-US"/>
        </w:rPr>
        <w:t xml:space="preserve">as regards form and content. These are </w:t>
      </w:r>
      <w:r w:rsidR="009F3D78" w:rsidRPr="00610904">
        <w:rPr>
          <w:sz w:val="18"/>
          <w:szCs w:val="18"/>
          <w:lang w:val="en-US"/>
        </w:rPr>
        <w:t>Articles</w:t>
      </w:r>
      <w:r w:rsidRPr="00610904">
        <w:rPr>
          <w:sz w:val="18"/>
          <w:szCs w:val="18"/>
          <w:lang w:val="en-US"/>
        </w:rPr>
        <w:t xml:space="preserve"> 25, 26</w:t>
      </w:r>
      <w:r w:rsidR="009F3D78" w:rsidRPr="00610904">
        <w:rPr>
          <w:sz w:val="18"/>
          <w:szCs w:val="18"/>
          <w:lang w:val="en-US"/>
        </w:rPr>
        <w:t xml:space="preserve"> and </w:t>
      </w:r>
      <w:r w:rsidRPr="00610904">
        <w:rPr>
          <w:sz w:val="18"/>
          <w:szCs w:val="18"/>
          <w:lang w:val="en-US"/>
        </w:rPr>
        <w:t xml:space="preserve">41. </w:t>
      </w:r>
      <w:r w:rsidR="002D527F" w:rsidRPr="00610904">
        <w:rPr>
          <w:sz w:val="18"/>
          <w:szCs w:val="18"/>
          <w:lang w:val="en-US"/>
        </w:rPr>
        <w:t xml:space="preserve">Any direct mention of those rights has been eliminated; indirectly, in </w:t>
      </w:r>
      <w:r w:rsidR="009F3D78" w:rsidRPr="00610904">
        <w:rPr>
          <w:sz w:val="18"/>
          <w:szCs w:val="18"/>
          <w:lang w:val="en-US"/>
        </w:rPr>
        <w:t>Article</w:t>
      </w:r>
      <w:r w:rsidRPr="00610904">
        <w:rPr>
          <w:sz w:val="18"/>
          <w:szCs w:val="18"/>
          <w:lang w:val="en-US"/>
        </w:rPr>
        <w:t xml:space="preserve"> 25, p</w:t>
      </w:r>
      <w:r w:rsidR="002D527F" w:rsidRPr="00610904">
        <w:rPr>
          <w:sz w:val="18"/>
          <w:szCs w:val="18"/>
          <w:lang w:val="en-US"/>
        </w:rPr>
        <w:t>aragraph</w:t>
      </w:r>
      <w:r w:rsidRPr="00610904">
        <w:rPr>
          <w:sz w:val="18"/>
          <w:szCs w:val="18"/>
          <w:lang w:val="en-US"/>
        </w:rPr>
        <w:t xml:space="preserve"> 1, </w:t>
      </w:r>
      <w:r w:rsidR="002D527F" w:rsidRPr="00610904">
        <w:rPr>
          <w:sz w:val="18"/>
          <w:szCs w:val="18"/>
          <w:lang w:val="en-US"/>
        </w:rPr>
        <w:t xml:space="preserve">there is an insufficient recognition of “the need for </w:t>
      </w:r>
      <w:r w:rsidR="00357398" w:rsidRPr="00610904">
        <w:rPr>
          <w:sz w:val="18"/>
          <w:szCs w:val="18"/>
          <w:lang w:val="en-US"/>
        </w:rPr>
        <w:t>the States Parties</w:t>
      </w:r>
      <w:r w:rsidRPr="00610904">
        <w:rPr>
          <w:sz w:val="18"/>
          <w:szCs w:val="18"/>
          <w:lang w:val="en-US"/>
        </w:rPr>
        <w:t xml:space="preserve"> </w:t>
      </w:r>
      <w:r w:rsidR="002D527F" w:rsidRPr="00610904">
        <w:rPr>
          <w:sz w:val="18"/>
          <w:szCs w:val="18"/>
          <w:lang w:val="en-US"/>
        </w:rPr>
        <w:t xml:space="preserve">to take every effort to ensure that they are adopted in domestic law and, as appropriate, guaranteeing the other rights established in </w:t>
      </w:r>
      <w:r w:rsidR="0013395A" w:rsidRPr="00610904">
        <w:rPr>
          <w:sz w:val="18"/>
          <w:szCs w:val="18"/>
          <w:lang w:val="en-US"/>
        </w:rPr>
        <w:t>the American Declaration of the Rights and Duties of Man</w:t>
      </w:r>
      <w:r w:rsidR="009F3D78" w:rsidRPr="00610904">
        <w:rPr>
          <w:sz w:val="18"/>
          <w:szCs w:val="18"/>
          <w:lang w:val="en-US"/>
        </w:rPr>
        <w:t xml:space="preserve"> </w:t>
      </w:r>
      <w:r w:rsidR="002D527F" w:rsidRPr="00610904">
        <w:rPr>
          <w:sz w:val="18"/>
          <w:szCs w:val="18"/>
          <w:lang w:val="en-US"/>
        </w:rPr>
        <w:t xml:space="preserve">that have not been included in the preceding articles.” </w:t>
      </w:r>
      <w:r w:rsidR="006F7D38" w:rsidRPr="00610904">
        <w:rPr>
          <w:sz w:val="18"/>
          <w:szCs w:val="18"/>
          <w:lang w:val="en-US"/>
        </w:rPr>
        <w:t>If, as it has been sought to justify it, the omission of these rights – which are not even referred to in a separate chapter of the draft – is due to their inclusion in special chapters of the OAS Charter, once the amendments contained in the Protocol of Buenos Aires have been adopted, the text should at least contain an explicit reference to the norms adopted in that Protocol, which mentions economic, social and cultural rights</w:t>
      </w:r>
      <w:r w:rsidR="00E96420" w:rsidRPr="00610904">
        <w:rPr>
          <w:sz w:val="18"/>
          <w:szCs w:val="18"/>
          <w:lang w:val="en-US"/>
        </w:rPr>
        <w:t>.</w:t>
      </w:r>
    </w:p>
    <w:p w:rsidR="003E12DE" w:rsidRPr="00610904" w:rsidRDefault="003E12DE" w:rsidP="00610904">
      <w:pPr>
        <w:pStyle w:val="Estilo4"/>
        <w:numPr>
          <w:ilvl w:val="0"/>
          <w:numId w:val="0"/>
        </w:numPr>
        <w:ind w:left="720"/>
        <w:rPr>
          <w:sz w:val="18"/>
          <w:szCs w:val="18"/>
          <w:lang w:val="en-US"/>
        </w:rPr>
      </w:pPr>
      <w:r w:rsidRPr="00610904">
        <w:rPr>
          <w:sz w:val="18"/>
          <w:szCs w:val="18"/>
          <w:lang w:val="en-US"/>
        </w:rPr>
        <w:t xml:space="preserve">15. </w:t>
      </w:r>
      <w:r w:rsidR="00E96420" w:rsidRPr="00610904">
        <w:rPr>
          <w:sz w:val="18"/>
          <w:szCs w:val="18"/>
          <w:lang w:val="en-US"/>
        </w:rPr>
        <w:t>However, b</w:t>
      </w:r>
      <w:r w:rsidR="006F7D38" w:rsidRPr="00610904">
        <w:rPr>
          <w:sz w:val="18"/>
          <w:szCs w:val="18"/>
          <w:lang w:val="en-US"/>
        </w:rPr>
        <w:t xml:space="preserve">ased on </w:t>
      </w:r>
      <w:r w:rsidR="00E96420" w:rsidRPr="00610904">
        <w:rPr>
          <w:sz w:val="18"/>
          <w:szCs w:val="18"/>
          <w:lang w:val="en-US"/>
        </w:rPr>
        <w:t>correct</w:t>
      </w:r>
      <w:r w:rsidR="006F7D38" w:rsidRPr="00610904">
        <w:rPr>
          <w:sz w:val="18"/>
          <w:szCs w:val="18"/>
          <w:lang w:val="en-US"/>
        </w:rPr>
        <w:t xml:space="preserve"> legal standards, these rights should be included approp</w:t>
      </w:r>
      <w:r w:rsidR="00E96420" w:rsidRPr="00610904">
        <w:rPr>
          <w:sz w:val="18"/>
          <w:szCs w:val="18"/>
          <w:lang w:val="en-US"/>
        </w:rPr>
        <w:t>riately in the draft Convention</w:t>
      </w:r>
      <w:r w:rsidR="006F7D38" w:rsidRPr="00610904">
        <w:rPr>
          <w:sz w:val="18"/>
          <w:szCs w:val="18"/>
          <w:lang w:val="en-US"/>
        </w:rPr>
        <w:t xml:space="preserve"> so that their application can be monitored. Naturally, the list should be consistent with the norms </w:t>
      </w:r>
      <w:r w:rsidR="00882CCC" w:rsidRPr="00610904">
        <w:rPr>
          <w:sz w:val="18"/>
          <w:szCs w:val="18"/>
          <w:lang w:val="en-US"/>
        </w:rPr>
        <w:t>of the Protocol</w:t>
      </w:r>
      <w:r w:rsidR="00852A2E" w:rsidRPr="00610904">
        <w:rPr>
          <w:sz w:val="18"/>
          <w:szCs w:val="18"/>
          <w:lang w:val="en-US"/>
        </w:rPr>
        <w:t xml:space="preserve"> of</w:t>
      </w:r>
      <w:r w:rsidRPr="00610904">
        <w:rPr>
          <w:sz w:val="18"/>
          <w:szCs w:val="18"/>
          <w:lang w:val="en-US"/>
        </w:rPr>
        <w:t xml:space="preserve"> Buenos Aires. </w:t>
      </w:r>
      <w:r w:rsidR="006F7D38" w:rsidRPr="00610904">
        <w:rPr>
          <w:sz w:val="18"/>
          <w:szCs w:val="18"/>
          <w:lang w:val="en-US"/>
        </w:rPr>
        <w:t xml:space="preserve">For example, in the document we are examining, the wording of the economic provisions of that Protocol, which are the only ones that are found in the draft Convention </w:t>
      </w:r>
      <w:r w:rsidRPr="00610904">
        <w:rPr>
          <w:sz w:val="18"/>
          <w:szCs w:val="18"/>
          <w:lang w:val="en-US"/>
        </w:rPr>
        <w:t xml:space="preserve">(art. 5, </w:t>
      </w:r>
      <w:r w:rsidR="006F7D38" w:rsidRPr="00610904">
        <w:rPr>
          <w:sz w:val="18"/>
          <w:szCs w:val="18"/>
          <w:lang w:val="en-US"/>
        </w:rPr>
        <w:t>paragraph</w:t>
      </w:r>
      <w:r w:rsidRPr="00610904">
        <w:rPr>
          <w:sz w:val="18"/>
          <w:szCs w:val="18"/>
          <w:lang w:val="en-US"/>
        </w:rPr>
        <w:t xml:space="preserve"> 2), </w:t>
      </w:r>
      <w:r w:rsidR="006F7D38" w:rsidRPr="00610904">
        <w:rPr>
          <w:sz w:val="18"/>
          <w:szCs w:val="18"/>
          <w:lang w:val="en-US"/>
        </w:rPr>
        <w:t>has no relationship to a draft human rights convention. A simple reading of t</w:t>
      </w:r>
      <w:r w:rsidR="00E96420" w:rsidRPr="00610904">
        <w:rPr>
          <w:sz w:val="18"/>
          <w:szCs w:val="18"/>
          <w:lang w:val="en-US"/>
        </w:rPr>
        <w:t>his paragraph confirms this. I</w:t>
      </w:r>
      <w:r w:rsidR="006F7D38" w:rsidRPr="00610904">
        <w:rPr>
          <w:sz w:val="18"/>
          <w:szCs w:val="18"/>
          <w:lang w:val="en-US"/>
        </w:rPr>
        <w:t xml:space="preserve">f the </w:t>
      </w:r>
      <w:r w:rsidR="00E96420" w:rsidRPr="00610904">
        <w:rPr>
          <w:sz w:val="18"/>
          <w:szCs w:val="18"/>
          <w:lang w:val="en-US"/>
        </w:rPr>
        <w:t>concept</w:t>
      </w:r>
      <w:r w:rsidR="006F7D38" w:rsidRPr="00610904">
        <w:rPr>
          <w:sz w:val="18"/>
          <w:szCs w:val="18"/>
          <w:lang w:val="en-US"/>
        </w:rPr>
        <w:t xml:space="preserve"> of drafting a single convention is retained, the technique follo</w:t>
      </w:r>
      <w:r w:rsidR="00E96420" w:rsidRPr="00610904">
        <w:rPr>
          <w:sz w:val="18"/>
          <w:szCs w:val="18"/>
          <w:lang w:val="en-US"/>
        </w:rPr>
        <w:t xml:space="preserve">wed by the United Nations and </w:t>
      </w:r>
      <w:r w:rsidR="006F7D38" w:rsidRPr="00610904">
        <w:rPr>
          <w:sz w:val="18"/>
          <w:szCs w:val="18"/>
          <w:lang w:val="en-US"/>
        </w:rPr>
        <w:t>the Council of Europe</w:t>
      </w:r>
      <w:r w:rsidR="00E96420" w:rsidRPr="00610904">
        <w:rPr>
          <w:sz w:val="18"/>
          <w:szCs w:val="18"/>
          <w:lang w:val="en-US"/>
        </w:rPr>
        <w:t xml:space="preserve"> would be recommendable, which is</w:t>
      </w:r>
      <w:r w:rsidR="006F7D38" w:rsidRPr="00610904">
        <w:rPr>
          <w:sz w:val="18"/>
          <w:szCs w:val="18"/>
          <w:lang w:val="en-US"/>
        </w:rPr>
        <w:t xml:space="preserve"> listing </w:t>
      </w:r>
      <w:r w:rsidR="00357398" w:rsidRPr="00610904">
        <w:rPr>
          <w:sz w:val="18"/>
          <w:szCs w:val="18"/>
          <w:lang w:val="en-US"/>
        </w:rPr>
        <w:t>the economic, social and cultural rights</w:t>
      </w:r>
      <w:r w:rsidRPr="00610904">
        <w:rPr>
          <w:sz w:val="18"/>
          <w:szCs w:val="18"/>
          <w:lang w:val="en-US"/>
        </w:rPr>
        <w:t xml:space="preserve">, </w:t>
      </w:r>
      <w:r w:rsidR="006F7D38" w:rsidRPr="00610904">
        <w:rPr>
          <w:sz w:val="18"/>
          <w:szCs w:val="18"/>
          <w:lang w:val="en-US"/>
        </w:rPr>
        <w:t>and also establishing in detail the means to promote and control them.</w:t>
      </w:r>
    </w:p>
    <w:p w:rsidR="009A14D1" w:rsidRPr="00610904" w:rsidRDefault="003E12DE" w:rsidP="00610904">
      <w:pPr>
        <w:pStyle w:val="Estilo4"/>
        <w:numPr>
          <w:ilvl w:val="0"/>
          <w:numId w:val="0"/>
        </w:numPr>
        <w:ind w:left="720"/>
        <w:rPr>
          <w:sz w:val="18"/>
          <w:szCs w:val="18"/>
          <w:lang w:val="en-US"/>
        </w:rPr>
      </w:pPr>
      <w:r w:rsidRPr="00610904">
        <w:rPr>
          <w:sz w:val="18"/>
          <w:szCs w:val="18"/>
          <w:lang w:val="en-US"/>
        </w:rPr>
        <w:t xml:space="preserve">16. </w:t>
      </w:r>
      <w:r w:rsidR="006F7D38" w:rsidRPr="00610904">
        <w:rPr>
          <w:sz w:val="18"/>
          <w:szCs w:val="18"/>
          <w:lang w:val="en-US"/>
        </w:rPr>
        <w:t xml:space="preserve">In this regard, </w:t>
      </w:r>
      <w:r w:rsidR="009A14D1" w:rsidRPr="00610904">
        <w:rPr>
          <w:sz w:val="18"/>
          <w:szCs w:val="18"/>
          <w:lang w:val="en-US"/>
        </w:rPr>
        <w:t>it should be considered whether the Commission on Human Rights, as it has been conceived – that is, as a legal and quasi-judicial organ – is the appropriate organ to receive periodic reports on these rights. If the Or</w:t>
      </w:r>
      <w:r w:rsidR="00E96420" w:rsidRPr="00610904">
        <w:rPr>
          <w:sz w:val="18"/>
          <w:szCs w:val="18"/>
          <w:lang w:val="en-US"/>
        </w:rPr>
        <w:t>ganization of American States is</w:t>
      </w:r>
      <w:r w:rsidR="009A14D1" w:rsidRPr="00610904">
        <w:rPr>
          <w:sz w:val="18"/>
          <w:szCs w:val="18"/>
          <w:lang w:val="en-US"/>
        </w:rPr>
        <w:t xml:space="preserve"> going to have an Inter-American Economic and Social Council and an Inter-American Cultural Council, both with Permanent Executive Commi</w:t>
      </w:r>
      <w:r w:rsidR="00E96420" w:rsidRPr="00610904">
        <w:rPr>
          <w:sz w:val="18"/>
          <w:szCs w:val="18"/>
          <w:lang w:val="en-US"/>
        </w:rPr>
        <w:t>ttee</w:t>
      </w:r>
      <w:r w:rsidR="009A14D1" w:rsidRPr="00610904">
        <w:rPr>
          <w:sz w:val="18"/>
          <w:szCs w:val="18"/>
          <w:lang w:val="en-US"/>
        </w:rPr>
        <w:t>s, perhaps we should analyze whether it should not correspond rather to these OAS organs to examine the periodic reports referred to in Article 41. In this way, the Commission on Human Rights would only have competence to consider petitions and complaints concerning civil and political rights, in accordance with its origin, composition, and rules of procedure.</w:t>
      </w:r>
    </w:p>
    <w:p w:rsidR="003E12DE" w:rsidRPr="00610904" w:rsidRDefault="003E12DE" w:rsidP="00610904">
      <w:pPr>
        <w:pStyle w:val="Estilo4"/>
        <w:numPr>
          <w:ilvl w:val="0"/>
          <w:numId w:val="0"/>
        </w:numPr>
        <w:ind w:left="720"/>
        <w:rPr>
          <w:i/>
          <w:sz w:val="18"/>
          <w:szCs w:val="18"/>
          <w:lang w:val="en-US"/>
        </w:rPr>
      </w:pPr>
      <w:r w:rsidRPr="00610904">
        <w:rPr>
          <w:sz w:val="18"/>
          <w:szCs w:val="18"/>
          <w:lang w:val="en-US"/>
        </w:rPr>
        <w:t xml:space="preserve">17. </w:t>
      </w:r>
      <w:r w:rsidR="009A14D1" w:rsidRPr="00610904">
        <w:rPr>
          <w:sz w:val="18"/>
          <w:szCs w:val="18"/>
          <w:lang w:val="en-US"/>
        </w:rPr>
        <w:t xml:space="preserve">In any case, as regards </w:t>
      </w:r>
      <w:r w:rsidR="00357398" w:rsidRPr="00610904">
        <w:rPr>
          <w:sz w:val="18"/>
          <w:szCs w:val="18"/>
          <w:lang w:val="en-US"/>
        </w:rPr>
        <w:t>the economic, social and cultural rights</w:t>
      </w:r>
      <w:r w:rsidR="009A14D1" w:rsidRPr="00610904">
        <w:rPr>
          <w:sz w:val="18"/>
          <w:szCs w:val="18"/>
          <w:lang w:val="en-US"/>
        </w:rPr>
        <w:t xml:space="preserve"> a provision should be included that establishes a certain legal enforceability (to the full extent permitted by the nature of these rights) of compliance with them and their application. To this end, </w:t>
      </w:r>
      <w:r w:rsidR="009A14D1" w:rsidRPr="00610904">
        <w:rPr>
          <w:i/>
          <w:sz w:val="18"/>
          <w:szCs w:val="18"/>
          <w:lang w:val="en-US"/>
        </w:rPr>
        <w:t xml:space="preserve">it would be necessary to consider a clause similar </w:t>
      </w:r>
      <w:r w:rsidR="006E502B" w:rsidRPr="00610904">
        <w:rPr>
          <w:i/>
          <w:sz w:val="18"/>
          <w:szCs w:val="18"/>
          <w:lang w:val="en-US"/>
        </w:rPr>
        <w:t>Article</w:t>
      </w:r>
      <w:r w:rsidRPr="00610904">
        <w:rPr>
          <w:i/>
          <w:sz w:val="18"/>
          <w:szCs w:val="18"/>
          <w:lang w:val="en-US"/>
        </w:rPr>
        <w:t xml:space="preserve"> 2, </w:t>
      </w:r>
      <w:r w:rsidR="006F7D38" w:rsidRPr="00610904">
        <w:rPr>
          <w:i/>
          <w:sz w:val="18"/>
          <w:szCs w:val="18"/>
          <w:lang w:val="en-US"/>
        </w:rPr>
        <w:t>paragraph</w:t>
      </w:r>
      <w:r w:rsidRPr="00610904">
        <w:rPr>
          <w:i/>
          <w:sz w:val="18"/>
          <w:szCs w:val="18"/>
          <w:lang w:val="en-US"/>
        </w:rPr>
        <w:t xml:space="preserve"> 1, </w:t>
      </w:r>
      <w:r w:rsidR="009A14D1" w:rsidRPr="00610904">
        <w:rPr>
          <w:i/>
          <w:sz w:val="18"/>
          <w:szCs w:val="18"/>
          <w:lang w:val="en-US"/>
        </w:rPr>
        <w:t>of the United Nations Covenant on this matter. That paragraph is as follows</w:t>
      </w:r>
      <w:r w:rsidRPr="00610904">
        <w:rPr>
          <w:i/>
          <w:sz w:val="18"/>
          <w:szCs w:val="18"/>
          <w:lang w:val="en-US"/>
        </w:rPr>
        <w:t xml:space="preserve">: </w:t>
      </w:r>
    </w:p>
    <w:p w:rsidR="009A14D1" w:rsidRPr="00610904" w:rsidRDefault="009A14D1" w:rsidP="00610904">
      <w:pPr>
        <w:pStyle w:val="Estilo4"/>
        <w:numPr>
          <w:ilvl w:val="0"/>
          <w:numId w:val="0"/>
        </w:numPr>
        <w:spacing w:after="240"/>
        <w:ind w:left="1440"/>
        <w:rPr>
          <w:i/>
          <w:sz w:val="18"/>
          <w:szCs w:val="18"/>
          <w:lang w:val="en-US"/>
        </w:rPr>
      </w:pPr>
      <w:r w:rsidRPr="00610904">
        <w:rPr>
          <w:i/>
          <w:sz w:val="18"/>
          <w:szCs w:val="18"/>
          <w:lang w:val="en-US"/>
        </w:rPr>
        <w:t xml:space="preserve">"1. </w:t>
      </w:r>
      <w:r w:rsidRPr="00610904">
        <w:rPr>
          <w:rFonts w:cs="Arial"/>
          <w:i/>
          <w:sz w:val="18"/>
          <w:szCs w:val="18"/>
          <w:lang w:val="en-US"/>
        </w:rPr>
        <w:t xml:space="preserve">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p>
    <w:p w:rsidR="003E12DE" w:rsidRPr="00610904" w:rsidRDefault="00795F5F" w:rsidP="00610904">
      <w:pPr>
        <w:pStyle w:val="Estilo4"/>
        <w:numPr>
          <w:ilvl w:val="0"/>
          <w:numId w:val="0"/>
        </w:numPr>
        <w:ind w:left="360"/>
        <w:rPr>
          <w:lang w:val="en-US"/>
        </w:rPr>
      </w:pPr>
      <w:r w:rsidRPr="00610904">
        <w:rPr>
          <w:i/>
          <w:lang w:val="en-US"/>
        </w:rPr>
        <w:t>Observations</w:t>
      </w:r>
      <w:r w:rsidR="00E50868" w:rsidRPr="00610904">
        <w:rPr>
          <w:i/>
          <w:lang w:val="en-US"/>
        </w:rPr>
        <w:t xml:space="preserve"> of</w:t>
      </w:r>
      <w:r w:rsidR="003E12DE" w:rsidRPr="00610904">
        <w:rPr>
          <w:i/>
          <w:lang w:val="en-US"/>
        </w:rPr>
        <w:t xml:space="preserve"> Argentina</w:t>
      </w:r>
      <w:r w:rsidR="003E12DE" w:rsidRPr="00610904">
        <w:rPr>
          <w:rStyle w:val="FootnoteReference"/>
          <w:lang w:val="en-US"/>
        </w:rPr>
        <w:footnoteReference w:id="469"/>
      </w:r>
      <w:r w:rsidR="003E12DE" w:rsidRPr="00610904">
        <w:rPr>
          <w:i/>
          <w:lang w:val="en-US"/>
        </w:rPr>
        <w:t xml:space="preserve"> </w:t>
      </w:r>
    </w:p>
    <w:p w:rsidR="003E12DE" w:rsidRPr="00610904" w:rsidRDefault="00A8072E" w:rsidP="00610904">
      <w:pPr>
        <w:pStyle w:val="Estilo4"/>
        <w:numPr>
          <w:ilvl w:val="0"/>
          <w:numId w:val="0"/>
        </w:numPr>
        <w:spacing w:after="240"/>
        <w:ind w:left="720"/>
        <w:rPr>
          <w:sz w:val="18"/>
          <w:szCs w:val="18"/>
          <w:lang w:val="en-US"/>
        </w:rPr>
      </w:pPr>
      <w:r w:rsidRPr="00610904">
        <w:rPr>
          <w:sz w:val="18"/>
          <w:szCs w:val="18"/>
          <w:lang w:val="en-US"/>
        </w:rPr>
        <w:t>Article</w:t>
      </w:r>
      <w:r w:rsidR="009A14D1" w:rsidRPr="00610904">
        <w:rPr>
          <w:sz w:val="18"/>
          <w:szCs w:val="18"/>
          <w:lang w:val="en-US"/>
        </w:rPr>
        <w:t>s</w:t>
      </w:r>
      <w:r w:rsidR="003E12DE" w:rsidRPr="00610904">
        <w:rPr>
          <w:sz w:val="18"/>
          <w:szCs w:val="18"/>
          <w:lang w:val="en-US"/>
        </w:rPr>
        <w:t xml:space="preserve"> 25, </w:t>
      </w:r>
      <w:r w:rsidR="009A14D1" w:rsidRPr="00610904">
        <w:rPr>
          <w:sz w:val="18"/>
          <w:szCs w:val="18"/>
          <w:lang w:val="en-US"/>
        </w:rPr>
        <w:t>second part,</w:t>
      </w:r>
      <w:r w:rsidR="009F3D78" w:rsidRPr="00610904">
        <w:rPr>
          <w:sz w:val="18"/>
          <w:szCs w:val="18"/>
          <w:lang w:val="en-US"/>
        </w:rPr>
        <w:t xml:space="preserve"> and </w:t>
      </w:r>
      <w:r w:rsidR="003E12DE" w:rsidRPr="00610904">
        <w:rPr>
          <w:sz w:val="18"/>
          <w:szCs w:val="18"/>
          <w:lang w:val="en-US"/>
        </w:rPr>
        <w:t xml:space="preserve">26: </w:t>
      </w:r>
      <w:r w:rsidR="009A14D1" w:rsidRPr="00610904">
        <w:rPr>
          <w:sz w:val="18"/>
          <w:szCs w:val="18"/>
          <w:lang w:val="en-US"/>
        </w:rPr>
        <w:t xml:space="preserve">It can be see that, although the second part </w:t>
      </w:r>
      <w:r w:rsidR="00A4094A" w:rsidRPr="00610904">
        <w:rPr>
          <w:sz w:val="18"/>
          <w:szCs w:val="18"/>
          <w:lang w:val="en-US"/>
        </w:rPr>
        <w:t>of a</w:t>
      </w:r>
      <w:r w:rsidR="006E502B" w:rsidRPr="00610904">
        <w:rPr>
          <w:sz w:val="18"/>
          <w:szCs w:val="18"/>
          <w:lang w:val="en-US"/>
        </w:rPr>
        <w:t>rticle</w:t>
      </w:r>
      <w:r w:rsidR="003E12DE" w:rsidRPr="00610904">
        <w:rPr>
          <w:sz w:val="18"/>
          <w:szCs w:val="18"/>
          <w:lang w:val="en-US"/>
        </w:rPr>
        <w:t xml:space="preserve"> 25 </w:t>
      </w:r>
      <w:r w:rsidR="009A14D1" w:rsidRPr="00610904">
        <w:rPr>
          <w:sz w:val="18"/>
          <w:szCs w:val="18"/>
          <w:lang w:val="en-US"/>
        </w:rPr>
        <w:t xml:space="preserve">is a literal transcription </w:t>
      </w:r>
      <w:r w:rsidR="006E502B" w:rsidRPr="00610904">
        <w:rPr>
          <w:sz w:val="18"/>
          <w:szCs w:val="18"/>
          <w:lang w:val="en-US"/>
        </w:rPr>
        <w:t>of Article</w:t>
      </w:r>
      <w:r w:rsidR="009A14D1" w:rsidRPr="00610904">
        <w:rPr>
          <w:sz w:val="18"/>
          <w:szCs w:val="18"/>
          <w:lang w:val="en-US"/>
        </w:rPr>
        <w:t xml:space="preserve"> 31</w:t>
      </w:r>
      <w:r w:rsidR="003E12DE" w:rsidRPr="00610904">
        <w:rPr>
          <w:sz w:val="18"/>
          <w:szCs w:val="18"/>
          <w:lang w:val="en-US"/>
        </w:rPr>
        <w:t xml:space="preserve"> </w:t>
      </w:r>
      <w:r w:rsidR="009A14D1" w:rsidRPr="00610904">
        <w:rPr>
          <w:sz w:val="18"/>
          <w:szCs w:val="18"/>
          <w:lang w:val="en-US"/>
        </w:rPr>
        <w:t>of the OAS Charter</w:t>
      </w:r>
      <w:r w:rsidR="003E12DE" w:rsidRPr="00610904">
        <w:rPr>
          <w:sz w:val="18"/>
          <w:szCs w:val="18"/>
          <w:lang w:val="en-US"/>
        </w:rPr>
        <w:t xml:space="preserve">, </w:t>
      </w:r>
      <w:r w:rsidR="009A14D1" w:rsidRPr="00610904">
        <w:rPr>
          <w:sz w:val="18"/>
          <w:szCs w:val="18"/>
          <w:lang w:val="en-US"/>
        </w:rPr>
        <w:t>amended by the</w:t>
      </w:r>
      <w:r w:rsidR="003E12DE" w:rsidRPr="00610904">
        <w:rPr>
          <w:sz w:val="18"/>
          <w:szCs w:val="18"/>
          <w:lang w:val="en-US"/>
        </w:rPr>
        <w:t xml:space="preserve"> </w:t>
      </w:r>
      <w:r w:rsidR="00852A2E" w:rsidRPr="00610904">
        <w:rPr>
          <w:sz w:val="18"/>
          <w:szCs w:val="18"/>
          <w:lang w:val="en-US"/>
        </w:rPr>
        <w:t>Protocol of</w:t>
      </w:r>
      <w:r w:rsidR="003E12DE" w:rsidRPr="00610904">
        <w:rPr>
          <w:sz w:val="18"/>
          <w:szCs w:val="18"/>
          <w:lang w:val="en-US"/>
        </w:rPr>
        <w:t xml:space="preserve"> Buenos Aires, </w:t>
      </w:r>
      <w:r w:rsidR="00A4094A" w:rsidRPr="00610904">
        <w:rPr>
          <w:sz w:val="18"/>
          <w:szCs w:val="18"/>
          <w:lang w:val="en-US"/>
        </w:rPr>
        <w:t>a</w:t>
      </w:r>
      <w:r w:rsidR="009F3D78" w:rsidRPr="00610904">
        <w:rPr>
          <w:sz w:val="18"/>
          <w:szCs w:val="18"/>
          <w:lang w:val="en-US"/>
        </w:rPr>
        <w:t>rticle</w:t>
      </w:r>
      <w:r w:rsidR="003E12DE" w:rsidRPr="00610904">
        <w:rPr>
          <w:sz w:val="18"/>
          <w:szCs w:val="18"/>
          <w:lang w:val="en-US"/>
        </w:rPr>
        <w:t xml:space="preserve"> 26 oblig</w:t>
      </w:r>
      <w:r w:rsidR="009A14D1" w:rsidRPr="00610904">
        <w:rPr>
          <w:sz w:val="18"/>
          <w:szCs w:val="18"/>
          <w:lang w:val="en-US"/>
        </w:rPr>
        <w:t xml:space="preserve">es the States to report periodically to </w:t>
      </w:r>
      <w:r w:rsidR="002F5BBA" w:rsidRPr="00610904">
        <w:rPr>
          <w:sz w:val="18"/>
          <w:szCs w:val="18"/>
          <w:lang w:val="en-US"/>
        </w:rPr>
        <w:t xml:space="preserve">the </w:t>
      </w:r>
      <w:r w:rsidR="009A14D1" w:rsidRPr="00610904">
        <w:rPr>
          <w:sz w:val="18"/>
          <w:szCs w:val="18"/>
          <w:lang w:val="en-US"/>
        </w:rPr>
        <w:t>Commission on Human Rights</w:t>
      </w:r>
      <w:r w:rsidR="003E12DE" w:rsidRPr="00610904">
        <w:rPr>
          <w:sz w:val="18"/>
          <w:szCs w:val="18"/>
          <w:lang w:val="en-US"/>
        </w:rPr>
        <w:t xml:space="preserve"> </w:t>
      </w:r>
      <w:r w:rsidR="009A14D1" w:rsidRPr="00610904">
        <w:rPr>
          <w:sz w:val="18"/>
          <w:szCs w:val="18"/>
          <w:lang w:val="en-US"/>
        </w:rPr>
        <w:t xml:space="preserve">on the measures they have adopted to achieve the </w:t>
      </w:r>
      <w:r w:rsidR="00A4094A" w:rsidRPr="00610904">
        <w:rPr>
          <w:sz w:val="18"/>
          <w:szCs w:val="18"/>
          <w:lang w:val="en-US"/>
        </w:rPr>
        <w:t>goals</w:t>
      </w:r>
      <w:r w:rsidR="009A14D1" w:rsidRPr="00610904">
        <w:rPr>
          <w:sz w:val="18"/>
          <w:szCs w:val="18"/>
          <w:lang w:val="en-US"/>
        </w:rPr>
        <w:t xml:space="preserve"> mentioned in</w:t>
      </w:r>
      <w:r w:rsidR="003E12DE" w:rsidRPr="00610904">
        <w:rPr>
          <w:sz w:val="18"/>
          <w:szCs w:val="18"/>
          <w:lang w:val="en-US"/>
        </w:rPr>
        <w:t xml:space="preserve"> </w:t>
      </w:r>
      <w:r w:rsidR="00A4094A" w:rsidRPr="00610904">
        <w:rPr>
          <w:sz w:val="18"/>
          <w:szCs w:val="18"/>
          <w:lang w:val="en-US"/>
        </w:rPr>
        <w:t>a</w:t>
      </w:r>
      <w:r w:rsidR="009F3D78" w:rsidRPr="00610904">
        <w:rPr>
          <w:sz w:val="18"/>
          <w:szCs w:val="18"/>
          <w:lang w:val="en-US"/>
        </w:rPr>
        <w:t>rticle</w:t>
      </w:r>
      <w:r w:rsidR="003E12DE" w:rsidRPr="00610904">
        <w:rPr>
          <w:sz w:val="18"/>
          <w:szCs w:val="18"/>
          <w:lang w:val="en-US"/>
        </w:rPr>
        <w:t xml:space="preserve"> 25. </w:t>
      </w:r>
      <w:r w:rsidR="009A14D1" w:rsidRPr="00610904">
        <w:rPr>
          <w:sz w:val="18"/>
          <w:szCs w:val="18"/>
          <w:lang w:val="en-US"/>
        </w:rPr>
        <w:t>In addition,</w:t>
      </w:r>
      <w:r w:rsidR="003E12DE" w:rsidRPr="00610904">
        <w:rPr>
          <w:sz w:val="18"/>
          <w:szCs w:val="18"/>
          <w:lang w:val="en-US"/>
        </w:rPr>
        <w:t xml:space="preserve"> </w:t>
      </w:r>
      <w:r w:rsidR="009F3D78" w:rsidRPr="00610904">
        <w:rPr>
          <w:sz w:val="18"/>
          <w:szCs w:val="18"/>
          <w:lang w:val="en-US"/>
        </w:rPr>
        <w:t>Article</w:t>
      </w:r>
      <w:r w:rsidR="003E12DE" w:rsidRPr="00610904">
        <w:rPr>
          <w:sz w:val="18"/>
          <w:szCs w:val="18"/>
          <w:lang w:val="en-US"/>
        </w:rPr>
        <w:t xml:space="preserve"> 26 </w:t>
      </w:r>
      <w:r w:rsidR="009A14D1" w:rsidRPr="00610904">
        <w:rPr>
          <w:sz w:val="18"/>
          <w:szCs w:val="18"/>
          <w:lang w:val="en-US"/>
        </w:rPr>
        <w:t>recognizes to</w:t>
      </w:r>
      <w:r w:rsidR="003E12DE" w:rsidRPr="00610904">
        <w:rPr>
          <w:sz w:val="18"/>
          <w:szCs w:val="18"/>
          <w:lang w:val="en-US"/>
        </w:rPr>
        <w:t xml:space="preserve"> </w:t>
      </w:r>
      <w:r w:rsidR="002F5BBA" w:rsidRPr="00610904">
        <w:rPr>
          <w:sz w:val="18"/>
          <w:szCs w:val="18"/>
          <w:lang w:val="en-US"/>
        </w:rPr>
        <w:t>the Commission</w:t>
      </w:r>
      <w:r w:rsidR="003E12DE" w:rsidRPr="00610904">
        <w:rPr>
          <w:sz w:val="18"/>
          <w:szCs w:val="18"/>
          <w:lang w:val="en-US"/>
        </w:rPr>
        <w:t xml:space="preserve"> </w:t>
      </w:r>
      <w:r w:rsidR="009A14D1" w:rsidRPr="00610904">
        <w:rPr>
          <w:sz w:val="18"/>
          <w:szCs w:val="18"/>
          <w:lang w:val="en-US"/>
        </w:rPr>
        <w:t xml:space="preserve">the right to make </w:t>
      </w:r>
      <w:r w:rsidR="009A14D1" w:rsidRPr="00610904">
        <w:rPr>
          <w:sz w:val="18"/>
          <w:szCs w:val="18"/>
          <w:lang w:val="en-US"/>
        </w:rPr>
        <w:lastRenderedPageBreak/>
        <w:t xml:space="preserve">recommendations to the States in this regard, which, evidently, exceeds its competence and possibilities. Furthermore, the States are not </w:t>
      </w:r>
      <w:r w:rsidR="00E96420" w:rsidRPr="00610904">
        <w:rPr>
          <w:sz w:val="18"/>
          <w:szCs w:val="18"/>
          <w:lang w:val="en-US"/>
        </w:rPr>
        <w:t>granted</w:t>
      </w:r>
      <w:r w:rsidR="009A14D1" w:rsidRPr="00610904">
        <w:rPr>
          <w:sz w:val="18"/>
          <w:szCs w:val="18"/>
          <w:lang w:val="en-US"/>
        </w:rPr>
        <w:t xml:space="preserve"> the </w:t>
      </w:r>
      <w:r w:rsidR="00A4094A" w:rsidRPr="00610904">
        <w:rPr>
          <w:sz w:val="18"/>
          <w:szCs w:val="18"/>
          <w:lang w:val="en-US"/>
        </w:rPr>
        <w:t>possibility</w:t>
      </w:r>
      <w:r w:rsidR="009A14D1" w:rsidRPr="00610904">
        <w:rPr>
          <w:sz w:val="18"/>
          <w:szCs w:val="18"/>
          <w:lang w:val="en-US"/>
        </w:rPr>
        <w:t xml:space="preserve"> of making observations on </w:t>
      </w:r>
      <w:r w:rsidR="00E96420" w:rsidRPr="00610904">
        <w:rPr>
          <w:sz w:val="18"/>
          <w:szCs w:val="18"/>
          <w:lang w:val="en-US"/>
        </w:rPr>
        <w:t>these recommendations by</w:t>
      </w:r>
      <w:r w:rsidR="009A14D1" w:rsidRPr="00610904">
        <w:rPr>
          <w:sz w:val="18"/>
          <w:szCs w:val="18"/>
          <w:lang w:val="en-US"/>
        </w:rPr>
        <w:t xml:space="preserve"> the Commission. </w:t>
      </w:r>
      <w:r w:rsidR="00A4094A" w:rsidRPr="00610904">
        <w:rPr>
          <w:sz w:val="18"/>
          <w:szCs w:val="18"/>
          <w:lang w:val="en-US"/>
        </w:rPr>
        <w:t>Consequently, I suggest that a</w:t>
      </w:r>
      <w:r w:rsidR="009A14D1" w:rsidRPr="00610904">
        <w:rPr>
          <w:sz w:val="18"/>
          <w:szCs w:val="18"/>
          <w:lang w:val="en-US"/>
        </w:rPr>
        <w:t>rticle 26 be reconsidered and revised</w:t>
      </w:r>
      <w:r w:rsidR="003E12DE" w:rsidRPr="00610904">
        <w:rPr>
          <w:sz w:val="18"/>
          <w:szCs w:val="18"/>
          <w:lang w:val="en-US"/>
        </w:rPr>
        <w:t>.</w:t>
      </w:r>
    </w:p>
    <w:p w:rsidR="003E12DE" w:rsidRPr="00610904" w:rsidRDefault="00795F5F" w:rsidP="00610904">
      <w:pPr>
        <w:pStyle w:val="Estilo4"/>
        <w:numPr>
          <w:ilvl w:val="0"/>
          <w:numId w:val="0"/>
        </w:numPr>
        <w:ind w:firstLine="357"/>
        <w:rPr>
          <w:sz w:val="18"/>
          <w:szCs w:val="18"/>
          <w:lang w:val="en-US"/>
        </w:rPr>
      </w:pPr>
      <w:r w:rsidRPr="00610904">
        <w:rPr>
          <w:i/>
          <w:lang w:val="en-US"/>
        </w:rPr>
        <w:t>Observations</w:t>
      </w:r>
      <w:r w:rsidR="003E12DE" w:rsidRPr="00610904">
        <w:rPr>
          <w:i/>
          <w:lang w:val="en-US"/>
        </w:rPr>
        <w:t xml:space="preserve"> </w:t>
      </w:r>
      <w:r w:rsidR="009A14D1" w:rsidRPr="00610904">
        <w:rPr>
          <w:i/>
          <w:lang w:val="en-US"/>
        </w:rPr>
        <w:t xml:space="preserve">of </w:t>
      </w:r>
      <w:r w:rsidR="00E50868" w:rsidRPr="00610904">
        <w:rPr>
          <w:i/>
          <w:lang w:val="en-US"/>
        </w:rPr>
        <w:t>Dominican Republic</w:t>
      </w:r>
      <w:r w:rsidR="003E12DE" w:rsidRPr="00610904">
        <w:rPr>
          <w:rStyle w:val="FootnoteReference"/>
          <w:lang w:val="en-US"/>
        </w:rPr>
        <w:footnoteReference w:id="470"/>
      </w:r>
      <w:r w:rsidR="003E12DE" w:rsidRPr="00610904">
        <w:rPr>
          <w:lang w:val="en-US"/>
        </w:rPr>
        <w:t xml:space="preserve"> </w:t>
      </w:r>
      <w:r w:rsidR="00A8072E" w:rsidRPr="00610904">
        <w:rPr>
          <w:sz w:val="18"/>
          <w:szCs w:val="18"/>
          <w:lang w:val="en-US"/>
        </w:rPr>
        <w:t>Article</w:t>
      </w:r>
      <w:r w:rsidR="003E12DE" w:rsidRPr="00610904">
        <w:rPr>
          <w:sz w:val="18"/>
          <w:szCs w:val="18"/>
          <w:lang w:val="en-US"/>
        </w:rPr>
        <w:t xml:space="preserve"> 25 (</w:t>
      </w:r>
      <w:r w:rsidR="009A14D1" w:rsidRPr="00610904">
        <w:rPr>
          <w:sz w:val="18"/>
          <w:szCs w:val="18"/>
          <w:lang w:val="en-US"/>
        </w:rPr>
        <w:t>note the change in order</w:t>
      </w:r>
      <w:r w:rsidR="003E12DE" w:rsidRPr="00610904">
        <w:rPr>
          <w:sz w:val="18"/>
          <w:szCs w:val="18"/>
          <w:lang w:val="en-US"/>
        </w:rPr>
        <w:t xml:space="preserve">) </w:t>
      </w:r>
    </w:p>
    <w:p w:rsidR="003E12DE" w:rsidRPr="00610904" w:rsidRDefault="006F7D38" w:rsidP="00610904">
      <w:pPr>
        <w:pStyle w:val="Estilo4"/>
        <w:numPr>
          <w:ilvl w:val="0"/>
          <w:numId w:val="0"/>
        </w:numPr>
        <w:ind w:left="720"/>
        <w:rPr>
          <w:i/>
          <w:sz w:val="18"/>
          <w:szCs w:val="18"/>
          <w:lang w:val="en-US"/>
        </w:rPr>
      </w:pPr>
      <w:r w:rsidRPr="00610904">
        <w:rPr>
          <w:sz w:val="18"/>
          <w:szCs w:val="18"/>
          <w:lang w:val="en-US"/>
        </w:rPr>
        <w:t>Paragraph</w:t>
      </w:r>
      <w:r w:rsidR="003E12DE" w:rsidRPr="00610904">
        <w:rPr>
          <w:sz w:val="18"/>
          <w:szCs w:val="18"/>
          <w:lang w:val="en-US"/>
        </w:rPr>
        <w:t xml:space="preserve"> 1: </w:t>
      </w:r>
      <w:r w:rsidR="00A4094A" w:rsidRPr="00610904">
        <w:rPr>
          <w:sz w:val="18"/>
          <w:szCs w:val="18"/>
          <w:lang w:val="en-US"/>
        </w:rPr>
        <w:t>We believe it is preferable to eliminate this</w:t>
      </w:r>
      <w:r w:rsidR="003E12DE" w:rsidRPr="00610904">
        <w:rPr>
          <w:i/>
          <w:sz w:val="18"/>
          <w:szCs w:val="18"/>
          <w:lang w:val="en-US"/>
        </w:rPr>
        <w:t xml:space="preserve"> </w:t>
      </w:r>
      <w:r w:rsidRPr="00610904">
        <w:rPr>
          <w:i/>
          <w:sz w:val="18"/>
          <w:szCs w:val="18"/>
          <w:lang w:val="en-US"/>
        </w:rPr>
        <w:t>paragraph</w:t>
      </w:r>
      <w:r w:rsidR="00A4094A" w:rsidRPr="00610904">
        <w:rPr>
          <w:i/>
          <w:sz w:val="18"/>
          <w:szCs w:val="18"/>
          <w:lang w:val="en-US"/>
        </w:rPr>
        <w:t xml:space="preserve"> because </w:t>
      </w:r>
      <w:r w:rsidR="00A8072E" w:rsidRPr="00610904">
        <w:rPr>
          <w:i/>
          <w:sz w:val="18"/>
          <w:szCs w:val="18"/>
          <w:lang w:val="en-US"/>
        </w:rPr>
        <w:t>Article</w:t>
      </w:r>
      <w:r w:rsidR="003E12DE" w:rsidRPr="00610904">
        <w:rPr>
          <w:i/>
          <w:sz w:val="18"/>
          <w:szCs w:val="18"/>
          <w:lang w:val="en-US"/>
        </w:rPr>
        <w:t xml:space="preserve"> 70</w:t>
      </w:r>
      <w:r w:rsidR="00A4094A" w:rsidRPr="00610904">
        <w:rPr>
          <w:i/>
          <w:sz w:val="18"/>
          <w:szCs w:val="18"/>
          <w:lang w:val="en-US"/>
        </w:rPr>
        <w:t xml:space="preserve"> already establishes a procedure for gradually expanding the protection to include other rights that appear in </w:t>
      </w:r>
      <w:r w:rsidR="0013395A" w:rsidRPr="00610904">
        <w:rPr>
          <w:i/>
          <w:sz w:val="18"/>
          <w:szCs w:val="18"/>
          <w:lang w:val="en-US"/>
        </w:rPr>
        <w:t>the American Declaration of the Rights and Duties of Man</w:t>
      </w:r>
      <w:r w:rsidR="003E12DE" w:rsidRPr="00610904">
        <w:rPr>
          <w:i/>
          <w:sz w:val="18"/>
          <w:szCs w:val="18"/>
          <w:lang w:val="en-US"/>
        </w:rPr>
        <w:t xml:space="preserve">. </w:t>
      </w:r>
      <w:r w:rsidR="00A4094A" w:rsidRPr="00610904">
        <w:rPr>
          <w:i/>
          <w:sz w:val="18"/>
          <w:szCs w:val="18"/>
          <w:lang w:val="en-US"/>
        </w:rPr>
        <w:t xml:space="preserve">The obligations of </w:t>
      </w:r>
      <w:r w:rsidR="00357398" w:rsidRPr="00610904">
        <w:rPr>
          <w:i/>
          <w:sz w:val="18"/>
          <w:szCs w:val="18"/>
          <w:lang w:val="en-US"/>
        </w:rPr>
        <w:t>the States Parties</w:t>
      </w:r>
      <w:r w:rsidR="003E12DE" w:rsidRPr="00610904">
        <w:rPr>
          <w:i/>
          <w:sz w:val="18"/>
          <w:szCs w:val="18"/>
          <w:lang w:val="en-US"/>
        </w:rPr>
        <w:t xml:space="preserve"> </w:t>
      </w:r>
      <w:r w:rsidR="00A4094A" w:rsidRPr="00610904">
        <w:rPr>
          <w:i/>
          <w:sz w:val="18"/>
          <w:szCs w:val="18"/>
          <w:lang w:val="en-US"/>
        </w:rPr>
        <w:t xml:space="preserve">should be stipulated clearly and without trying imprecisely to incorporate other obligations by allusion. </w:t>
      </w:r>
    </w:p>
    <w:p w:rsidR="003E12DE" w:rsidRPr="00610904" w:rsidRDefault="006F7D38" w:rsidP="00610904">
      <w:pPr>
        <w:pStyle w:val="Estilo4"/>
        <w:numPr>
          <w:ilvl w:val="0"/>
          <w:numId w:val="0"/>
        </w:numPr>
        <w:ind w:left="720"/>
        <w:rPr>
          <w:lang w:val="en-US"/>
        </w:rPr>
      </w:pPr>
      <w:r w:rsidRPr="00610904">
        <w:rPr>
          <w:sz w:val="18"/>
          <w:szCs w:val="18"/>
          <w:lang w:val="en-US"/>
        </w:rPr>
        <w:t>Paragraph</w:t>
      </w:r>
      <w:r w:rsidR="00A4094A" w:rsidRPr="00610904">
        <w:rPr>
          <w:sz w:val="18"/>
          <w:szCs w:val="18"/>
          <w:lang w:val="en-US"/>
        </w:rPr>
        <w:t xml:space="preserve"> 2: Given that this </w:t>
      </w:r>
      <w:r w:rsidRPr="00610904">
        <w:rPr>
          <w:sz w:val="18"/>
          <w:szCs w:val="18"/>
          <w:lang w:val="en-US"/>
        </w:rPr>
        <w:t>paragraph</w:t>
      </w:r>
      <w:r w:rsidR="00A4094A" w:rsidRPr="00610904">
        <w:rPr>
          <w:sz w:val="18"/>
          <w:szCs w:val="18"/>
          <w:lang w:val="en-US"/>
        </w:rPr>
        <w:t xml:space="preserve"> reaffirms the economic and social goals agreed on when the amendments to the OAS Charter were signed in 1967, this a</w:t>
      </w:r>
      <w:r w:rsidR="00E96420" w:rsidRPr="00610904">
        <w:rPr>
          <w:sz w:val="18"/>
          <w:szCs w:val="18"/>
          <w:lang w:val="en-US"/>
        </w:rPr>
        <w:t>rticle should also reaffirm this</w:t>
      </w:r>
      <w:r w:rsidR="00A4094A" w:rsidRPr="00610904">
        <w:rPr>
          <w:sz w:val="18"/>
          <w:szCs w:val="18"/>
          <w:lang w:val="en-US"/>
        </w:rPr>
        <w:t>, and in the same words as in the amended Charter</w:t>
      </w:r>
      <w:r w:rsidR="003E12DE" w:rsidRPr="00610904">
        <w:rPr>
          <w:sz w:val="18"/>
          <w:szCs w:val="18"/>
          <w:lang w:val="en-US"/>
        </w:rPr>
        <w:t>.</w:t>
      </w:r>
      <w:r w:rsidR="003E12DE" w:rsidRPr="00610904">
        <w:rPr>
          <w:lang w:val="en-US"/>
        </w:rPr>
        <w:t xml:space="preserve"> </w:t>
      </w:r>
    </w:p>
    <w:p w:rsidR="003E12DE" w:rsidRPr="00610904" w:rsidRDefault="00A4094A" w:rsidP="00610904">
      <w:pPr>
        <w:pStyle w:val="Estilo4"/>
        <w:numPr>
          <w:ilvl w:val="0"/>
          <w:numId w:val="0"/>
        </w:numPr>
        <w:ind w:firstLine="357"/>
        <w:rPr>
          <w:sz w:val="18"/>
          <w:szCs w:val="18"/>
          <w:lang w:val="en-US"/>
        </w:rPr>
      </w:pPr>
      <w:r w:rsidRPr="00610904">
        <w:rPr>
          <w:sz w:val="18"/>
          <w:szCs w:val="18"/>
          <w:lang w:val="en-US"/>
        </w:rPr>
        <w:t xml:space="preserve">      The proposed title and the amended text would be:</w:t>
      </w:r>
    </w:p>
    <w:p w:rsidR="00A4094A" w:rsidRPr="00610904" w:rsidRDefault="00A8072E" w:rsidP="00610904">
      <w:pPr>
        <w:spacing w:after="240"/>
        <w:ind w:left="720" w:right="75"/>
        <w:rPr>
          <w:rFonts w:cs="Tahoma"/>
          <w:noProof w:val="0"/>
          <w:sz w:val="18"/>
          <w:szCs w:val="18"/>
          <w:lang w:val="en-US"/>
        </w:rPr>
      </w:pPr>
      <w:proofErr w:type="gramStart"/>
      <w:r w:rsidRPr="00610904">
        <w:rPr>
          <w:noProof w:val="0"/>
          <w:sz w:val="18"/>
          <w:szCs w:val="18"/>
          <w:lang w:val="en-US"/>
        </w:rPr>
        <w:t>Article</w:t>
      </w:r>
      <w:r w:rsidR="003E12DE" w:rsidRPr="00610904">
        <w:rPr>
          <w:noProof w:val="0"/>
          <w:sz w:val="18"/>
          <w:szCs w:val="18"/>
          <w:lang w:val="en-US"/>
        </w:rPr>
        <w:t xml:space="preserve"> 25</w:t>
      </w:r>
      <w:r w:rsidR="00A4094A" w:rsidRPr="00610904">
        <w:rPr>
          <w:i/>
          <w:noProof w:val="0"/>
          <w:sz w:val="18"/>
          <w:szCs w:val="18"/>
          <w:lang w:val="en-US"/>
        </w:rPr>
        <w:t>.</w:t>
      </w:r>
      <w:proofErr w:type="gramEnd"/>
      <w:r w:rsidR="00A4094A" w:rsidRPr="00610904">
        <w:rPr>
          <w:i/>
          <w:noProof w:val="0"/>
          <w:sz w:val="18"/>
          <w:szCs w:val="18"/>
          <w:lang w:val="en-US"/>
        </w:rPr>
        <w:t xml:space="preserve"> </w:t>
      </w:r>
      <w:proofErr w:type="gramStart"/>
      <w:r w:rsidR="00A4094A" w:rsidRPr="00610904">
        <w:rPr>
          <w:i/>
          <w:noProof w:val="0"/>
          <w:sz w:val="18"/>
          <w:szCs w:val="18"/>
          <w:lang w:val="en-US"/>
        </w:rPr>
        <w:t>Economic and Social Goals.</w:t>
      </w:r>
      <w:proofErr w:type="gramEnd"/>
      <w:r w:rsidR="00A4094A" w:rsidRPr="00610904">
        <w:rPr>
          <w:i/>
          <w:noProof w:val="0"/>
          <w:sz w:val="18"/>
          <w:szCs w:val="18"/>
          <w:lang w:val="en-US"/>
        </w:rPr>
        <w:t xml:space="preserve"> </w:t>
      </w:r>
      <w:r w:rsidR="00357398" w:rsidRPr="00610904">
        <w:rPr>
          <w:i/>
          <w:noProof w:val="0"/>
          <w:sz w:val="18"/>
          <w:szCs w:val="18"/>
          <w:lang w:val="en-US"/>
        </w:rPr>
        <w:t>The States Parties</w:t>
      </w:r>
      <w:r w:rsidR="003E12DE" w:rsidRPr="00610904">
        <w:rPr>
          <w:i/>
          <w:noProof w:val="0"/>
          <w:sz w:val="18"/>
          <w:szCs w:val="18"/>
          <w:lang w:val="en-US"/>
        </w:rPr>
        <w:t xml:space="preserve"> rea</w:t>
      </w:r>
      <w:r w:rsidR="00A4094A" w:rsidRPr="00610904">
        <w:rPr>
          <w:i/>
          <w:noProof w:val="0"/>
          <w:sz w:val="18"/>
          <w:szCs w:val="18"/>
          <w:lang w:val="en-US"/>
        </w:rPr>
        <w:t>ffirm the agreement established in the amendments to the OAS Charter signed in 1967 to devote their utmost efforts to accomplishing the following basic goals in order to accelerate their economic and social development, in accordance with their own methods and procedures and within the framework of the democratic principles and the institutions of the inter-American system</w:t>
      </w:r>
      <w:r w:rsidR="00A4094A" w:rsidRPr="00610904">
        <w:rPr>
          <w:noProof w:val="0"/>
          <w:sz w:val="18"/>
          <w:szCs w:val="18"/>
          <w:lang w:val="en-US"/>
        </w:rPr>
        <w:t xml:space="preserve">: (a) </w:t>
      </w:r>
      <w:r w:rsidR="00A4094A" w:rsidRPr="00610904">
        <w:rPr>
          <w:rFonts w:cs="Tahoma"/>
          <w:noProof w:val="0"/>
          <w:sz w:val="18"/>
          <w:szCs w:val="18"/>
          <w:lang w:val="en-US"/>
        </w:rPr>
        <w:t>Substantial and self-sustained increase of per capita national product;</w:t>
      </w:r>
      <w:r w:rsidR="00A4094A" w:rsidRPr="00610904">
        <w:rPr>
          <w:noProof w:val="0"/>
          <w:sz w:val="18"/>
          <w:szCs w:val="18"/>
          <w:lang w:val="en-US"/>
        </w:rPr>
        <w:t xml:space="preserve"> (</w:t>
      </w:r>
      <w:r w:rsidR="00A4094A" w:rsidRPr="00610904">
        <w:rPr>
          <w:rFonts w:cs="Tahoma"/>
          <w:noProof w:val="0"/>
          <w:sz w:val="18"/>
          <w:szCs w:val="18"/>
          <w:lang w:val="en-US"/>
        </w:rPr>
        <w:t>b) Equitable distribution of national income;</w:t>
      </w:r>
      <w:r w:rsidR="00A4094A" w:rsidRPr="00610904">
        <w:rPr>
          <w:noProof w:val="0"/>
          <w:sz w:val="18"/>
          <w:szCs w:val="18"/>
          <w:lang w:val="en-US"/>
        </w:rPr>
        <w:t xml:space="preserve"> (c) </w:t>
      </w:r>
      <w:r w:rsidR="00A4094A" w:rsidRPr="00610904">
        <w:rPr>
          <w:rFonts w:cs="Tahoma"/>
          <w:noProof w:val="0"/>
          <w:sz w:val="18"/>
          <w:szCs w:val="18"/>
          <w:lang w:val="en-US"/>
        </w:rPr>
        <w:t>Adequate and equitable systems of taxation;</w:t>
      </w:r>
      <w:r w:rsidR="00A4094A" w:rsidRPr="00610904">
        <w:rPr>
          <w:noProof w:val="0"/>
          <w:sz w:val="18"/>
          <w:szCs w:val="18"/>
          <w:lang w:val="en-US"/>
        </w:rPr>
        <w:t xml:space="preserve"> (d) </w:t>
      </w:r>
      <w:r w:rsidR="00A4094A" w:rsidRPr="00610904">
        <w:rPr>
          <w:rFonts w:cs="Tahoma"/>
          <w:noProof w:val="0"/>
          <w:sz w:val="18"/>
          <w:szCs w:val="18"/>
          <w:lang w:val="en-US"/>
        </w:rPr>
        <w:t>Modernization of rural life and reforms leading to equitable and efficient land-tenure systems, increased agricultural productivity, expanded use of land, diversification of production and improved processing and marketing systems for agricultural products; and the strengthening and expansion of the means to attain these ends; (e) Accelerated and diversified industrialization, especially of capital and intermediate goods;</w:t>
      </w:r>
      <w:r w:rsidR="00A4094A" w:rsidRPr="00610904">
        <w:rPr>
          <w:noProof w:val="0"/>
          <w:sz w:val="18"/>
          <w:szCs w:val="18"/>
          <w:lang w:val="en-US"/>
        </w:rPr>
        <w:t xml:space="preserve"> (f) </w:t>
      </w:r>
      <w:r w:rsidR="00A4094A" w:rsidRPr="00610904">
        <w:rPr>
          <w:rFonts w:cs="Tahoma"/>
          <w:noProof w:val="0"/>
          <w:sz w:val="18"/>
          <w:szCs w:val="18"/>
          <w:lang w:val="en-US"/>
        </w:rPr>
        <w:t>Stability of domestic price levels, compatible with sustained economic development and the attainment of social justice; (g)</w:t>
      </w:r>
      <w:r w:rsidR="00A4094A" w:rsidRPr="00610904">
        <w:rPr>
          <w:noProof w:val="0"/>
          <w:sz w:val="18"/>
          <w:szCs w:val="18"/>
          <w:lang w:val="en-US"/>
        </w:rPr>
        <w:t xml:space="preserve"> </w:t>
      </w:r>
      <w:r w:rsidR="00A4094A" w:rsidRPr="00610904">
        <w:rPr>
          <w:rFonts w:cs="Tahoma"/>
          <w:noProof w:val="0"/>
          <w:sz w:val="18"/>
          <w:szCs w:val="18"/>
          <w:lang w:val="en-US"/>
        </w:rPr>
        <w:t>Fair wages, employment opportunities, and acceptable working conditions for all; (h) Rapid eradication of illiteracy and expansion of educational opportunities for all; (i) Protection of man's potential through the extension and application of modern medical science; (j) Proper nutrition, especially through the acceleration of national efforts to increase the production and availability of food; (k) Adequate housing for all sectors of the population; (l) Urban conditions that offer the opportunity for a healthful, productive, and full life; (m) Promotion of private initiative and investment in harmony with action in the public sector; and (n) Expansion and diversification of exports.</w:t>
      </w:r>
    </w:p>
    <w:p w:rsidR="003E12DE" w:rsidRPr="00610904" w:rsidRDefault="00E96420" w:rsidP="00610904">
      <w:pPr>
        <w:pStyle w:val="Estilo4"/>
        <w:numPr>
          <w:ilvl w:val="0"/>
          <w:numId w:val="0"/>
        </w:numPr>
        <w:tabs>
          <w:tab w:val="left" w:pos="360"/>
        </w:tabs>
        <w:rPr>
          <w:lang w:val="en-US"/>
        </w:rPr>
      </w:pPr>
      <w:r w:rsidRPr="00610904">
        <w:rPr>
          <w:rFonts w:eastAsia="Batang" w:cs="Times"/>
          <w:spacing w:val="0"/>
          <w:sz w:val="18"/>
          <w:szCs w:val="18"/>
          <w:lang w:val="en-US"/>
        </w:rPr>
        <w:tab/>
      </w:r>
      <w:r w:rsidR="00795F5F" w:rsidRPr="00610904">
        <w:rPr>
          <w:i/>
          <w:lang w:val="en-US"/>
        </w:rPr>
        <w:t>Observations</w:t>
      </w:r>
      <w:r w:rsidR="00E50868" w:rsidRPr="00610904">
        <w:rPr>
          <w:i/>
          <w:lang w:val="en-US"/>
        </w:rPr>
        <w:t xml:space="preserve"> of Me</w:t>
      </w:r>
      <w:r w:rsidR="003E12DE" w:rsidRPr="00610904">
        <w:rPr>
          <w:i/>
          <w:lang w:val="en-US"/>
        </w:rPr>
        <w:t>xico</w:t>
      </w:r>
      <w:r w:rsidR="003E12DE" w:rsidRPr="00610904">
        <w:rPr>
          <w:rStyle w:val="FootnoteReference"/>
          <w:lang w:val="en-US"/>
        </w:rPr>
        <w:footnoteReference w:id="471"/>
      </w:r>
      <w:r w:rsidR="003E12DE" w:rsidRPr="00610904">
        <w:rPr>
          <w:i/>
          <w:lang w:val="en-US"/>
        </w:rPr>
        <w:t xml:space="preserve"> </w:t>
      </w:r>
    </w:p>
    <w:p w:rsidR="00A4094A" w:rsidRPr="00610904" w:rsidRDefault="003E12DE" w:rsidP="00610904">
      <w:pPr>
        <w:pStyle w:val="Estilo4"/>
        <w:numPr>
          <w:ilvl w:val="0"/>
          <w:numId w:val="0"/>
        </w:numPr>
        <w:spacing w:after="240"/>
        <w:ind w:left="720"/>
        <w:rPr>
          <w:sz w:val="18"/>
          <w:szCs w:val="18"/>
          <w:lang w:val="en-US"/>
        </w:rPr>
      </w:pPr>
      <w:proofErr w:type="gramStart"/>
      <w:r w:rsidRPr="00610904">
        <w:rPr>
          <w:sz w:val="18"/>
          <w:szCs w:val="18"/>
          <w:lang w:val="en-US"/>
        </w:rPr>
        <w:t>III-3.</w:t>
      </w:r>
      <w:proofErr w:type="gramEnd"/>
      <w:r w:rsidRPr="00610904">
        <w:rPr>
          <w:sz w:val="18"/>
          <w:szCs w:val="18"/>
          <w:lang w:val="en-US"/>
        </w:rPr>
        <w:t xml:space="preserve"> </w:t>
      </w:r>
      <w:r w:rsidR="00A4094A" w:rsidRPr="00610904">
        <w:rPr>
          <w:sz w:val="18"/>
          <w:szCs w:val="18"/>
          <w:lang w:val="en-US"/>
        </w:rPr>
        <w:t>We have serious doubts as to whether the rights established in article 25 of the preliminary draft should be included in this final version. First, this statement could be repetitive, because it already appears in article 51 of the Protocol on amendments to the OAS Charter. Second, contrary to all the other rights referred to in the draft – which are rights that the individual enjoys as a person or as a member of a specific social group – it would be difficult at any given moment to establish precisely who would be the person or persons that would be directly affected if the rights contained in the said article 25 were to be violated. The same could be said as regard the degree of difficulty implicit in determining who would be, when applicable, the authority responsible for that violation.</w:t>
      </w:r>
    </w:p>
    <w:p w:rsidR="003E12DE" w:rsidRPr="00610904" w:rsidRDefault="00795F5F" w:rsidP="00610904">
      <w:pPr>
        <w:pStyle w:val="Estilo4"/>
        <w:numPr>
          <w:ilvl w:val="0"/>
          <w:numId w:val="0"/>
        </w:numPr>
        <w:ind w:left="360"/>
        <w:rPr>
          <w:lang w:val="en-US"/>
        </w:rPr>
      </w:pPr>
      <w:r w:rsidRPr="00610904">
        <w:rPr>
          <w:i/>
          <w:lang w:val="en-US"/>
        </w:rPr>
        <w:t>Observations</w:t>
      </w:r>
      <w:r w:rsidR="00E50868" w:rsidRPr="00610904">
        <w:rPr>
          <w:i/>
          <w:lang w:val="en-US"/>
        </w:rPr>
        <w:t xml:space="preserve"> of</w:t>
      </w:r>
      <w:r w:rsidR="003E12DE" w:rsidRPr="00610904">
        <w:rPr>
          <w:i/>
          <w:lang w:val="en-US"/>
        </w:rPr>
        <w:t xml:space="preserve"> Guatemala</w:t>
      </w:r>
      <w:r w:rsidR="003E12DE" w:rsidRPr="00610904">
        <w:rPr>
          <w:rStyle w:val="FootnoteReference"/>
          <w:lang w:val="en-US"/>
        </w:rPr>
        <w:footnoteReference w:id="472"/>
      </w:r>
      <w:r w:rsidR="003E12DE" w:rsidRPr="00610904">
        <w:rPr>
          <w:lang w:val="en-US"/>
        </w:rPr>
        <w:t xml:space="preserve"> </w:t>
      </w:r>
    </w:p>
    <w:p w:rsidR="003E12DE" w:rsidRPr="00610904" w:rsidRDefault="003E12DE" w:rsidP="00610904">
      <w:pPr>
        <w:pStyle w:val="Estilo4"/>
        <w:numPr>
          <w:ilvl w:val="0"/>
          <w:numId w:val="0"/>
        </w:numPr>
        <w:ind w:left="360" w:firstLine="360"/>
        <w:rPr>
          <w:sz w:val="18"/>
          <w:szCs w:val="18"/>
          <w:lang w:val="en-US"/>
        </w:rPr>
      </w:pPr>
      <w:r w:rsidRPr="00610904">
        <w:rPr>
          <w:sz w:val="18"/>
          <w:szCs w:val="18"/>
          <w:lang w:val="en-US"/>
        </w:rPr>
        <w:lastRenderedPageBreak/>
        <w:t xml:space="preserve">III) </w:t>
      </w:r>
      <w:r w:rsidR="00A4094A" w:rsidRPr="00610904">
        <w:rPr>
          <w:sz w:val="18"/>
          <w:szCs w:val="18"/>
          <w:lang w:val="en-US"/>
        </w:rPr>
        <w:t>In the case of</w:t>
      </w:r>
      <w:r w:rsidRPr="00610904">
        <w:rPr>
          <w:sz w:val="18"/>
          <w:szCs w:val="18"/>
          <w:lang w:val="en-US"/>
        </w:rPr>
        <w:t xml:space="preserve"> </w:t>
      </w:r>
      <w:r w:rsidR="00357398" w:rsidRPr="00610904">
        <w:rPr>
          <w:sz w:val="18"/>
          <w:szCs w:val="18"/>
          <w:lang w:val="en-US"/>
        </w:rPr>
        <w:t>the economic, social and cultural rights</w:t>
      </w:r>
      <w:r w:rsidRPr="00610904">
        <w:rPr>
          <w:sz w:val="18"/>
          <w:szCs w:val="18"/>
          <w:lang w:val="en-US"/>
        </w:rPr>
        <w:t xml:space="preserve"> </w:t>
      </w:r>
    </w:p>
    <w:p w:rsidR="003E12DE" w:rsidRPr="00610904" w:rsidRDefault="00A8072E" w:rsidP="00610904">
      <w:pPr>
        <w:pStyle w:val="Estilo4"/>
        <w:numPr>
          <w:ilvl w:val="0"/>
          <w:numId w:val="0"/>
        </w:numPr>
        <w:ind w:left="720"/>
        <w:rPr>
          <w:sz w:val="18"/>
          <w:szCs w:val="18"/>
          <w:lang w:val="en-US"/>
        </w:rPr>
      </w:pPr>
      <w:proofErr w:type="gramStart"/>
      <w:r w:rsidRPr="00610904">
        <w:rPr>
          <w:sz w:val="18"/>
          <w:szCs w:val="18"/>
          <w:lang w:val="en-US"/>
        </w:rPr>
        <w:t>Article</w:t>
      </w:r>
      <w:r w:rsidR="003E12DE" w:rsidRPr="00610904">
        <w:rPr>
          <w:sz w:val="18"/>
          <w:szCs w:val="18"/>
          <w:lang w:val="en-US"/>
        </w:rPr>
        <w:t xml:space="preserve"> 24.</w:t>
      </w:r>
      <w:proofErr w:type="gramEnd"/>
      <w:r w:rsidR="003E12DE" w:rsidRPr="00610904">
        <w:rPr>
          <w:sz w:val="18"/>
          <w:szCs w:val="18"/>
          <w:lang w:val="en-US"/>
        </w:rPr>
        <w:t xml:space="preserve"> </w:t>
      </w:r>
      <w:r w:rsidR="00A4094A" w:rsidRPr="00610904">
        <w:rPr>
          <w:sz w:val="18"/>
          <w:szCs w:val="18"/>
          <w:lang w:val="en-US"/>
        </w:rPr>
        <w:t xml:space="preserve">In order to protect and promote respect for </w:t>
      </w:r>
      <w:r w:rsidR="00357398" w:rsidRPr="00610904">
        <w:rPr>
          <w:sz w:val="18"/>
          <w:szCs w:val="18"/>
          <w:lang w:val="en-US"/>
        </w:rPr>
        <w:t>the economic, social and cultural rights</w:t>
      </w:r>
      <w:r w:rsidR="003E12DE" w:rsidRPr="00610904">
        <w:rPr>
          <w:sz w:val="18"/>
          <w:szCs w:val="18"/>
          <w:lang w:val="en-US"/>
        </w:rPr>
        <w:t xml:space="preserve"> </w:t>
      </w:r>
      <w:r w:rsidR="00A4094A" w:rsidRPr="00610904">
        <w:rPr>
          <w:sz w:val="18"/>
          <w:szCs w:val="18"/>
          <w:lang w:val="en-US"/>
        </w:rPr>
        <w:t>proclaimed in this Convention, the American Commission on Human Rights, in addition to using other measures admitted by international law in force in the Americas, shall have competence to:</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t xml:space="preserve">a) </w:t>
      </w:r>
      <w:r w:rsidR="00A4094A" w:rsidRPr="00610904">
        <w:rPr>
          <w:sz w:val="18"/>
          <w:szCs w:val="18"/>
          <w:lang w:val="en-US"/>
        </w:rPr>
        <w:t xml:space="preserve">Obtain reports from </w:t>
      </w:r>
      <w:r w:rsidR="00357398" w:rsidRPr="00610904">
        <w:rPr>
          <w:sz w:val="18"/>
          <w:szCs w:val="18"/>
          <w:lang w:val="en-US"/>
        </w:rPr>
        <w:t>the States Parties</w:t>
      </w:r>
      <w:r w:rsidRPr="00610904">
        <w:rPr>
          <w:sz w:val="18"/>
          <w:szCs w:val="18"/>
          <w:lang w:val="en-US"/>
        </w:rPr>
        <w:t xml:space="preserve"> </w:t>
      </w:r>
      <w:r w:rsidR="00A4094A" w:rsidRPr="00610904">
        <w:rPr>
          <w:sz w:val="18"/>
          <w:szCs w:val="18"/>
          <w:lang w:val="en-US"/>
        </w:rPr>
        <w:t xml:space="preserve">on the measures they have adopted and the progress made in order to ensure respect for </w:t>
      </w:r>
      <w:r w:rsidR="00E96420" w:rsidRPr="00610904">
        <w:rPr>
          <w:sz w:val="18"/>
          <w:szCs w:val="18"/>
          <w:lang w:val="en-US"/>
        </w:rPr>
        <w:t>such</w:t>
      </w:r>
      <w:r w:rsidR="00A4094A" w:rsidRPr="00610904">
        <w:rPr>
          <w:sz w:val="18"/>
          <w:szCs w:val="18"/>
          <w:lang w:val="en-US"/>
        </w:rPr>
        <w:t xml:space="preserve"> rights;</w:t>
      </w:r>
      <w:r w:rsidRPr="00610904">
        <w:rPr>
          <w:sz w:val="18"/>
          <w:szCs w:val="18"/>
          <w:lang w:val="en-US"/>
        </w:rPr>
        <w:t xml:space="preserve"> </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t xml:space="preserve">b) </w:t>
      </w:r>
      <w:r w:rsidR="00E96420" w:rsidRPr="00610904">
        <w:rPr>
          <w:sz w:val="18"/>
          <w:szCs w:val="18"/>
          <w:lang w:val="en-US"/>
        </w:rPr>
        <w:t>Undertake research and prepare</w:t>
      </w:r>
      <w:r w:rsidR="00A4094A" w:rsidRPr="00610904">
        <w:rPr>
          <w:sz w:val="18"/>
          <w:szCs w:val="18"/>
          <w:lang w:val="en-US"/>
        </w:rPr>
        <w:t xml:space="preserve"> reports on those rights, separately, or in cooperation with the governments concerned</w:t>
      </w:r>
      <w:r w:rsidR="009303FF" w:rsidRPr="00610904">
        <w:rPr>
          <w:sz w:val="18"/>
          <w:szCs w:val="18"/>
          <w:lang w:val="en-US"/>
        </w:rPr>
        <w:t>;</w:t>
      </w:r>
      <w:r w:rsidRPr="00610904">
        <w:rPr>
          <w:sz w:val="18"/>
          <w:szCs w:val="18"/>
          <w:lang w:val="en-US"/>
        </w:rPr>
        <w:t xml:space="preserve"> </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t>c) A</w:t>
      </w:r>
      <w:r w:rsidR="00A4094A" w:rsidRPr="00610904">
        <w:rPr>
          <w:sz w:val="18"/>
          <w:szCs w:val="18"/>
          <w:lang w:val="en-US"/>
        </w:rPr>
        <w:t>dopt recommendations of a general or specific nature for one or several States</w:t>
      </w:r>
      <w:r w:rsidRPr="00610904">
        <w:rPr>
          <w:sz w:val="18"/>
          <w:szCs w:val="18"/>
          <w:lang w:val="en-US"/>
        </w:rPr>
        <w:t>;</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t xml:space="preserve">d) </w:t>
      </w:r>
      <w:r w:rsidR="00E96420" w:rsidRPr="00610904">
        <w:rPr>
          <w:sz w:val="18"/>
          <w:szCs w:val="18"/>
          <w:lang w:val="en-US"/>
        </w:rPr>
        <w:t>Obtain</w:t>
      </w:r>
      <w:r w:rsidR="00A4094A" w:rsidRPr="00610904">
        <w:rPr>
          <w:sz w:val="18"/>
          <w:szCs w:val="18"/>
          <w:lang w:val="en-US"/>
        </w:rPr>
        <w:t xml:space="preserve"> from the </w:t>
      </w:r>
      <w:r w:rsidR="00A8072E" w:rsidRPr="00610904">
        <w:rPr>
          <w:sz w:val="18"/>
          <w:szCs w:val="18"/>
          <w:lang w:val="en-US"/>
        </w:rPr>
        <w:t>General Assembly</w:t>
      </w:r>
      <w:r w:rsidRPr="00610904">
        <w:rPr>
          <w:sz w:val="18"/>
          <w:szCs w:val="18"/>
          <w:lang w:val="en-US"/>
        </w:rPr>
        <w:t xml:space="preserve"> o</w:t>
      </w:r>
      <w:r w:rsidR="00A4094A" w:rsidRPr="00610904">
        <w:rPr>
          <w:sz w:val="18"/>
          <w:szCs w:val="18"/>
          <w:lang w:val="en-US"/>
        </w:rPr>
        <w:t>r other organs of the</w:t>
      </w:r>
      <w:r w:rsidR="0013395A" w:rsidRPr="00610904">
        <w:rPr>
          <w:sz w:val="18"/>
          <w:szCs w:val="18"/>
          <w:lang w:val="en-US"/>
        </w:rPr>
        <w:t xml:space="preserve"> Organization of American States</w:t>
      </w:r>
      <w:r w:rsidR="00A4094A" w:rsidRPr="00610904">
        <w:rPr>
          <w:sz w:val="18"/>
          <w:szCs w:val="18"/>
          <w:lang w:val="en-US"/>
        </w:rPr>
        <w:t xml:space="preserve"> the necessary cooperation and the adoption of pertinent measures; </w:t>
      </w:r>
      <w:r w:rsidRPr="00610904">
        <w:rPr>
          <w:sz w:val="18"/>
          <w:szCs w:val="18"/>
          <w:lang w:val="en-US"/>
        </w:rPr>
        <w:t xml:space="preserve"> </w:t>
      </w:r>
    </w:p>
    <w:p w:rsidR="003E12DE" w:rsidRPr="00610904" w:rsidRDefault="00A4094A" w:rsidP="00610904">
      <w:pPr>
        <w:pStyle w:val="Estilo4"/>
        <w:numPr>
          <w:ilvl w:val="0"/>
          <w:numId w:val="0"/>
        </w:numPr>
        <w:ind w:left="1080" w:firstLine="360"/>
        <w:rPr>
          <w:sz w:val="18"/>
          <w:szCs w:val="18"/>
          <w:lang w:val="en-US"/>
        </w:rPr>
      </w:pPr>
      <w:r w:rsidRPr="00610904">
        <w:rPr>
          <w:sz w:val="18"/>
          <w:szCs w:val="18"/>
          <w:lang w:val="en-US"/>
        </w:rPr>
        <w:t>e) Hold technical and regional meetings</w:t>
      </w:r>
      <w:r w:rsidR="003E12DE" w:rsidRPr="00610904">
        <w:rPr>
          <w:sz w:val="18"/>
          <w:szCs w:val="18"/>
          <w:lang w:val="en-US"/>
        </w:rPr>
        <w:t xml:space="preserve">; </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t xml:space="preserve">e) </w:t>
      </w:r>
      <w:r w:rsidR="00A4094A" w:rsidRPr="00610904">
        <w:rPr>
          <w:sz w:val="18"/>
          <w:szCs w:val="18"/>
          <w:lang w:val="en-US"/>
        </w:rPr>
        <w:t>Encourage the signature of international conventions and agreements in this area</w:t>
      </w:r>
      <w:r w:rsidRPr="00610904">
        <w:rPr>
          <w:sz w:val="18"/>
          <w:szCs w:val="18"/>
          <w:lang w:val="en-US"/>
        </w:rPr>
        <w:t xml:space="preserve">; </w:t>
      </w:r>
    </w:p>
    <w:p w:rsidR="003E12DE" w:rsidRPr="00610904" w:rsidRDefault="003E12DE" w:rsidP="00610904">
      <w:pPr>
        <w:pStyle w:val="Estilo4"/>
        <w:numPr>
          <w:ilvl w:val="0"/>
          <w:numId w:val="0"/>
        </w:numPr>
        <w:ind w:left="1080" w:firstLine="360"/>
        <w:rPr>
          <w:sz w:val="18"/>
          <w:szCs w:val="18"/>
          <w:lang w:val="en-US"/>
        </w:rPr>
      </w:pPr>
      <w:r w:rsidRPr="00610904">
        <w:rPr>
          <w:sz w:val="18"/>
          <w:szCs w:val="18"/>
          <w:lang w:val="en-US"/>
        </w:rPr>
        <w:t xml:space="preserve">f) </w:t>
      </w:r>
      <w:r w:rsidR="00A4094A" w:rsidRPr="00610904">
        <w:rPr>
          <w:sz w:val="18"/>
          <w:szCs w:val="18"/>
          <w:lang w:val="en-US"/>
        </w:rPr>
        <w:t xml:space="preserve">Sign agreements with national and international technical entities. </w:t>
      </w:r>
    </w:p>
    <w:p w:rsidR="00A4094A" w:rsidRPr="00610904" w:rsidRDefault="00A8072E" w:rsidP="00610904">
      <w:pPr>
        <w:pStyle w:val="Estilo4"/>
        <w:numPr>
          <w:ilvl w:val="0"/>
          <w:numId w:val="0"/>
        </w:numPr>
        <w:ind w:left="720"/>
        <w:rPr>
          <w:sz w:val="18"/>
          <w:szCs w:val="18"/>
          <w:lang w:val="en-US"/>
        </w:rPr>
      </w:pPr>
      <w:proofErr w:type="gramStart"/>
      <w:r w:rsidRPr="00610904">
        <w:rPr>
          <w:sz w:val="18"/>
          <w:szCs w:val="18"/>
          <w:lang w:val="en-US"/>
        </w:rPr>
        <w:t>Article</w:t>
      </w:r>
      <w:r w:rsidR="003E12DE" w:rsidRPr="00610904">
        <w:rPr>
          <w:sz w:val="18"/>
          <w:szCs w:val="18"/>
          <w:lang w:val="en-US"/>
        </w:rPr>
        <w:t xml:space="preserve"> 25.</w:t>
      </w:r>
      <w:proofErr w:type="gramEnd"/>
      <w:r w:rsidR="003E12DE" w:rsidRPr="00610904">
        <w:rPr>
          <w:sz w:val="18"/>
          <w:szCs w:val="18"/>
          <w:lang w:val="en-US"/>
        </w:rPr>
        <w:t xml:space="preserve"> </w:t>
      </w:r>
      <w:r w:rsidR="00357398" w:rsidRPr="00610904">
        <w:rPr>
          <w:sz w:val="18"/>
          <w:szCs w:val="18"/>
          <w:lang w:val="en-US"/>
        </w:rPr>
        <w:t>The States Parties</w:t>
      </w:r>
      <w:r w:rsidR="003E12DE" w:rsidRPr="00610904">
        <w:rPr>
          <w:sz w:val="18"/>
          <w:szCs w:val="18"/>
          <w:lang w:val="en-US"/>
        </w:rPr>
        <w:t xml:space="preserve"> </w:t>
      </w:r>
      <w:r w:rsidR="00A4094A" w:rsidRPr="00610904">
        <w:rPr>
          <w:sz w:val="18"/>
          <w:szCs w:val="18"/>
          <w:lang w:val="en-US"/>
        </w:rPr>
        <w:t xml:space="preserve">undertake to submit periodic reports to </w:t>
      </w:r>
      <w:r w:rsidR="002F5BBA" w:rsidRPr="00610904">
        <w:rPr>
          <w:sz w:val="18"/>
          <w:szCs w:val="18"/>
          <w:lang w:val="en-US"/>
        </w:rPr>
        <w:t>the Commission</w:t>
      </w:r>
      <w:r w:rsidR="003E12DE" w:rsidRPr="00610904">
        <w:rPr>
          <w:sz w:val="18"/>
          <w:szCs w:val="18"/>
          <w:lang w:val="en-US"/>
        </w:rPr>
        <w:t xml:space="preserve"> </w:t>
      </w:r>
      <w:r w:rsidR="00A4094A" w:rsidRPr="00610904">
        <w:rPr>
          <w:sz w:val="18"/>
          <w:szCs w:val="18"/>
          <w:lang w:val="en-US"/>
        </w:rPr>
        <w:t>on the measures taken in order to ensure respect for economic, social and cultural rights. The frequency of these reports shall be determined by the Commission. They also undertake to present to the Commi</w:t>
      </w:r>
      <w:r w:rsidR="00E96420" w:rsidRPr="00610904">
        <w:rPr>
          <w:sz w:val="18"/>
          <w:szCs w:val="18"/>
          <w:lang w:val="en-US"/>
        </w:rPr>
        <w:t xml:space="preserve">ssion a copy of the reports </w:t>
      </w:r>
      <w:r w:rsidR="00A4094A" w:rsidRPr="00610904">
        <w:rPr>
          <w:sz w:val="18"/>
          <w:szCs w:val="18"/>
          <w:lang w:val="en-US"/>
        </w:rPr>
        <w:t xml:space="preserve">they send to other international bodies, agencies or </w:t>
      </w:r>
      <w:r w:rsidR="00E96420" w:rsidRPr="00610904">
        <w:rPr>
          <w:sz w:val="18"/>
          <w:szCs w:val="18"/>
          <w:lang w:val="en-US"/>
        </w:rPr>
        <w:t>organizations in relation to</w:t>
      </w:r>
      <w:r w:rsidR="00A4094A" w:rsidRPr="00610904">
        <w:rPr>
          <w:sz w:val="18"/>
          <w:szCs w:val="18"/>
          <w:lang w:val="en-US"/>
        </w:rPr>
        <w:t xml:space="preserve"> </w:t>
      </w:r>
      <w:r w:rsidR="00E96420" w:rsidRPr="00610904">
        <w:rPr>
          <w:sz w:val="18"/>
          <w:szCs w:val="18"/>
          <w:lang w:val="en-US"/>
        </w:rPr>
        <w:t>respect for</w:t>
      </w:r>
      <w:r w:rsidR="00A4094A" w:rsidRPr="00610904">
        <w:rPr>
          <w:sz w:val="18"/>
          <w:szCs w:val="18"/>
          <w:lang w:val="en-US"/>
        </w:rPr>
        <w:t xml:space="preserve"> these rights.</w:t>
      </w:r>
    </w:p>
    <w:p w:rsidR="00A4094A" w:rsidRPr="00610904" w:rsidRDefault="00A8072E" w:rsidP="00610904">
      <w:pPr>
        <w:pStyle w:val="Estilo4"/>
        <w:numPr>
          <w:ilvl w:val="0"/>
          <w:numId w:val="0"/>
        </w:numPr>
        <w:ind w:left="720"/>
        <w:rPr>
          <w:sz w:val="18"/>
          <w:szCs w:val="18"/>
          <w:lang w:val="en-US"/>
        </w:rPr>
      </w:pPr>
      <w:proofErr w:type="gramStart"/>
      <w:r w:rsidRPr="00610904">
        <w:rPr>
          <w:sz w:val="18"/>
          <w:szCs w:val="18"/>
          <w:lang w:val="en-US"/>
        </w:rPr>
        <w:t>Article</w:t>
      </w:r>
      <w:r w:rsidR="003E12DE" w:rsidRPr="00610904">
        <w:rPr>
          <w:sz w:val="18"/>
          <w:szCs w:val="18"/>
          <w:lang w:val="en-US"/>
        </w:rPr>
        <w:t xml:space="preserve"> 26.</w:t>
      </w:r>
      <w:proofErr w:type="gramEnd"/>
      <w:r w:rsidR="003E12DE" w:rsidRPr="00610904">
        <w:rPr>
          <w:sz w:val="18"/>
          <w:szCs w:val="18"/>
          <w:lang w:val="en-US"/>
        </w:rPr>
        <w:t xml:space="preserve"> </w:t>
      </w:r>
      <w:r w:rsidR="00A4094A" w:rsidRPr="00610904">
        <w:rPr>
          <w:sz w:val="18"/>
          <w:szCs w:val="18"/>
          <w:lang w:val="en-US"/>
        </w:rPr>
        <w:t>(</w:t>
      </w:r>
      <w:r w:rsidR="003E12DE" w:rsidRPr="00610904">
        <w:rPr>
          <w:sz w:val="18"/>
          <w:szCs w:val="18"/>
          <w:lang w:val="en-US"/>
        </w:rPr>
        <w:t xml:space="preserve">i) </w:t>
      </w:r>
      <w:r w:rsidR="002F5BBA" w:rsidRPr="00610904">
        <w:rPr>
          <w:sz w:val="18"/>
          <w:szCs w:val="18"/>
          <w:lang w:val="en-US"/>
        </w:rPr>
        <w:t>The Commission</w:t>
      </w:r>
      <w:r w:rsidR="003E12DE" w:rsidRPr="00610904">
        <w:rPr>
          <w:sz w:val="18"/>
          <w:szCs w:val="18"/>
          <w:lang w:val="en-US"/>
        </w:rPr>
        <w:t xml:space="preserve"> </w:t>
      </w:r>
      <w:r w:rsidR="00A4094A" w:rsidRPr="00610904">
        <w:rPr>
          <w:sz w:val="18"/>
          <w:szCs w:val="18"/>
          <w:lang w:val="en-US"/>
        </w:rPr>
        <w:t>may call the attention of the international cooperation or technical assistance agencies or any other relevant international body</w:t>
      </w:r>
      <w:r w:rsidR="00E96420" w:rsidRPr="00610904">
        <w:rPr>
          <w:sz w:val="18"/>
          <w:szCs w:val="18"/>
          <w:lang w:val="en-US"/>
        </w:rPr>
        <w:t xml:space="preserve"> to</w:t>
      </w:r>
      <w:r w:rsidR="00A4094A" w:rsidRPr="00610904">
        <w:rPr>
          <w:sz w:val="18"/>
          <w:szCs w:val="18"/>
          <w:lang w:val="en-US"/>
        </w:rPr>
        <w:t xml:space="preserve"> any matter that arises from the reports referred to </w:t>
      </w:r>
      <w:r w:rsidR="00E96420" w:rsidRPr="00610904">
        <w:rPr>
          <w:sz w:val="18"/>
          <w:szCs w:val="18"/>
          <w:lang w:val="en-US"/>
        </w:rPr>
        <w:t xml:space="preserve">in the </w:t>
      </w:r>
      <w:r w:rsidR="00A4094A" w:rsidRPr="00610904">
        <w:rPr>
          <w:sz w:val="18"/>
          <w:szCs w:val="18"/>
          <w:lang w:val="en-US"/>
        </w:rPr>
        <w:t>preceding articles of this Convention that may assist the said bodies when ruling, each one within its own terms of reference, on the desirability of adopting international measures capable of contributing to the progressive application of this Convention.</w:t>
      </w:r>
    </w:p>
    <w:p w:rsidR="003E12DE" w:rsidRPr="00610904" w:rsidRDefault="00A4094A" w:rsidP="00610904">
      <w:pPr>
        <w:pStyle w:val="Estilo4"/>
        <w:numPr>
          <w:ilvl w:val="0"/>
          <w:numId w:val="0"/>
        </w:numPr>
        <w:ind w:left="720"/>
        <w:rPr>
          <w:sz w:val="18"/>
          <w:szCs w:val="18"/>
          <w:lang w:val="en-US"/>
        </w:rPr>
      </w:pPr>
      <w:r w:rsidRPr="00610904">
        <w:rPr>
          <w:sz w:val="18"/>
          <w:szCs w:val="18"/>
          <w:lang w:val="en-US"/>
        </w:rPr>
        <w:t>(</w:t>
      </w:r>
      <w:r w:rsidR="003E12DE" w:rsidRPr="00610904">
        <w:rPr>
          <w:sz w:val="18"/>
          <w:szCs w:val="18"/>
          <w:lang w:val="en-US"/>
        </w:rPr>
        <w:t xml:space="preserve">ii) </w:t>
      </w:r>
      <w:r w:rsidR="002F5BBA" w:rsidRPr="00610904">
        <w:rPr>
          <w:sz w:val="18"/>
          <w:szCs w:val="18"/>
          <w:lang w:val="en-US"/>
        </w:rPr>
        <w:t>The Commission</w:t>
      </w:r>
      <w:r w:rsidR="003E12DE" w:rsidRPr="00610904">
        <w:rPr>
          <w:sz w:val="18"/>
          <w:szCs w:val="18"/>
          <w:lang w:val="en-US"/>
        </w:rPr>
        <w:t xml:space="preserve"> </w:t>
      </w:r>
      <w:r w:rsidRPr="00610904">
        <w:rPr>
          <w:sz w:val="18"/>
          <w:szCs w:val="18"/>
          <w:lang w:val="en-US"/>
        </w:rPr>
        <w:t>shall ask the said bodies to forward the result of the reviews they carry o</w:t>
      </w:r>
      <w:r w:rsidR="00E96420" w:rsidRPr="00610904">
        <w:rPr>
          <w:sz w:val="18"/>
          <w:szCs w:val="18"/>
          <w:lang w:val="en-US"/>
        </w:rPr>
        <w:t>ut, as well as the measures</w:t>
      </w:r>
      <w:r w:rsidRPr="00610904">
        <w:rPr>
          <w:sz w:val="18"/>
          <w:szCs w:val="18"/>
          <w:lang w:val="en-US"/>
        </w:rPr>
        <w:t xml:space="preserve"> they adopt on their own initiative based on those reports.  </w:t>
      </w:r>
    </w:p>
    <w:p w:rsidR="00A4094A" w:rsidRPr="00610904" w:rsidRDefault="00A8072E" w:rsidP="00610904">
      <w:pPr>
        <w:pStyle w:val="Estilo4"/>
        <w:numPr>
          <w:ilvl w:val="0"/>
          <w:numId w:val="0"/>
        </w:numPr>
        <w:spacing w:after="240"/>
        <w:ind w:left="720"/>
        <w:rPr>
          <w:sz w:val="18"/>
          <w:szCs w:val="18"/>
          <w:lang w:val="en-US"/>
        </w:rPr>
      </w:pPr>
      <w:proofErr w:type="gramStart"/>
      <w:r w:rsidRPr="00610904">
        <w:rPr>
          <w:sz w:val="18"/>
          <w:szCs w:val="18"/>
          <w:lang w:val="en-US"/>
        </w:rPr>
        <w:t>Article</w:t>
      </w:r>
      <w:r w:rsidR="003E12DE" w:rsidRPr="00610904">
        <w:rPr>
          <w:sz w:val="18"/>
          <w:szCs w:val="18"/>
          <w:lang w:val="en-US"/>
        </w:rPr>
        <w:t xml:space="preserve"> 27.</w:t>
      </w:r>
      <w:proofErr w:type="gramEnd"/>
      <w:r w:rsidR="003E12DE" w:rsidRPr="00610904">
        <w:rPr>
          <w:sz w:val="18"/>
          <w:szCs w:val="18"/>
          <w:lang w:val="en-US"/>
        </w:rPr>
        <w:t xml:space="preserve"> </w:t>
      </w:r>
      <w:r w:rsidR="002F5BBA" w:rsidRPr="00610904">
        <w:rPr>
          <w:sz w:val="18"/>
          <w:szCs w:val="18"/>
          <w:lang w:val="en-US"/>
        </w:rPr>
        <w:t>The Commission</w:t>
      </w:r>
      <w:r w:rsidR="00E96420" w:rsidRPr="00610904">
        <w:rPr>
          <w:sz w:val="18"/>
          <w:szCs w:val="18"/>
          <w:lang w:val="en-US"/>
        </w:rPr>
        <w:t xml:space="preserve"> shall consider the reports received</w:t>
      </w:r>
      <w:r w:rsidR="00A4094A" w:rsidRPr="00610904">
        <w:rPr>
          <w:sz w:val="18"/>
          <w:szCs w:val="18"/>
          <w:lang w:val="en-US"/>
        </w:rPr>
        <w:t xml:space="preserve"> from the States, from national and international entities</w:t>
      </w:r>
      <w:r w:rsidR="00E96420" w:rsidRPr="00610904">
        <w:rPr>
          <w:sz w:val="18"/>
          <w:szCs w:val="18"/>
          <w:lang w:val="en-US"/>
        </w:rPr>
        <w:t>,</w:t>
      </w:r>
      <w:r w:rsidR="00A4094A" w:rsidRPr="00610904">
        <w:rPr>
          <w:sz w:val="18"/>
          <w:szCs w:val="18"/>
          <w:lang w:val="en-US"/>
        </w:rPr>
        <w:t xml:space="preserve"> and from individuals or groups of individuals and, if it finds it desirable, may publish the reports it receives, as well as the measures it has adopted or the requests sent to other entities, in order to allow national and international public opinion to assess the situation.</w:t>
      </w:r>
    </w:p>
    <w:p w:rsidR="003E12DE" w:rsidRPr="00610904" w:rsidRDefault="00795F5F" w:rsidP="00610904">
      <w:pPr>
        <w:pStyle w:val="Estilo4"/>
        <w:numPr>
          <w:ilvl w:val="0"/>
          <w:numId w:val="0"/>
        </w:numPr>
        <w:ind w:left="360"/>
        <w:rPr>
          <w:lang w:val="en-US"/>
        </w:rPr>
      </w:pPr>
      <w:r w:rsidRPr="00610904">
        <w:rPr>
          <w:i/>
          <w:lang w:val="en-US"/>
        </w:rPr>
        <w:t>Observations</w:t>
      </w:r>
      <w:r w:rsidR="00E50868" w:rsidRPr="00610904">
        <w:rPr>
          <w:i/>
          <w:lang w:val="en-US"/>
        </w:rPr>
        <w:t xml:space="preserve"> of</w:t>
      </w:r>
      <w:r w:rsidR="003E12DE" w:rsidRPr="00610904">
        <w:rPr>
          <w:i/>
          <w:lang w:val="en-US"/>
        </w:rPr>
        <w:t xml:space="preserve"> </w:t>
      </w:r>
      <w:r w:rsidR="00C33211" w:rsidRPr="00610904">
        <w:rPr>
          <w:i/>
          <w:lang w:val="en-US"/>
        </w:rPr>
        <w:t>Brazil</w:t>
      </w:r>
      <w:r w:rsidR="003E12DE" w:rsidRPr="00610904">
        <w:rPr>
          <w:rStyle w:val="FootnoteReference"/>
          <w:lang w:val="en-US"/>
        </w:rPr>
        <w:footnoteReference w:id="473"/>
      </w:r>
    </w:p>
    <w:p w:rsidR="003E12DE" w:rsidRPr="00610904" w:rsidRDefault="00A8072E" w:rsidP="00610904">
      <w:pPr>
        <w:pStyle w:val="Estilo4"/>
        <w:numPr>
          <w:ilvl w:val="0"/>
          <w:numId w:val="0"/>
        </w:numPr>
        <w:ind w:left="360" w:firstLine="360"/>
        <w:rPr>
          <w:sz w:val="18"/>
          <w:szCs w:val="18"/>
          <w:lang w:val="en-US"/>
        </w:rPr>
      </w:pPr>
      <w:proofErr w:type="gramStart"/>
      <w:r w:rsidRPr="00610904">
        <w:rPr>
          <w:sz w:val="18"/>
          <w:szCs w:val="18"/>
          <w:lang w:val="en-US"/>
        </w:rPr>
        <w:t>Article</w:t>
      </w:r>
      <w:r w:rsidR="00A4094A" w:rsidRPr="00610904">
        <w:rPr>
          <w:sz w:val="18"/>
          <w:szCs w:val="18"/>
          <w:lang w:val="en-US"/>
        </w:rPr>
        <w:t xml:space="preserve"> 25.</w:t>
      </w:r>
      <w:proofErr w:type="gramEnd"/>
      <w:r w:rsidR="00A4094A" w:rsidRPr="00610904">
        <w:rPr>
          <w:sz w:val="18"/>
          <w:szCs w:val="18"/>
          <w:lang w:val="en-US"/>
        </w:rPr>
        <w:t xml:space="preserve"> The text of the draft should be substituted as follows:</w:t>
      </w:r>
      <w:r w:rsidR="003E12DE" w:rsidRPr="00610904">
        <w:rPr>
          <w:sz w:val="18"/>
          <w:szCs w:val="18"/>
          <w:lang w:val="en-US"/>
        </w:rPr>
        <w:t xml:space="preserve"> </w:t>
      </w:r>
    </w:p>
    <w:p w:rsidR="003E12DE" w:rsidRPr="00610904" w:rsidRDefault="003E12DE" w:rsidP="00610904">
      <w:pPr>
        <w:pStyle w:val="Estilo4"/>
        <w:numPr>
          <w:ilvl w:val="0"/>
          <w:numId w:val="0"/>
        </w:numPr>
        <w:ind w:left="720"/>
        <w:rPr>
          <w:sz w:val="18"/>
          <w:szCs w:val="18"/>
          <w:lang w:val="en-US"/>
        </w:rPr>
      </w:pPr>
      <w:r w:rsidRPr="00610904">
        <w:rPr>
          <w:sz w:val="18"/>
          <w:szCs w:val="18"/>
          <w:lang w:val="en-US"/>
        </w:rPr>
        <w:t xml:space="preserve">1. </w:t>
      </w:r>
      <w:r w:rsidR="00357398" w:rsidRPr="00610904">
        <w:rPr>
          <w:sz w:val="18"/>
          <w:szCs w:val="18"/>
          <w:lang w:val="en-US"/>
        </w:rPr>
        <w:t>The States Parties</w:t>
      </w:r>
      <w:r w:rsidRPr="00610904">
        <w:rPr>
          <w:sz w:val="18"/>
          <w:szCs w:val="18"/>
          <w:lang w:val="en-US"/>
        </w:rPr>
        <w:t xml:space="preserve"> </w:t>
      </w:r>
      <w:r w:rsidR="00A4094A" w:rsidRPr="00610904">
        <w:rPr>
          <w:sz w:val="18"/>
          <w:szCs w:val="18"/>
          <w:lang w:val="en-US"/>
        </w:rPr>
        <w:t>to this Convention undertake to</w:t>
      </w:r>
      <w:r w:rsidRPr="00610904">
        <w:rPr>
          <w:sz w:val="18"/>
          <w:szCs w:val="18"/>
          <w:lang w:val="en-US"/>
        </w:rPr>
        <w:t xml:space="preserve"> </w:t>
      </w:r>
      <w:r w:rsidR="00A4094A" w:rsidRPr="00610904">
        <w:rPr>
          <w:i/>
          <w:sz w:val="18"/>
          <w:szCs w:val="18"/>
          <w:lang w:val="en-US"/>
        </w:rPr>
        <w:t>incorporate progressively into their domestic law</w:t>
      </w:r>
      <w:r w:rsidRPr="00610904">
        <w:rPr>
          <w:i/>
          <w:sz w:val="18"/>
          <w:szCs w:val="18"/>
          <w:lang w:val="en-US"/>
        </w:rPr>
        <w:t>:</w:t>
      </w:r>
      <w:r w:rsidRPr="00610904">
        <w:rPr>
          <w:sz w:val="18"/>
          <w:szCs w:val="18"/>
          <w:lang w:val="en-US"/>
        </w:rPr>
        <w:t xml:space="preserve"> </w:t>
      </w:r>
    </w:p>
    <w:p w:rsidR="003E12DE" w:rsidRPr="00610904" w:rsidRDefault="00A4094A" w:rsidP="00610904">
      <w:pPr>
        <w:pStyle w:val="Estilo4"/>
        <w:numPr>
          <w:ilvl w:val="0"/>
          <w:numId w:val="0"/>
        </w:numPr>
        <w:ind w:left="1440"/>
        <w:rPr>
          <w:sz w:val="18"/>
          <w:szCs w:val="18"/>
          <w:lang w:val="en-US"/>
        </w:rPr>
      </w:pPr>
      <w:r w:rsidRPr="00610904">
        <w:rPr>
          <w:sz w:val="18"/>
          <w:szCs w:val="18"/>
          <w:lang w:val="en-US"/>
        </w:rPr>
        <w:t xml:space="preserve">a) </w:t>
      </w:r>
      <w:proofErr w:type="gramStart"/>
      <w:r w:rsidRPr="00610904">
        <w:rPr>
          <w:sz w:val="18"/>
          <w:szCs w:val="18"/>
          <w:lang w:val="en-US"/>
        </w:rPr>
        <w:t>the</w:t>
      </w:r>
      <w:proofErr w:type="gramEnd"/>
      <w:r w:rsidRPr="00610904">
        <w:rPr>
          <w:sz w:val="18"/>
          <w:szCs w:val="18"/>
          <w:lang w:val="en-US"/>
        </w:rPr>
        <w:t xml:space="preserve"> rights included in the American Declaration of the Rights and Duties of</w:t>
      </w:r>
      <w:r w:rsidRPr="00610904">
        <w:rPr>
          <w:i/>
          <w:sz w:val="18"/>
          <w:szCs w:val="18"/>
          <w:lang w:val="en-US"/>
        </w:rPr>
        <w:t xml:space="preserve"> </w:t>
      </w:r>
      <w:r w:rsidRPr="00610904">
        <w:rPr>
          <w:sz w:val="18"/>
          <w:szCs w:val="18"/>
          <w:lang w:val="en-US"/>
        </w:rPr>
        <w:t>Man that have not been included among the rights defined in the preceding articles;</w:t>
      </w:r>
      <w:r w:rsidR="003E12DE" w:rsidRPr="00610904">
        <w:rPr>
          <w:sz w:val="18"/>
          <w:szCs w:val="18"/>
          <w:lang w:val="en-US"/>
        </w:rPr>
        <w:t xml:space="preserve"> </w:t>
      </w:r>
    </w:p>
    <w:p w:rsidR="003E12DE" w:rsidRPr="00610904" w:rsidRDefault="003E12DE" w:rsidP="00610904">
      <w:pPr>
        <w:pStyle w:val="Estilo4"/>
        <w:numPr>
          <w:ilvl w:val="0"/>
          <w:numId w:val="0"/>
        </w:numPr>
        <w:ind w:left="1440"/>
        <w:rPr>
          <w:sz w:val="18"/>
          <w:szCs w:val="18"/>
          <w:lang w:val="en-US"/>
        </w:rPr>
      </w:pPr>
      <w:r w:rsidRPr="00610904">
        <w:rPr>
          <w:sz w:val="18"/>
          <w:szCs w:val="18"/>
          <w:lang w:val="en-US"/>
        </w:rPr>
        <w:lastRenderedPageBreak/>
        <w:t xml:space="preserve">b) </w:t>
      </w:r>
      <w:proofErr w:type="gramStart"/>
      <w:r w:rsidR="00A4094A" w:rsidRPr="00610904">
        <w:rPr>
          <w:sz w:val="18"/>
          <w:szCs w:val="18"/>
          <w:lang w:val="en-US"/>
        </w:rPr>
        <w:t>the</w:t>
      </w:r>
      <w:proofErr w:type="gramEnd"/>
      <w:r w:rsidR="00A4094A" w:rsidRPr="00610904">
        <w:rPr>
          <w:sz w:val="18"/>
          <w:szCs w:val="18"/>
          <w:lang w:val="en-US"/>
        </w:rPr>
        <w:t xml:space="preserve"> rights and benefits contained in the economic and social norms, and on education, science and culture established in A</w:t>
      </w:r>
      <w:r w:rsidR="009F3D78" w:rsidRPr="00610904">
        <w:rPr>
          <w:sz w:val="18"/>
          <w:szCs w:val="18"/>
          <w:lang w:val="en-US"/>
        </w:rPr>
        <w:t>rticles</w:t>
      </w:r>
      <w:r w:rsidRPr="00610904">
        <w:rPr>
          <w:sz w:val="18"/>
          <w:szCs w:val="18"/>
          <w:lang w:val="en-US"/>
        </w:rPr>
        <w:t xml:space="preserve"> 31, 43</w:t>
      </w:r>
      <w:r w:rsidR="009F3D78" w:rsidRPr="00610904">
        <w:rPr>
          <w:sz w:val="18"/>
          <w:szCs w:val="18"/>
          <w:lang w:val="en-US"/>
        </w:rPr>
        <w:t xml:space="preserve"> and </w:t>
      </w:r>
      <w:r w:rsidRPr="00610904">
        <w:rPr>
          <w:sz w:val="18"/>
          <w:szCs w:val="18"/>
          <w:lang w:val="en-US"/>
        </w:rPr>
        <w:t xml:space="preserve">47 </w:t>
      </w:r>
      <w:r w:rsidR="00A4094A" w:rsidRPr="00610904">
        <w:rPr>
          <w:sz w:val="18"/>
          <w:szCs w:val="18"/>
          <w:lang w:val="en-US"/>
        </w:rPr>
        <w:t xml:space="preserve">of the Charter of the Organization of American States established by the </w:t>
      </w:r>
      <w:r w:rsidR="00852A2E" w:rsidRPr="00610904">
        <w:rPr>
          <w:sz w:val="18"/>
          <w:szCs w:val="18"/>
          <w:lang w:val="en-US"/>
        </w:rPr>
        <w:t>Protocol of</w:t>
      </w:r>
      <w:r w:rsidRPr="00610904">
        <w:rPr>
          <w:sz w:val="18"/>
          <w:szCs w:val="18"/>
          <w:lang w:val="en-US"/>
        </w:rPr>
        <w:t xml:space="preserve"> Buenos Aires.</w:t>
      </w:r>
    </w:p>
    <w:p w:rsidR="003E12DE" w:rsidRPr="00610904" w:rsidRDefault="003E12DE" w:rsidP="00610904">
      <w:pPr>
        <w:pStyle w:val="Estilo4"/>
        <w:numPr>
          <w:ilvl w:val="0"/>
          <w:numId w:val="0"/>
        </w:numPr>
        <w:ind w:left="720"/>
        <w:rPr>
          <w:sz w:val="18"/>
          <w:szCs w:val="18"/>
          <w:lang w:val="en-US"/>
        </w:rPr>
      </w:pPr>
      <w:r w:rsidRPr="00610904">
        <w:rPr>
          <w:sz w:val="18"/>
          <w:szCs w:val="18"/>
          <w:lang w:val="en-US"/>
        </w:rPr>
        <w:t xml:space="preserve">2. </w:t>
      </w:r>
      <w:r w:rsidR="00A4094A" w:rsidRPr="00610904">
        <w:rPr>
          <w:sz w:val="18"/>
          <w:szCs w:val="18"/>
          <w:lang w:val="en-US"/>
        </w:rPr>
        <w:t>The law may exclude public services and essential activities from the right to strike.</w:t>
      </w:r>
    </w:p>
    <w:p w:rsidR="003E12DE" w:rsidRPr="00610904" w:rsidRDefault="00A4094A" w:rsidP="00610904">
      <w:pPr>
        <w:pStyle w:val="Estilo4"/>
        <w:numPr>
          <w:ilvl w:val="0"/>
          <w:numId w:val="0"/>
        </w:numPr>
        <w:ind w:left="360" w:firstLine="360"/>
        <w:rPr>
          <w:sz w:val="18"/>
          <w:szCs w:val="18"/>
          <w:lang w:val="en-US"/>
        </w:rPr>
      </w:pPr>
      <w:r w:rsidRPr="00610904">
        <w:rPr>
          <w:sz w:val="18"/>
          <w:szCs w:val="18"/>
          <w:lang w:val="en-US"/>
        </w:rPr>
        <w:t>Justificatio</w:t>
      </w:r>
      <w:r w:rsidR="003E12DE" w:rsidRPr="00610904">
        <w:rPr>
          <w:sz w:val="18"/>
          <w:szCs w:val="18"/>
          <w:lang w:val="en-US"/>
        </w:rPr>
        <w:t xml:space="preserve">n </w:t>
      </w:r>
    </w:p>
    <w:p w:rsidR="003E12DE" w:rsidRPr="00610904" w:rsidRDefault="00A4094A" w:rsidP="00610904">
      <w:pPr>
        <w:pStyle w:val="Estilo4"/>
        <w:numPr>
          <w:ilvl w:val="0"/>
          <w:numId w:val="0"/>
        </w:numPr>
        <w:spacing w:after="240"/>
        <w:ind w:left="720"/>
        <w:rPr>
          <w:i/>
          <w:sz w:val="18"/>
          <w:szCs w:val="18"/>
          <w:lang w:val="en-US"/>
        </w:rPr>
      </w:pPr>
      <w:r w:rsidRPr="00610904">
        <w:rPr>
          <w:i/>
          <w:sz w:val="18"/>
          <w:szCs w:val="18"/>
          <w:lang w:val="en-US"/>
        </w:rPr>
        <w:t xml:space="preserve">Civil and political rights </w:t>
      </w:r>
      <w:r w:rsidR="00E96420" w:rsidRPr="00610904">
        <w:rPr>
          <w:i/>
          <w:sz w:val="18"/>
          <w:szCs w:val="18"/>
          <w:lang w:val="en-US"/>
        </w:rPr>
        <w:t>require</w:t>
      </w:r>
      <w:r w:rsidR="008E3673" w:rsidRPr="00610904">
        <w:rPr>
          <w:i/>
          <w:sz w:val="18"/>
          <w:szCs w:val="18"/>
          <w:lang w:val="en-US"/>
        </w:rPr>
        <w:t xml:space="preserve"> an effective jurisdictional protection, at both the domestic and the international level, against violations perpetrated by the organs of the State or their representatives. To the contrary, economic, social and cultural rights are included in very diverse ways and to different degrees by the laws of the different States of the Americas, and although the Governments wish to recognize all of them, their exercise depends, above all, on the availability of material resources that permit their implementation. </w:t>
      </w:r>
      <w:r w:rsidR="008E3673" w:rsidRPr="00610904">
        <w:rPr>
          <w:sz w:val="18"/>
          <w:szCs w:val="18"/>
          <w:lang w:val="en-US"/>
        </w:rPr>
        <w:t xml:space="preserve">Article 25 of the draft is inspired by this concept, but its text does not correspond to its intention. The wording of </w:t>
      </w:r>
      <w:r w:rsidR="00A8072E" w:rsidRPr="00610904">
        <w:rPr>
          <w:sz w:val="18"/>
          <w:szCs w:val="18"/>
          <w:lang w:val="en-US"/>
        </w:rPr>
        <w:t>paragraph</w:t>
      </w:r>
      <w:r w:rsidR="008E3673" w:rsidRPr="00610904">
        <w:rPr>
          <w:sz w:val="18"/>
          <w:szCs w:val="18"/>
          <w:lang w:val="en-US"/>
        </w:rPr>
        <w:t xml:space="preserve"> 1 is imprecise, and limited to a statement of intention. Meanwhile,</w:t>
      </w:r>
      <w:r w:rsidR="003E12DE" w:rsidRPr="00610904">
        <w:rPr>
          <w:sz w:val="18"/>
          <w:szCs w:val="18"/>
          <w:lang w:val="en-US"/>
        </w:rPr>
        <w:t xml:space="preserve"> </w:t>
      </w:r>
      <w:r w:rsidR="00A8072E" w:rsidRPr="00610904">
        <w:rPr>
          <w:sz w:val="18"/>
          <w:szCs w:val="18"/>
          <w:lang w:val="en-US"/>
        </w:rPr>
        <w:t>paragraph</w:t>
      </w:r>
      <w:r w:rsidR="003E12DE" w:rsidRPr="00610904">
        <w:rPr>
          <w:sz w:val="18"/>
          <w:szCs w:val="18"/>
          <w:lang w:val="en-US"/>
        </w:rPr>
        <w:t xml:space="preserve"> 2, </w:t>
      </w:r>
      <w:r w:rsidR="008E3673" w:rsidRPr="00610904">
        <w:rPr>
          <w:sz w:val="18"/>
          <w:szCs w:val="18"/>
          <w:lang w:val="en-US"/>
        </w:rPr>
        <w:t xml:space="preserve">by reproducing the content of </w:t>
      </w:r>
      <w:r w:rsidR="00A8072E" w:rsidRPr="00610904">
        <w:rPr>
          <w:sz w:val="18"/>
          <w:szCs w:val="18"/>
          <w:lang w:val="en-US"/>
        </w:rPr>
        <w:t>Article</w:t>
      </w:r>
      <w:r w:rsidR="003E12DE" w:rsidRPr="00610904">
        <w:rPr>
          <w:sz w:val="18"/>
          <w:szCs w:val="18"/>
          <w:lang w:val="en-US"/>
        </w:rPr>
        <w:t xml:space="preserve"> 31 </w:t>
      </w:r>
      <w:r w:rsidR="00882CCC" w:rsidRPr="00610904">
        <w:rPr>
          <w:sz w:val="18"/>
          <w:szCs w:val="18"/>
          <w:lang w:val="en-US"/>
        </w:rPr>
        <w:t>of the Protocol</w:t>
      </w:r>
      <w:r w:rsidR="00852A2E" w:rsidRPr="00610904">
        <w:rPr>
          <w:sz w:val="18"/>
          <w:szCs w:val="18"/>
          <w:lang w:val="en-US"/>
        </w:rPr>
        <w:t xml:space="preserve"> of</w:t>
      </w:r>
      <w:r w:rsidR="003E12DE" w:rsidRPr="00610904">
        <w:rPr>
          <w:sz w:val="18"/>
          <w:szCs w:val="18"/>
          <w:lang w:val="en-US"/>
        </w:rPr>
        <w:t xml:space="preserve"> Buenos Aires</w:t>
      </w:r>
      <w:r w:rsidR="008E3673" w:rsidRPr="00610904">
        <w:rPr>
          <w:sz w:val="18"/>
          <w:szCs w:val="18"/>
          <w:lang w:val="en-US"/>
        </w:rPr>
        <w:t>, forgot the right to strike, which is already established, with certain limitations, by the domestic law of the States of the Americas, as are the norms on education, science and culture established in Article 47 of that Protocol. The purpose of the amendment is to give</w:t>
      </w:r>
      <w:r w:rsidR="00357398" w:rsidRPr="00610904">
        <w:rPr>
          <w:sz w:val="18"/>
          <w:szCs w:val="18"/>
          <w:lang w:val="en-US"/>
        </w:rPr>
        <w:t xml:space="preserve"> economic, social and cultural rights</w:t>
      </w:r>
      <w:r w:rsidR="003E12DE" w:rsidRPr="00610904">
        <w:rPr>
          <w:sz w:val="18"/>
          <w:szCs w:val="18"/>
          <w:lang w:val="en-US"/>
        </w:rPr>
        <w:t xml:space="preserve"> </w:t>
      </w:r>
      <w:r w:rsidR="008E3673" w:rsidRPr="00610904">
        <w:rPr>
          <w:sz w:val="18"/>
          <w:szCs w:val="18"/>
          <w:lang w:val="en-US"/>
        </w:rPr>
        <w:t xml:space="preserve">the maximum protection </w:t>
      </w:r>
      <w:r w:rsidR="003E12DE" w:rsidRPr="00610904">
        <w:rPr>
          <w:sz w:val="18"/>
          <w:szCs w:val="18"/>
          <w:lang w:val="en-US"/>
        </w:rPr>
        <w:t xml:space="preserve">compatible </w:t>
      </w:r>
      <w:r w:rsidR="008E3673" w:rsidRPr="00610904">
        <w:rPr>
          <w:sz w:val="18"/>
          <w:szCs w:val="18"/>
          <w:lang w:val="en-US"/>
        </w:rPr>
        <w:t xml:space="preserve">with the specific conditions in most of the States of the Americas. </w:t>
      </w:r>
    </w:p>
    <w:p w:rsidR="003E12DE" w:rsidRPr="00610904" w:rsidRDefault="008E3673" w:rsidP="00610904">
      <w:pPr>
        <w:pStyle w:val="Estilo4"/>
        <w:numPr>
          <w:ilvl w:val="0"/>
          <w:numId w:val="20"/>
        </w:numPr>
        <w:spacing w:after="160" w:line="259" w:lineRule="auto"/>
        <w:ind w:left="0" w:firstLine="0"/>
        <w:rPr>
          <w:lang w:val="en-US"/>
        </w:rPr>
      </w:pPr>
      <w:r w:rsidRPr="00610904">
        <w:rPr>
          <w:lang w:val="en-US"/>
        </w:rPr>
        <w:t xml:space="preserve">Following discussions, during which some of the preceding positions were repeated without reaching a consensus, and </w:t>
      </w:r>
      <w:r w:rsidR="00E96420" w:rsidRPr="00610904">
        <w:rPr>
          <w:lang w:val="en-US"/>
        </w:rPr>
        <w:t>during which</w:t>
      </w:r>
      <w:r w:rsidRPr="00610904">
        <w:rPr>
          <w:lang w:val="en-US"/>
        </w:rPr>
        <w:t xml:space="preserve"> it</w:t>
      </w:r>
      <w:r w:rsidR="00E96420" w:rsidRPr="00610904">
        <w:rPr>
          <w:lang w:val="en-US"/>
        </w:rPr>
        <w:t xml:space="preserve"> was never</w:t>
      </w:r>
      <w:r w:rsidRPr="00610904">
        <w:rPr>
          <w:lang w:val="en-US"/>
        </w:rPr>
        <w:t xml:space="preserve"> proposed to include </w:t>
      </w:r>
      <w:r w:rsidR="00357398" w:rsidRPr="00610904">
        <w:rPr>
          <w:lang w:val="en-US"/>
        </w:rPr>
        <w:t>economic, social and cultural rights</w:t>
      </w:r>
      <w:r w:rsidR="003E12DE" w:rsidRPr="00610904">
        <w:rPr>
          <w:lang w:val="en-US"/>
        </w:rPr>
        <w:t xml:space="preserve"> </w:t>
      </w:r>
      <w:r w:rsidRPr="00610904">
        <w:rPr>
          <w:lang w:val="en-US"/>
        </w:rPr>
        <w:t xml:space="preserve">under the </w:t>
      </w:r>
      <w:r w:rsidR="00E96420" w:rsidRPr="00610904">
        <w:rPr>
          <w:lang w:val="en-US"/>
        </w:rPr>
        <w:t xml:space="preserve">protection </w:t>
      </w:r>
      <w:r w:rsidR="00163298" w:rsidRPr="00610904">
        <w:rPr>
          <w:lang w:val="en-US"/>
        </w:rPr>
        <w:t xml:space="preserve">system </w:t>
      </w:r>
      <w:r w:rsidR="00E96420" w:rsidRPr="00610904">
        <w:rPr>
          <w:lang w:val="en-US"/>
        </w:rPr>
        <w:t xml:space="preserve">established for </w:t>
      </w:r>
      <w:r w:rsidRPr="00610904">
        <w:rPr>
          <w:lang w:val="en-US"/>
        </w:rPr>
        <w:t xml:space="preserve">civil and political rights, a chapter was drafted with two articles. The first one was the same as </w:t>
      </w:r>
      <w:r w:rsidR="006E502B" w:rsidRPr="00610904">
        <w:rPr>
          <w:lang w:val="en-US"/>
        </w:rPr>
        <w:t>Article</w:t>
      </w:r>
      <w:r w:rsidR="003E12DE" w:rsidRPr="00610904">
        <w:rPr>
          <w:lang w:val="en-US"/>
        </w:rPr>
        <w:t xml:space="preserve"> 26 inclu</w:t>
      </w:r>
      <w:r w:rsidRPr="00610904">
        <w:rPr>
          <w:lang w:val="en-US"/>
        </w:rPr>
        <w:t>ded in the final text</w:t>
      </w:r>
      <w:r w:rsidR="009F3D78" w:rsidRPr="00610904">
        <w:rPr>
          <w:lang w:val="en-US"/>
        </w:rPr>
        <w:t xml:space="preserve"> of the Convention</w:t>
      </w:r>
      <w:r w:rsidR="003E12DE" w:rsidRPr="00610904">
        <w:rPr>
          <w:lang w:val="en-US"/>
        </w:rPr>
        <w:t xml:space="preserve">, </w:t>
      </w:r>
      <w:r w:rsidRPr="00610904">
        <w:rPr>
          <w:lang w:val="en-US"/>
        </w:rPr>
        <w:t xml:space="preserve">while the second one established a </w:t>
      </w:r>
      <w:r w:rsidR="00E96420" w:rsidRPr="00610904">
        <w:rPr>
          <w:lang w:val="en-US"/>
        </w:rPr>
        <w:t>limited</w:t>
      </w:r>
      <w:r w:rsidRPr="00610904">
        <w:rPr>
          <w:lang w:val="en-US"/>
        </w:rPr>
        <w:t xml:space="preserve"> and indirect system of “control of compliance with the obligations.” The part entitled</w:t>
      </w:r>
      <w:r w:rsidR="003E12DE" w:rsidRPr="00610904">
        <w:rPr>
          <w:lang w:val="en-US"/>
        </w:rPr>
        <w:t xml:space="preserve"> “</w:t>
      </w:r>
      <w:r w:rsidR="00A8072E" w:rsidRPr="00610904">
        <w:rPr>
          <w:lang w:val="en-US"/>
        </w:rPr>
        <w:t>Articles</w:t>
      </w:r>
      <w:r w:rsidR="003E12DE" w:rsidRPr="00610904">
        <w:rPr>
          <w:lang w:val="en-US"/>
        </w:rPr>
        <w:t xml:space="preserve"> revis</w:t>
      </w:r>
      <w:r w:rsidRPr="00610904">
        <w:rPr>
          <w:lang w:val="en-US"/>
        </w:rPr>
        <w:t xml:space="preserve">ed by the Style Committee,” includes the text of </w:t>
      </w:r>
      <w:r w:rsidR="009F3D78" w:rsidRPr="00610904">
        <w:rPr>
          <w:lang w:val="en-US"/>
        </w:rPr>
        <w:t>Articles</w:t>
      </w:r>
      <w:r w:rsidR="003E12DE" w:rsidRPr="00610904">
        <w:rPr>
          <w:lang w:val="en-US"/>
        </w:rPr>
        <w:t xml:space="preserve"> 26</w:t>
      </w:r>
      <w:r w:rsidR="009F3D78" w:rsidRPr="00610904">
        <w:rPr>
          <w:lang w:val="en-US"/>
        </w:rPr>
        <w:t xml:space="preserve"> and </w:t>
      </w:r>
      <w:r w:rsidR="003E12DE" w:rsidRPr="00610904">
        <w:rPr>
          <w:lang w:val="en-US"/>
        </w:rPr>
        <w:t xml:space="preserve">27 </w:t>
      </w:r>
      <w:r w:rsidRPr="00610904">
        <w:rPr>
          <w:lang w:val="en-US"/>
        </w:rPr>
        <w:t>that were submitted to a vote:</w:t>
      </w:r>
      <w:r w:rsidR="003E12DE" w:rsidRPr="00610904">
        <w:rPr>
          <w:rStyle w:val="FootnoteReference"/>
          <w:lang w:val="en-US"/>
        </w:rPr>
        <w:footnoteReference w:id="474"/>
      </w:r>
      <w:r w:rsidR="003E12DE" w:rsidRPr="00610904">
        <w:rPr>
          <w:lang w:val="en-US"/>
        </w:rPr>
        <w:t xml:space="preserve"> </w:t>
      </w:r>
    </w:p>
    <w:p w:rsidR="003E12DE" w:rsidRPr="00610904" w:rsidRDefault="00163298" w:rsidP="00610904">
      <w:pPr>
        <w:pStyle w:val="Estilo4"/>
        <w:numPr>
          <w:ilvl w:val="0"/>
          <w:numId w:val="0"/>
        </w:numPr>
        <w:jc w:val="center"/>
        <w:rPr>
          <w:sz w:val="18"/>
          <w:szCs w:val="18"/>
          <w:lang w:val="en-US"/>
        </w:rPr>
      </w:pPr>
      <w:r w:rsidRPr="00610904">
        <w:rPr>
          <w:sz w:val="18"/>
          <w:szCs w:val="18"/>
          <w:lang w:val="en-US"/>
        </w:rPr>
        <w:t>Chapter</w:t>
      </w:r>
      <w:r w:rsidR="003E12DE" w:rsidRPr="00610904">
        <w:rPr>
          <w:sz w:val="18"/>
          <w:szCs w:val="18"/>
          <w:lang w:val="en-US"/>
        </w:rPr>
        <w:t xml:space="preserve"> III</w:t>
      </w:r>
    </w:p>
    <w:p w:rsidR="003E12DE" w:rsidRPr="00610904" w:rsidRDefault="00E50868" w:rsidP="00610904">
      <w:pPr>
        <w:pStyle w:val="Estilo4"/>
        <w:numPr>
          <w:ilvl w:val="0"/>
          <w:numId w:val="0"/>
        </w:numPr>
        <w:jc w:val="center"/>
        <w:rPr>
          <w:sz w:val="18"/>
          <w:szCs w:val="18"/>
          <w:lang w:val="en-US"/>
        </w:rPr>
      </w:pPr>
      <w:r w:rsidRPr="00610904">
        <w:rPr>
          <w:sz w:val="18"/>
          <w:szCs w:val="18"/>
          <w:lang w:val="en-US"/>
        </w:rPr>
        <w:t>ECONOMIC</w:t>
      </w:r>
      <w:r w:rsidR="00E96420" w:rsidRPr="00610904">
        <w:rPr>
          <w:sz w:val="18"/>
          <w:szCs w:val="18"/>
          <w:lang w:val="en-US"/>
        </w:rPr>
        <w:t>,</w:t>
      </w:r>
      <w:r w:rsidRPr="00610904">
        <w:rPr>
          <w:sz w:val="18"/>
          <w:szCs w:val="18"/>
          <w:lang w:val="en-US"/>
        </w:rPr>
        <w:t xml:space="preserve"> SOCIAL AND CULTURAL RIGHTS </w:t>
      </w:r>
    </w:p>
    <w:p w:rsidR="003E12DE" w:rsidRPr="00610904" w:rsidRDefault="00A8072E" w:rsidP="00610904">
      <w:pPr>
        <w:pStyle w:val="Estilo4"/>
        <w:numPr>
          <w:ilvl w:val="0"/>
          <w:numId w:val="0"/>
        </w:numPr>
        <w:ind w:left="720"/>
        <w:rPr>
          <w:sz w:val="18"/>
          <w:szCs w:val="18"/>
          <w:lang w:val="en-US"/>
        </w:rPr>
      </w:pPr>
      <w:proofErr w:type="gramStart"/>
      <w:r w:rsidRPr="00610904">
        <w:rPr>
          <w:sz w:val="18"/>
          <w:szCs w:val="18"/>
          <w:lang w:val="en-US"/>
        </w:rPr>
        <w:t>Article</w:t>
      </w:r>
      <w:r w:rsidR="003E12DE" w:rsidRPr="00610904">
        <w:rPr>
          <w:sz w:val="18"/>
          <w:szCs w:val="18"/>
          <w:lang w:val="en-US"/>
        </w:rPr>
        <w:t xml:space="preserve"> 26.</w:t>
      </w:r>
      <w:proofErr w:type="gramEnd"/>
      <w:r w:rsidR="003E12DE" w:rsidRPr="00610904">
        <w:rPr>
          <w:sz w:val="18"/>
          <w:szCs w:val="18"/>
          <w:lang w:val="en-US"/>
        </w:rPr>
        <w:tab/>
      </w:r>
      <w:r w:rsidR="008E3673" w:rsidRPr="00610904">
        <w:rPr>
          <w:sz w:val="18"/>
          <w:szCs w:val="18"/>
          <w:lang w:val="en-US"/>
        </w:rPr>
        <w:t>Progressive D</w:t>
      </w:r>
      <w:r w:rsidR="00E50868" w:rsidRPr="00610904">
        <w:rPr>
          <w:sz w:val="18"/>
          <w:szCs w:val="18"/>
          <w:lang w:val="en-US"/>
        </w:rPr>
        <w:t>evelopment</w:t>
      </w:r>
    </w:p>
    <w:p w:rsidR="008E3673" w:rsidRPr="00610904" w:rsidRDefault="008E3673" w:rsidP="00610904">
      <w:pPr>
        <w:pStyle w:val="Estilo4"/>
        <w:numPr>
          <w:ilvl w:val="0"/>
          <w:numId w:val="0"/>
        </w:numPr>
        <w:ind w:left="720"/>
        <w:rPr>
          <w:sz w:val="18"/>
          <w:szCs w:val="18"/>
          <w:lang w:val="en-US"/>
        </w:rPr>
      </w:pPr>
      <w:r w:rsidRPr="00610904">
        <w:rPr>
          <w:spacing w:val="-3"/>
          <w:sz w:val="18"/>
          <w:szCs w:val="18"/>
          <w:lang w:val="en-US"/>
        </w:rPr>
        <w:t xml:space="preserve">The States Parties undertake to adopt measures, both internally and through international cooperation, especially those of an economic and technical nature, with a view to achieving progressively, by legislation or other appropriate means and in keeping with the resources available, the full realization of the rights implicit in the economic, social, educational, scientific, and cultural standards set forth in the Charter of the Organization of American States as amended by the Protocol of Buenos Aires, </w:t>
      </w:r>
    </w:p>
    <w:p w:rsidR="003E12DE" w:rsidRPr="00610904" w:rsidRDefault="00A8072E" w:rsidP="00610904">
      <w:pPr>
        <w:pStyle w:val="Estilo4"/>
        <w:numPr>
          <w:ilvl w:val="0"/>
          <w:numId w:val="0"/>
        </w:numPr>
        <w:ind w:left="720"/>
        <w:rPr>
          <w:sz w:val="18"/>
          <w:szCs w:val="18"/>
          <w:lang w:val="en-US"/>
        </w:rPr>
      </w:pPr>
      <w:proofErr w:type="gramStart"/>
      <w:r w:rsidRPr="00610904">
        <w:rPr>
          <w:sz w:val="18"/>
          <w:szCs w:val="18"/>
          <w:lang w:val="en-US"/>
        </w:rPr>
        <w:t>Article</w:t>
      </w:r>
      <w:r w:rsidR="008E3673" w:rsidRPr="00610904">
        <w:rPr>
          <w:sz w:val="18"/>
          <w:szCs w:val="18"/>
          <w:lang w:val="en-US"/>
        </w:rPr>
        <w:t xml:space="preserve"> 27.</w:t>
      </w:r>
      <w:proofErr w:type="gramEnd"/>
      <w:r w:rsidR="008E3673" w:rsidRPr="00610904">
        <w:rPr>
          <w:sz w:val="18"/>
          <w:szCs w:val="18"/>
          <w:lang w:val="en-US"/>
        </w:rPr>
        <w:tab/>
        <w:t>Control of Compliance with Obligations</w:t>
      </w:r>
    </w:p>
    <w:p w:rsidR="008E3673" w:rsidRPr="00610904" w:rsidRDefault="00357398" w:rsidP="00610904">
      <w:pPr>
        <w:pStyle w:val="Estilo4"/>
        <w:numPr>
          <w:ilvl w:val="0"/>
          <w:numId w:val="0"/>
        </w:numPr>
        <w:spacing w:after="240"/>
        <w:ind w:left="720"/>
        <w:rPr>
          <w:sz w:val="18"/>
          <w:szCs w:val="18"/>
          <w:lang w:val="en-US"/>
        </w:rPr>
      </w:pPr>
      <w:r w:rsidRPr="00610904">
        <w:rPr>
          <w:sz w:val="18"/>
          <w:szCs w:val="18"/>
          <w:lang w:val="en-US"/>
        </w:rPr>
        <w:t>The States Parties</w:t>
      </w:r>
      <w:r w:rsidR="003E12DE" w:rsidRPr="00610904">
        <w:rPr>
          <w:sz w:val="18"/>
          <w:szCs w:val="18"/>
          <w:lang w:val="en-US"/>
        </w:rPr>
        <w:t xml:space="preserve"> </w:t>
      </w:r>
      <w:r w:rsidR="008E3673" w:rsidRPr="00610904">
        <w:rPr>
          <w:sz w:val="18"/>
          <w:szCs w:val="18"/>
          <w:lang w:val="en-US"/>
        </w:rPr>
        <w:t xml:space="preserve">shall transmit to </w:t>
      </w:r>
      <w:r w:rsidR="002F5BBA" w:rsidRPr="00610904">
        <w:rPr>
          <w:sz w:val="18"/>
          <w:szCs w:val="18"/>
          <w:lang w:val="en-US"/>
        </w:rPr>
        <w:t>the Inter-American Commission on Human Rights</w:t>
      </w:r>
      <w:r w:rsidR="003E12DE" w:rsidRPr="00610904">
        <w:rPr>
          <w:sz w:val="18"/>
          <w:szCs w:val="18"/>
          <w:lang w:val="en-US"/>
        </w:rPr>
        <w:t xml:space="preserve"> </w:t>
      </w:r>
      <w:r w:rsidR="008E3673" w:rsidRPr="00610904">
        <w:rPr>
          <w:sz w:val="18"/>
          <w:szCs w:val="18"/>
          <w:lang w:val="en-US"/>
        </w:rPr>
        <w:t>a copy of t</w:t>
      </w:r>
      <w:r w:rsidR="00E96420" w:rsidRPr="00610904">
        <w:rPr>
          <w:sz w:val="18"/>
          <w:szCs w:val="18"/>
          <w:lang w:val="en-US"/>
        </w:rPr>
        <w:t xml:space="preserve">he reports and studies that they </w:t>
      </w:r>
      <w:r w:rsidR="008E3673" w:rsidRPr="00610904">
        <w:rPr>
          <w:sz w:val="18"/>
          <w:szCs w:val="18"/>
          <w:lang w:val="en-US"/>
        </w:rPr>
        <w:t xml:space="preserve">submit every year to the Executive Committees </w:t>
      </w:r>
      <w:r w:rsidR="00E96420" w:rsidRPr="00610904">
        <w:rPr>
          <w:sz w:val="18"/>
          <w:szCs w:val="18"/>
          <w:lang w:val="en-US"/>
        </w:rPr>
        <w:t>of</w:t>
      </w:r>
      <w:r w:rsidR="008E3673" w:rsidRPr="00610904">
        <w:rPr>
          <w:sz w:val="18"/>
          <w:szCs w:val="18"/>
          <w:lang w:val="en-US"/>
        </w:rPr>
        <w:t xml:space="preserve"> the Inter-American Economic and Social Council and </w:t>
      </w:r>
      <w:r w:rsidR="00E96420" w:rsidRPr="00610904">
        <w:rPr>
          <w:sz w:val="18"/>
          <w:szCs w:val="18"/>
          <w:lang w:val="en-US"/>
        </w:rPr>
        <w:t xml:space="preserve">of </w:t>
      </w:r>
      <w:r w:rsidR="008E3673" w:rsidRPr="00610904">
        <w:rPr>
          <w:sz w:val="18"/>
          <w:szCs w:val="18"/>
          <w:lang w:val="en-US"/>
        </w:rPr>
        <w:t xml:space="preserve">the Inter-American Council for Education, Science and Culture, </w:t>
      </w:r>
      <w:r w:rsidR="00E96420" w:rsidRPr="00610904">
        <w:rPr>
          <w:sz w:val="18"/>
          <w:szCs w:val="18"/>
          <w:lang w:val="en-US"/>
        </w:rPr>
        <w:t>respectively, so that the Commission</w:t>
      </w:r>
      <w:r w:rsidR="008E3673" w:rsidRPr="00610904">
        <w:rPr>
          <w:sz w:val="18"/>
          <w:szCs w:val="18"/>
          <w:lang w:val="en-US"/>
        </w:rPr>
        <w:t xml:space="preserve"> may verify compliance with the preceding obligations, which </w:t>
      </w:r>
      <w:r w:rsidR="00E96420" w:rsidRPr="00610904">
        <w:rPr>
          <w:sz w:val="18"/>
          <w:szCs w:val="18"/>
          <w:lang w:val="en-US"/>
        </w:rPr>
        <w:t>provide the essential foundation</w:t>
      </w:r>
      <w:r w:rsidR="006650DF" w:rsidRPr="00610904">
        <w:rPr>
          <w:sz w:val="18"/>
          <w:szCs w:val="18"/>
          <w:lang w:val="en-US"/>
        </w:rPr>
        <w:t xml:space="preserve"> for the exercise of the other rights established in this Convention.</w:t>
      </w:r>
    </w:p>
    <w:p w:rsidR="003E12DE" w:rsidRPr="00610904" w:rsidRDefault="006650DF" w:rsidP="00610904">
      <w:pPr>
        <w:pStyle w:val="Estilo4"/>
        <w:numPr>
          <w:ilvl w:val="0"/>
          <w:numId w:val="20"/>
        </w:numPr>
        <w:spacing w:after="160" w:line="259" w:lineRule="auto"/>
        <w:ind w:left="0" w:firstLine="0"/>
        <w:rPr>
          <w:lang w:val="en-US"/>
        </w:rPr>
      </w:pPr>
      <w:r w:rsidRPr="00610904">
        <w:rPr>
          <w:lang w:val="en-US"/>
        </w:rPr>
        <w:lastRenderedPageBreak/>
        <w:t>In the second plenary session,</w:t>
      </w:r>
      <w:r w:rsidR="003E12DE" w:rsidRPr="00610904">
        <w:rPr>
          <w:rStyle w:val="FootnoteReference"/>
          <w:lang w:val="en-US"/>
        </w:rPr>
        <w:footnoteReference w:id="475"/>
      </w:r>
      <w:r w:rsidR="003E12DE" w:rsidRPr="00610904">
        <w:rPr>
          <w:lang w:val="en-US"/>
        </w:rPr>
        <w:t xml:space="preserve"> </w:t>
      </w:r>
      <w:r w:rsidRPr="00610904">
        <w:rPr>
          <w:lang w:val="en-US"/>
        </w:rPr>
        <w:t>the following decision was taken:</w:t>
      </w:r>
    </w:p>
    <w:p w:rsidR="006650DF" w:rsidRPr="00610904" w:rsidRDefault="00A8072E" w:rsidP="00610904">
      <w:pPr>
        <w:tabs>
          <w:tab w:val="left" w:pos="3969"/>
        </w:tabs>
        <w:kinsoku w:val="0"/>
        <w:overflowPunct w:val="0"/>
        <w:spacing w:line="230" w:lineRule="exact"/>
        <w:ind w:left="720" w:right="216"/>
        <w:textAlignment w:val="baseline"/>
        <w:rPr>
          <w:rFonts w:cs="Times New Roman"/>
          <w:noProof w:val="0"/>
          <w:sz w:val="18"/>
          <w:szCs w:val="18"/>
          <w:lang w:val="en-US"/>
        </w:rPr>
      </w:pPr>
      <w:r w:rsidRPr="00610904">
        <w:rPr>
          <w:rFonts w:cs="Times New Roman"/>
          <w:noProof w:val="0"/>
          <w:sz w:val="18"/>
          <w:szCs w:val="18"/>
          <w:lang w:val="en-US"/>
        </w:rPr>
        <w:t>Article</w:t>
      </w:r>
      <w:r w:rsidR="003E12DE" w:rsidRPr="00610904">
        <w:rPr>
          <w:rFonts w:cs="Times New Roman"/>
          <w:noProof w:val="0"/>
          <w:sz w:val="18"/>
          <w:szCs w:val="18"/>
          <w:lang w:val="en-US"/>
        </w:rPr>
        <w:t xml:space="preserve"> 26 </w:t>
      </w:r>
      <w:r w:rsidR="006650DF" w:rsidRPr="00610904">
        <w:rPr>
          <w:rFonts w:cs="Times New Roman"/>
          <w:noProof w:val="0"/>
          <w:sz w:val="18"/>
          <w:szCs w:val="18"/>
          <w:lang w:val="en-US"/>
        </w:rPr>
        <w:t>is adopted without any change, and a</w:t>
      </w:r>
      <w:r w:rsidRPr="00610904">
        <w:rPr>
          <w:rFonts w:cs="Times New Roman"/>
          <w:noProof w:val="0"/>
          <w:sz w:val="18"/>
          <w:szCs w:val="18"/>
          <w:lang w:val="en-US"/>
        </w:rPr>
        <w:t>rticle</w:t>
      </w:r>
      <w:r w:rsidR="003E12DE" w:rsidRPr="00610904">
        <w:rPr>
          <w:rFonts w:cs="Times New Roman"/>
          <w:noProof w:val="0"/>
          <w:sz w:val="18"/>
          <w:szCs w:val="18"/>
          <w:lang w:val="en-US"/>
        </w:rPr>
        <w:t xml:space="preserve"> 27</w:t>
      </w:r>
      <w:r w:rsidR="006650DF" w:rsidRPr="00610904">
        <w:rPr>
          <w:rFonts w:cs="Times New Roman"/>
          <w:noProof w:val="0"/>
          <w:sz w:val="18"/>
          <w:szCs w:val="18"/>
          <w:lang w:val="en-US"/>
        </w:rPr>
        <w:t xml:space="preserve"> is </w:t>
      </w:r>
      <w:r w:rsidR="00856968" w:rsidRPr="00610904">
        <w:rPr>
          <w:rFonts w:cs="Times New Roman"/>
          <w:noProof w:val="0"/>
          <w:sz w:val="18"/>
          <w:szCs w:val="18"/>
          <w:lang w:val="en-US"/>
        </w:rPr>
        <w:t>eliminated</w:t>
      </w:r>
      <w:r w:rsidR="006650DF" w:rsidRPr="00610904">
        <w:rPr>
          <w:rFonts w:cs="Times New Roman"/>
          <w:noProof w:val="0"/>
          <w:sz w:val="18"/>
          <w:szCs w:val="18"/>
          <w:lang w:val="en-US"/>
        </w:rPr>
        <w:t>. The numbering of the following articles is amended accordingly.</w:t>
      </w:r>
    </w:p>
    <w:p w:rsidR="006650DF" w:rsidRPr="00610904" w:rsidRDefault="006650DF" w:rsidP="00610904">
      <w:pPr>
        <w:tabs>
          <w:tab w:val="left" w:pos="3969"/>
        </w:tabs>
        <w:kinsoku w:val="0"/>
        <w:overflowPunct w:val="0"/>
        <w:spacing w:line="230" w:lineRule="exact"/>
        <w:ind w:left="720" w:right="216"/>
        <w:textAlignment w:val="baseline"/>
        <w:rPr>
          <w:rFonts w:cs="Times New Roman"/>
          <w:noProof w:val="0"/>
          <w:sz w:val="18"/>
          <w:szCs w:val="18"/>
          <w:lang w:val="en-US"/>
        </w:rPr>
      </w:pPr>
    </w:p>
    <w:p w:rsidR="006650DF" w:rsidRPr="00610904" w:rsidRDefault="006650DF" w:rsidP="00610904">
      <w:pPr>
        <w:pStyle w:val="Estilo4"/>
        <w:numPr>
          <w:ilvl w:val="0"/>
          <w:numId w:val="0"/>
        </w:numPr>
        <w:spacing w:after="300"/>
        <w:rPr>
          <w:i/>
          <w:lang w:val="en-US"/>
        </w:rPr>
      </w:pPr>
      <w:r w:rsidRPr="00610904">
        <w:rPr>
          <w:lang w:val="en-US"/>
        </w:rPr>
        <w:t xml:space="preserve">Thus, </w:t>
      </w:r>
      <w:r w:rsidRPr="00610904">
        <w:rPr>
          <w:i/>
          <w:lang w:val="en-US"/>
        </w:rPr>
        <w:t xml:space="preserve">at no time was it proposed to include the economic, social and cultural rights </w:t>
      </w:r>
      <w:r w:rsidR="001359E5" w:rsidRPr="00610904">
        <w:rPr>
          <w:i/>
          <w:lang w:val="en-US"/>
        </w:rPr>
        <w:t>u</w:t>
      </w:r>
      <w:r w:rsidRPr="00610904">
        <w:rPr>
          <w:i/>
          <w:lang w:val="en-US"/>
        </w:rPr>
        <w:t xml:space="preserve">nder the </w:t>
      </w:r>
      <w:r w:rsidR="00163298" w:rsidRPr="00610904">
        <w:rPr>
          <w:i/>
          <w:lang w:val="en-US"/>
        </w:rPr>
        <w:t>system of protection</w:t>
      </w:r>
      <w:r w:rsidR="003E12DE" w:rsidRPr="00610904">
        <w:rPr>
          <w:i/>
          <w:lang w:val="en-US"/>
        </w:rPr>
        <w:t xml:space="preserve"> </w:t>
      </w:r>
      <w:r w:rsidRPr="00610904">
        <w:rPr>
          <w:i/>
          <w:lang w:val="en-US"/>
        </w:rPr>
        <w:t>established by</w:t>
      </w:r>
      <w:r w:rsidR="003E12DE" w:rsidRPr="00610904">
        <w:rPr>
          <w:i/>
          <w:lang w:val="en-US"/>
        </w:rPr>
        <w:t xml:space="preserve"> </w:t>
      </w:r>
      <w:r w:rsidR="009F3D78" w:rsidRPr="00610904">
        <w:rPr>
          <w:i/>
          <w:lang w:val="en-US"/>
        </w:rPr>
        <w:t>the Convention</w:t>
      </w:r>
      <w:r w:rsidR="003E12DE" w:rsidRPr="00610904">
        <w:rPr>
          <w:i/>
          <w:lang w:val="en-US"/>
        </w:rPr>
        <w:t xml:space="preserve">, </w:t>
      </w:r>
      <w:r w:rsidRPr="00610904">
        <w:rPr>
          <w:i/>
          <w:lang w:val="en-US"/>
        </w:rPr>
        <w:t>which remained limited to the civil and political rights recognized therein</w:t>
      </w:r>
      <w:r w:rsidR="003E12DE" w:rsidRPr="00610904">
        <w:rPr>
          <w:i/>
          <w:lang w:val="en-US"/>
        </w:rPr>
        <w:t>.</w:t>
      </w:r>
    </w:p>
    <w:p w:rsidR="003E12DE" w:rsidRPr="00610904" w:rsidRDefault="006E502B" w:rsidP="00610904">
      <w:pPr>
        <w:pStyle w:val="Estilo1"/>
        <w:keepNext/>
        <w:numPr>
          <w:ilvl w:val="0"/>
          <w:numId w:val="19"/>
        </w:numPr>
        <w:spacing w:after="200"/>
        <w:ind w:left="0" w:right="0" w:firstLine="0"/>
        <w:rPr>
          <w:b/>
          <w:noProof w:val="0"/>
          <w:szCs w:val="20"/>
          <w:lang w:val="en-US"/>
        </w:rPr>
      </w:pPr>
      <w:r w:rsidRPr="00610904">
        <w:rPr>
          <w:b/>
          <w:noProof w:val="0"/>
          <w:szCs w:val="20"/>
          <w:lang w:val="en-US"/>
        </w:rPr>
        <w:t>CONCLUSIONS</w:t>
      </w:r>
    </w:p>
    <w:p w:rsidR="003E12DE" w:rsidRPr="00610904" w:rsidRDefault="00E50868" w:rsidP="00610904">
      <w:pPr>
        <w:pStyle w:val="Estilo4"/>
        <w:numPr>
          <w:ilvl w:val="0"/>
          <w:numId w:val="20"/>
        </w:numPr>
        <w:spacing w:after="200"/>
        <w:ind w:left="0" w:firstLine="0"/>
        <w:rPr>
          <w:lang w:val="en-US"/>
        </w:rPr>
      </w:pPr>
      <w:r w:rsidRPr="00610904">
        <w:rPr>
          <w:lang w:val="en-US"/>
        </w:rPr>
        <w:t>In conclusio</w:t>
      </w:r>
      <w:r w:rsidR="003E12DE" w:rsidRPr="00610904">
        <w:rPr>
          <w:lang w:val="en-US"/>
        </w:rPr>
        <w:t xml:space="preserve">n, </w:t>
      </w:r>
      <w:r w:rsidR="001359E5" w:rsidRPr="00610904">
        <w:rPr>
          <w:lang w:val="en-US"/>
        </w:rPr>
        <w:t>ne</w:t>
      </w:r>
      <w:r w:rsidRPr="00610904">
        <w:rPr>
          <w:lang w:val="en-US"/>
        </w:rPr>
        <w:t>ither the specific recognition of</w:t>
      </w:r>
      <w:r w:rsidR="003E12DE" w:rsidRPr="00610904">
        <w:rPr>
          <w:lang w:val="en-US"/>
        </w:rPr>
        <w:t xml:space="preserve"> </w:t>
      </w:r>
      <w:r w:rsidR="00357398" w:rsidRPr="00610904">
        <w:rPr>
          <w:lang w:val="en-US"/>
        </w:rPr>
        <w:t>the economic, social and cultural rights</w:t>
      </w:r>
      <w:r w:rsidR="003E12DE" w:rsidRPr="00610904">
        <w:rPr>
          <w:lang w:val="en-US"/>
        </w:rPr>
        <w:t xml:space="preserve"> </w:t>
      </w:r>
      <w:r w:rsidR="001359E5" w:rsidRPr="00610904">
        <w:rPr>
          <w:lang w:val="en-US"/>
        </w:rPr>
        <w:t>n</w:t>
      </w:r>
      <w:r w:rsidRPr="00610904">
        <w:rPr>
          <w:lang w:val="en-US"/>
        </w:rPr>
        <w:t xml:space="preserve">or their inclusion in the </w:t>
      </w:r>
      <w:r w:rsidR="00163298" w:rsidRPr="00610904">
        <w:rPr>
          <w:lang w:val="en-US"/>
        </w:rPr>
        <w:t>system of protection</w:t>
      </w:r>
      <w:r w:rsidR="003E12DE" w:rsidRPr="00610904">
        <w:rPr>
          <w:lang w:val="en-US"/>
        </w:rPr>
        <w:t xml:space="preserve"> </w:t>
      </w:r>
      <w:r w:rsidRPr="00610904">
        <w:rPr>
          <w:lang w:val="en-US"/>
        </w:rPr>
        <w:t>established by</w:t>
      </w:r>
      <w:r w:rsidR="003E12DE" w:rsidRPr="00610904">
        <w:rPr>
          <w:lang w:val="en-US"/>
        </w:rPr>
        <w:t xml:space="preserve"> </w:t>
      </w:r>
      <w:r w:rsidR="009F3D78" w:rsidRPr="00610904">
        <w:rPr>
          <w:lang w:val="en-US"/>
        </w:rPr>
        <w:t>the Convention</w:t>
      </w:r>
      <w:r w:rsidR="001359E5" w:rsidRPr="00610904">
        <w:rPr>
          <w:lang w:val="en-US"/>
        </w:rPr>
        <w:t xml:space="preserve"> can be inferred from Article 26 of the American Convention</w:t>
      </w:r>
      <w:r w:rsidR="003E12DE" w:rsidRPr="00610904">
        <w:rPr>
          <w:lang w:val="en-US"/>
        </w:rPr>
        <w:t xml:space="preserve">. </w:t>
      </w:r>
      <w:r w:rsidRPr="00610904">
        <w:rPr>
          <w:lang w:val="en-US"/>
        </w:rPr>
        <w:t xml:space="preserve">The recognition of other rights and their inclusion in the </w:t>
      </w:r>
      <w:r w:rsidR="00163298" w:rsidRPr="00610904">
        <w:rPr>
          <w:lang w:val="en-US"/>
        </w:rPr>
        <w:t>system of protection</w:t>
      </w:r>
      <w:r w:rsidR="003E12DE" w:rsidRPr="00610904">
        <w:rPr>
          <w:lang w:val="en-US"/>
        </w:rPr>
        <w:t xml:space="preserve"> </w:t>
      </w:r>
      <w:r w:rsidRPr="00610904">
        <w:rPr>
          <w:lang w:val="en-US"/>
        </w:rPr>
        <w:t xml:space="preserve">does not correspond to </w:t>
      </w:r>
      <w:r w:rsidR="009F3D78" w:rsidRPr="00610904">
        <w:rPr>
          <w:lang w:val="en-US"/>
        </w:rPr>
        <w:t>the Court</w:t>
      </w:r>
      <w:r w:rsidRPr="00610904">
        <w:rPr>
          <w:lang w:val="en-US"/>
        </w:rPr>
        <w:t xml:space="preserve">, but rather to the Member States by means of amendments </w:t>
      </w:r>
      <w:r w:rsidR="003E12DE" w:rsidRPr="00610904">
        <w:rPr>
          <w:lang w:val="en-US"/>
        </w:rPr>
        <w:t>(</w:t>
      </w:r>
      <w:r w:rsidR="00A8072E" w:rsidRPr="00610904">
        <w:rPr>
          <w:lang w:val="en-US"/>
        </w:rPr>
        <w:t>Article</w:t>
      </w:r>
      <w:r w:rsidR="003E12DE" w:rsidRPr="00610904">
        <w:rPr>
          <w:lang w:val="en-US"/>
        </w:rPr>
        <w:t xml:space="preserve"> 76) </w:t>
      </w:r>
      <w:r w:rsidRPr="00610904">
        <w:rPr>
          <w:lang w:val="en-US"/>
        </w:rPr>
        <w:t>or protocols</w:t>
      </w:r>
      <w:r w:rsidR="003E12DE" w:rsidRPr="00610904">
        <w:rPr>
          <w:lang w:val="en-US"/>
        </w:rPr>
        <w:t xml:space="preserve"> (</w:t>
      </w:r>
      <w:r w:rsidR="00A8072E" w:rsidRPr="00610904">
        <w:rPr>
          <w:lang w:val="en-US"/>
        </w:rPr>
        <w:t>Article</w:t>
      </w:r>
      <w:r w:rsidR="003E12DE" w:rsidRPr="00610904">
        <w:rPr>
          <w:lang w:val="en-US"/>
        </w:rPr>
        <w:t xml:space="preserve"> 77) </w:t>
      </w:r>
      <w:r w:rsidRPr="00610904">
        <w:rPr>
          <w:lang w:val="en-US"/>
        </w:rPr>
        <w:t xml:space="preserve">that apply </w:t>
      </w:r>
      <w:r w:rsidR="009F3D78" w:rsidRPr="00610904">
        <w:rPr>
          <w:lang w:val="en-US"/>
        </w:rPr>
        <w:t>Article</w:t>
      </w:r>
      <w:r w:rsidR="003E12DE" w:rsidRPr="00610904">
        <w:rPr>
          <w:lang w:val="en-US"/>
        </w:rPr>
        <w:t xml:space="preserve"> 31.</w:t>
      </w:r>
    </w:p>
    <w:p w:rsidR="00E50868" w:rsidRPr="00610904" w:rsidRDefault="00E50868" w:rsidP="00610904">
      <w:pPr>
        <w:pStyle w:val="Estilo4"/>
        <w:numPr>
          <w:ilvl w:val="0"/>
          <w:numId w:val="20"/>
        </w:numPr>
        <w:spacing w:after="160"/>
        <w:ind w:left="0" w:firstLine="0"/>
        <w:rPr>
          <w:lang w:val="en-US"/>
        </w:rPr>
      </w:pPr>
      <w:r w:rsidRPr="00610904">
        <w:rPr>
          <w:lang w:val="en-US"/>
        </w:rPr>
        <w:t xml:space="preserve">This is not a case in which the Court can make a legitimate progressive interpretation in which it defines or varies the way in which a right or freedom recognized by the Convention should be understood. The </w:t>
      </w:r>
      <w:r w:rsidRPr="00610904">
        <w:rPr>
          <w:i/>
          <w:lang w:val="en-US"/>
        </w:rPr>
        <w:t xml:space="preserve">compétence de la compétence </w:t>
      </w:r>
      <w:r w:rsidRPr="00610904">
        <w:rPr>
          <w:lang w:val="en-US"/>
        </w:rPr>
        <w:t>does not allow the Court to modify its own competence, but rather to decide in each specific case, and pursuant to the pertinent norms, whether or not it has competence in that case.</w:t>
      </w:r>
    </w:p>
    <w:p w:rsidR="003E12DE" w:rsidRPr="00610904" w:rsidRDefault="00E50868" w:rsidP="00610904">
      <w:pPr>
        <w:pStyle w:val="Estilo4"/>
        <w:numPr>
          <w:ilvl w:val="0"/>
          <w:numId w:val="20"/>
        </w:numPr>
        <w:spacing w:after="160"/>
        <w:ind w:left="0" w:firstLine="0"/>
        <w:rPr>
          <w:lang w:val="en-US"/>
        </w:rPr>
      </w:pPr>
      <w:r w:rsidRPr="00610904">
        <w:rPr>
          <w:lang w:val="en-US"/>
        </w:rPr>
        <w:t xml:space="preserve">Consequently, it is not incumbent on the Court to consider, and eventually declare, a violation </w:t>
      </w:r>
      <w:r w:rsidR="00EF508D" w:rsidRPr="00610904">
        <w:rPr>
          <w:lang w:val="en-US"/>
        </w:rPr>
        <w:t>of the right to</w:t>
      </w:r>
      <w:r w:rsidR="003E12DE" w:rsidRPr="00610904">
        <w:rPr>
          <w:lang w:val="en-US"/>
        </w:rPr>
        <w:t xml:space="preserve"> </w:t>
      </w:r>
      <w:r w:rsidRPr="00610904">
        <w:rPr>
          <w:lang w:val="en-US"/>
        </w:rPr>
        <w:t>health.</w:t>
      </w:r>
    </w:p>
    <w:p w:rsidR="003E12DE" w:rsidRPr="00610904" w:rsidRDefault="003E12DE" w:rsidP="00610904">
      <w:pPr>
        <w:pStyle w:val="Estilo4"/>
        <w:numPr>
          <w:ilvl w:val="0"/>
          <w:numId w:val="0"/>
        </w:numPr>
        <w:rPr>
          <w:lang w:val="en-US"/>
        </w:rPr>
      </w:pPr>
    </w:p>
    <w:p w:rsidR="003E12DE" w:rsidRPr="00610904" w:rsidRDefault="003E12DE" w:rsidP="00610904">
      <w:pPr>
        <w:pStyle w:val="Estilo4"/>
        <w:numPr>
          <w:ilvl w:val="0"/>
          <w:numId w:val="0"/>
        </w:numPr>
        <w:rPr>
          <w:i/>
          <w:lang w:val="en-US"/>
        </w:rPr>
      </w:pPr>
    </w:p>
    <w:p w:rsidR="003E12DE" w:rsidRPr="0051351F" w:rsidRDefault="003E12DE" w:rsidP="00610904">
      <w:pPr>
        <w:widowControl w:val="0"/>
        <w:adjustRightInd w:val="0"/>
        <w:ind w:left="5041"/>
        <w:jc w:val="center"/>
        <w:rPr>
          <w:rFonts w:eastAsia="Times New Roman" w:cs="Times New Roman"/>
          <w:noProof w:val="0"/>
          <w:spacing w:val="-4"/>
          <w:szCs w:val="20"/>
          <w:lang w:eastAsia="es-CR"/>
        </w:rPr>
      </w:pPr>
      <w:r w:rsidRPr="0051351F">
        <w:rPr>
          <w:rFonts w:eastAsia="Times New Roman" w:cs="Times New Roman"/>
          <w:noProof w:val="0"/>
          <w:spacing w:val="-4"/>
          <w:szCs w:val="20"/>
          <w:lang w:eastAsia="es-CR"/>
        </w:rPr>
        <w:t>Alberto Pérez Pérez</w:t>
      </w:r>
    </w:p>
    <w:p w:rsidR="003E12DE" w:rsidRPr="0051351F" w:rsidRDefault="009F3D78" w:rsidP="00610904">
      <w:pPr>
        <w:widowControl w:val="0"/>
        <w:adjustRightInd w:val="0"/>
        <w:ind w:left="5041"/>
        <w:jc w:val="center"/>
        <w:rPr>
          <w:rFonts w:eastAsia="Times New Roman" w:cs="Times New Roman"/>
          <w:noProof w:val="0"/>
          <w:spacing w:val="-4"/>
          <w:szCs w:val="20"/>
          <w:lang w:eastAsia="es-CR"/>
        </w:rPr>
      </w:pPr>
      <w:r w:rsidRPr="0051351F">
        <w:rPr>
          <w:rFonts w:eastAsia="Times New Roman" w:cs="Times New Roman"/>
          <w:noProof w:val="0"/>
          <w:spacing w:val="-4"/>
          <w:szCs w:val="20"/>
          <w:lang w:eastAsia="es-CR"/>
        </w:rPr>
        <w:t>Judge</w:t>
      </w:r>
    </w:p>
    <w:p w:rsidR="003E12DE" w:rsidRPr="0051351F" w:rsidRDefault="003E12DE" w:rsidP="00610904">
      <w:pPr>
        <w:pStyle w:val="Estilo4"/>
        <w:numPr>
          <w:ilvl w:val="0"/>
          <w:numId w:val="0"/>
        </w:numPr>
        <w:rPr>
          <w:i/>
        </w:rPr>
      </w:pPr>
    </w:p>
    <w:p w:rsidR="003E12DE" w:rsidRPr="0051351F" w:rsidRDefault="003E12DE" w:rsidP="00610904">
      <w:pPr>
        <w:pStyle w:val="Estilo4"/>
        <w:numPr>
          <w:ilvl w:val="0"/>
          <w:numId w:val="0"/>
        </w:numPr>
        <w:rPr>
          <w:i/>
        </w:rPr>
      </w:pPr>
    </w:p>
    <w:p w:rsidR="003E12DE" w:rsidRPr="0051351F" w:rsidRDefault="003E12DE" w:rsidP="00610904">
      <w:pPr>
        <w:pStyle w:val="Estilo4"/>
        <w:numPr>
          <w:ilvl w:val="0"/>
          <w:numId w:val="0"/>
        </w:numPr>
        <w:rPr>
          <w:i/>
        </w:rPr>
      </w:pPr>
    </w:p>
    <w:p w:rsidR="003E12DE" w:rsidRPr="0051351F" w:rsidRDefault="003E12DE" w:rsidP="00610904">
      <w:pPr>
        <w:widowControl w:val="0"/>
        <w:adjustRightInd w:val="0"/>
        <w:rPr>
          <w:rFonts w:eastAsia="Times New Roman" w:cs="Verdana"/>
          <w:noProof w:val="0"/>
          <w:spacing w:val="-4"/>
          <w:szCs w:val="20"/>
          <w:lang w:eastAsia="es-CR"/>
        </w:rPr>
      </w:pPr>
      <w:r w:rsidRPr="0051351F">
        <w:rPr>
          <w:rFonts w:eastAsia="Times New Roman" w:cs="Verdana"/>
          <w:noProof w:val="0"/>
          <w:spacing w:val="-4"/>
          <w:szCs w:val="20"/>
          <w:lang w:eastAsia="es-CR"/>
        </w:rPr>
        <w:t>Pablo Saavedra Alessandri</w:t>
      </w:r>
    </w:p>
    <w:p w:rsidR="003E12DE" w:rsidRPr="00B31E31" w:rsidRDefault="003E12DE" w:rsidP="00610904">
      <w:pPr>
        <w:widowControl w:val="0"/>
        <w:adjustRightInd w:val="0"/>
        <w:rPr>
          <w:rFonts w:eastAsia="Times New Roman" w:cs="Verdana"/>
          <w:noProof w:val="0"/>
          <w:spacing w:val="-4"/>
          <w:szCs w:val="20"/>
          <w:lang w:val="en-US" w:eastAsia="es-CR"/>
        </w:rPr>
      </w:pPr>
      <w:r w:rsidRPr="0051351F">
        <w:rPr>
          <w:rFonts w:eastAsia="Times New Roman" w:cs="Verdana"/>
          <w:noProof w:val="0"/>
          <w:spacing w:val="-4"/>
          <w:szCs w:val="20"/>
          <w:lang w:eastAsia="es-CR"/>
        </w:rPr>
        <w:tab/>
      </w:r>
      <w:r w:rsidR="009F3D78" w:rsidRPr="00B31E31">
        <w:rPr>
          <w:rFonts w:eastAsia="Times New Roman" w:cs="Verdana"/>
          <w:noProof w:val="0"/>
          <w:spacing w:val="-4"/>
          <w:szCs w:val="20"/>
          <w:lang w:val="en-US" w:eastAsia="es-CR"/>
        </w:rPr>
        <w:t>Secretary</w:t>
      </w:r>
    </w:p>
    <w:p w:rsidR="003E12DE" w:rsidRPr="00B31E31" w:rsidRDefault="003E12DE" w:rsidP="00610904">
      <w:pPr>
        <w:rPr>
          <w:noProof w:val="0"/>
          <w:lang w:val="en-US"/>
        </w:rPr>
        <w:sectPr w:rsidR="003E12DE" w:rsidRPr="00B31E31" w:rsidSect="003E12D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417" w:right="1701" w:bottom="1417" w:left="1701" w:header="708" w:footer="708" w:gutter="0"/>
          <w:pgNumType w:start="1"/>
          <w:cols w:space="708"/>
          <w:titlePg/>
          <w:docGrid w:linePitch="360"/>
        </w:sectPr>
      </w:pPr>
    </w:p>
    <w:p w:rsidR="004D47AE" w:rsidRPr="00B31E31" w:rsidRDefault="004D47AE" w:rsidP="00610904">
      <w:pPr>
        <w:tabs>
          <w:tab w:val="left" w:pos="567"/>
          <w:tab w:val="left" w:pos="1134"/>
        </w:tabs>
        <w:ind w:right="29"/>
        <w:jc w:val="left"/>
        <w:rPr>
          <w:noProof w:val="0"/>
          <w:snapToGrid w:val="0"/>
          <w:szCs w:val="20"/>
          <w:lang w:val="en-US"/>
        </w:rPr>
      </w:pPr>
    </w:p>
    <w:p w:rsidR="004D47AE" w:rsidRPr="00610904" w:rsidRDefault="002310E6" w:rsidP="00610904">
      <w:pPr>
        <w:spacing w:line="360" w:lineRule="auto"/>
        <w:ind w:right="96"/>
        <w:jc w:val="center"/>
        <w:rPr>
          <w:b/>
          <w:noProof w:val="0"/>
          <w:szCs w:val="20"/>
          <w:lang w:val="en-US"/>
        </w:rPr>
      </w:pPr>
      <w:r w:rsidRPr="00610904">
        <w:rPr>
          <w:b/>
          <w:noProof w:val="0"/>
          <w:szCs w:val="20"/>
          <w:lang w:val="en-US"/>
        </w:rPr>
        <w:t xml:space="preserve">CONCURRING OPINION OF </w:t>
      </w:r>
      <w:r w:rsidR="009F3D78" w:rsidRPr="00610904">
        <w:rPr>
          <w:b/>
          <w:noProof w:val="0"/>
          <w:szCs w:val="20"/>
          <w:lang w:val="en-US"/>
        </w:rPr>
        <w:t>JUDGE</w:t>
      </w:r>
      <w:r w:rsidR="004D47AE" w:rsidRPr="00610904">
        <w:rPr>
          <w:b/>
          <w:noProof w:val="0"/>
          <w:szCs w:val="20"/>
          <w:lang w:val="en-US"/>
        </w:rPr>
        <w:t xml:space="preserve"> EDUARDO FERRER MAC-GREGOR POISOT</w:t>
      </w:r>
    </w:p>
    <w:p w:rsidR="004D47AE" w:rsidRPr="00610904" w:rsidRDefault="004D47AE" w:rsidP="00610904">
      <w:pPr>
        <w:pStyle w:val="Title"/>
        <w:ind w:left="-142" w:right="-138"/>
        <w:rPr>
          <w:rFonts w:eastAsia="MS Mincho"/>
          <w:noProof w:val="0"/>
          <w:sz w:val="16"/>
          <w:lang w:val="en-US"/>
        </w:rPr>
      </w:pPr>
    </w:p>
    <w:p w:rsidR="002310E6" w:rsidRPr="0051351F" w:rsidRDefault="002310E6" w:rsidP="00610904">
      <w:pPr>
        <w:ind w:left="-142" w:right="-138"/>
        <w:jc w:val="center"/>
        <w:rPr>
          <w:rFonts w:eastAsia="MS Mincho" w:cs="Times New Roman"/>
          <w:b/>
          <w:i/>
          <w:noProof w:val="0"/>
          <w:sz w:val="16"/>
          <w:szCs w:val="20"/>
          <w:u w:val="single"/>
        </w:rPr>
      </w:pPr>
      <w:r w:rsidRPr="004C6DAF">
        <w:rPr>
          <w:rFonts w:eastAsia="MS Mincho" w:cs="Times New Roman"/>
          <w:b/>
          <w:i/>
          <w:noProof w:val="0"/>
          <w:szCs w:val="20"/>
          <w:u w:val="single"/>
          <w:lang w:val="es-CR"/>
        </w:rPr>
        <w:t xml:space="preserve">CASE </w:t>
      </w:r>
      <w:r w:rsidR="00610904" w:rsidRPr="004C6DAF">
        <w:rPr>
          <w:rFonts w:eastAsia="MS Mincho" w:cs="Times New Roman"/>
          <w:b/>
          <w:i/>
          <w:noProof w:val="0"/>
          <w:szCs w:val="20"/>
          <w:u w:val="single"/>
          <w:lang w:val="es-CR"/>
        </w:rPr>
        <w:t>OF GONZALES</w:t>
      </w:r>
      <w:r w:rsidRPr="004C6DAF">
        <w:rPr>
          <w:rFonts w:eastAsia="MS Mincho" w:cs="Times New Roman"/>
          <w:b/>
          <w:i/>
          <w:noProof w:val="0"/>
          <w:szCs w:val="20"/>
          <w:u w:val="single"/>
          <w:lang w:val="es-CR"/>
        </w:rPr>
        <w:t xml:space="preserve"> LLUY ET AL. </w:t>
      </w:r>
      <w:r w:rsidR="009E081C" w:rsidRPr="004C6DAF">
        <w:rPr>
          <w:rFonts w:eastAsia="MS Mincho" w:cs="Times New Roman"/>
          <w:b/>
          <w:i/>
          <w:noProof w:val="0"/>
          <w:szCs w:val="20"/>
          <w:u w:val="single"/>
          <w:lang w:val="es-CR"/>
        </w:rPr>
        <w:t>v</w:t>
      </w:r>
      <w:r w:rsidRPr="004C6DAF">
        <w:rPr>
          <w:rFonts w:eastAsia="MS Mincho" w:cs="Times New Roman"/>
          <w:b/>
          <w:i/>
          <w:noProof w:val="0"/>
          <w:szCs w:val="20"/>
          <w:u w:val="single"/>
          <w:lang w:val="es-CR"/>
        </w:rPr>
        <w:t xml:space="preserve">. </w:t>
      </w:r>
      <w:r w:rsidRPr="0051351F">
        <w:rPr>
          <w:rFonts w:eastAsia="MS Mincho" w:cs="Times New Roman"/>
          <w:b/>
          <w:i/>
          <w:noProof w:val="0"/>
          <w:szCs w:val="20"/>
          <w:u w:val="single"/>
        </w:rPr>
        <w:t>ECUADO</w:t>
      </w:r>
      <w:r w:rsidRPr="0051351F">
        <w:rPr>
          <w:rFonts w:eastAsia="Times New Roman" w:cs="Verdana Bold"/>
          <w:b/>
          <w:bCs/>
          <w:i/>
          <w:caps/>
          <w:noProof w:val="0"/>
          <w:szCs w:val="20"/>
          <w:u w:val="single"/>
        </w:rPr>
        <w:t>R</w:t>
      </w:r>
    </w:p>
    <w:p w:rsidR="002310E6" w:rsidRPr="0051351F" w:rsidRDefault="002310E6" w:rsidP="00610904">
      <w:pPr>
        <w:ind w:left="-142" w:right="-138"/>
        <w:jc w:val="center"/>
        <w:rPr>
          <w:rFonts w:eastAsia="MS Mincho" w:cs="Times New Roman"/>
          <w:b/>
          <w:noProof w:val="0"/>
          <w:szCs w:val="20"/>
        </w:rPr>
      </w:pPr>
    </w:p>
    <w:p w:rsidR="002310E6" w:rsidRPr="00610904" w:rsidRDefault="002310E6" w:rsidP="00610904">
      <w:pPr>
        <w:ind w:left="-142" w:right="-138"/>
        <w:jc w:val="center"/>
        <w:rPr>
          <w:rFonts w:eastAsia="MS Mincho" w:cs="Times New Roman"/>
          <w:b/>
          <w:noProof w:val="0"/>
          <w:szCs w:val="20"/>
          <w:lang w:val="en-US"/>
        </w:rPr>
      </w:pPr>
      <w:r w:rsidRPr="00610904">
        <w:rPr>
          <w:rFonts w:eastAsia="MS Mincho" w:cs="Times New Roman"/>
          <w:b/>
          <w:noProof w:val="0"/>
          <w:szCs w:val="20"/>
          <w:lang w:val="en-US"/>
        </w:rPr>
        <w:t>JUDGMENT OF SEPTEMBER 1, 2015</w:t>
      </w:r>
    </w:p>
    <w:p w:rsidR="002310E6" w:rsidRPr="00610904" w:rsidRDefault="002310E6" w:rsidP="00610904">
      <w:pPr>
        <w:ind w:left="-142" w:right="-138"/>
        <w:jc w:val="center"/>
        <w:rPr>
          <w:rFonts w:eastAsia="MS Mincho" w:cs="Times New Roman"/>
          <w:b/>
          <w:noProof w:val="0"/>
          <w:szCs w:val="20"/>
          <w:lang w:val="en-US"/>
        </w:rPr>
      </w:pPr>
      <w:r w:rsidRPr="00610904">
        <w:rPr>
          <w:rFonts w:eastAsia="MS Mincho" w:cs="Times New Roman"/>
          <w:b/>
          <w:noProof w:val="0"/>
          <w:szCs w:val="20"/>
          <w:lang w:val="en-US"/>
        </w:rPr>
        <w:t>(</w:t>
      </w:r>
      <w:r w:rsidRPr="00610904">
        <w:rPr>
          <w:rFonts w:eastAsia="MS Mincho" w:cs="Times New Roman"/>
          <w:b/>
          <w:i/>
          <w:noProof w:val="0"/>
          <w:szCs w:val="20"/>
          <w:lang w:val="en-US"/>
        </w:rPr>
        <w:t>Preliminary objections, merits, reparations and costs</w:t>
      </w:r>
      <w:r w:rsidRPr="00610904">
        <w:rPr>
          <w:rFonts w:eastAsia="MS Mincho" w:cs="Times New Roman"/>
          <w:b/>
          <w:noProof w:val="0"/>
          <w:szCs w:val="20"/>
          <w:lang w:val="en-US"/>
        </w:rPr>
        <w:t>)</w:t>
      </w:r>
    </w:p>
    <w:p w:rsidR="004D47AE" w:rsidRPr="00610904" w:rsidRDefault="004D47AE" w:rsidP="00610904">
      <w:pPr>
        <w:ind w:right="-138"/>
        <w:rPr>
          <w:noProof w:val="0"/>
          <w:szCs w:val="20"/>
          <w:lang w:val="en-US"/>
        </w:rPr>
      </w:pPr>
    </w:p>
    <w:p w:rsidR="004D47AE" w:rsidRPr="00610904" w:rsidRDefault="009F3D78" w:rsidP="00610904">
      <w:pPr>
        <w:ind w:right="-138"/>
        <w:rPr>
          <w:noProof w:val="0"/>
          <w:szCs w:val="20"/>
          <w:lang w:val="en-US"/>
        </w:rPr>
      </w:pPr>
      <w:r w:rsidRPr="00610904">
        <w:rPr>
          <w:noProof w:val="0"/>
          <w:szCs w:val="20"/>
          <w:lang w:val="en-US"/>
        </w:rPr>
        <w:t>Judges</w:t>
      </w:r>
      <w:r w:rsidR="004D47AE" w:rsidRPr="00610904">
        <w:rPr>
          <w:noProof w:val="0"/>
          <w:szCs w:val="20"/>
          <w:lang w:val="en-US"/>
        </w:rPr>
        <w:t xml:space="preserve"> Roberto F. Caldas</w:t>
      </w:r>
      <w:r w:rsidRPr="00610904">
        <w:rPr>
          <w:noProof w:val="0"/>
          <w:szCs w:val="20"/>
          <w:lang w:val="en-US"/>
        </w:rPr>
        <w:t xml:space="preserve"> and </w:t>
      </w:r>
      <w:r w:rsidR="004D47AE" w:rsidRPr="00610904">
        <w:rPr>
          <w:noProof w:val="0"/>
          <w:szCs w:val="20"/>
          <w:lang w:val="en-US"/>
        </w:rPr>
        <w:t xml:space="preserve">Manuel E. Ventura Robles </w:t>
      </w:r>
      <w:r w:rsidR="00494C7E" w:rsidRPr="00610904">
        <w:rPr>
          <w:noProof w:val="0"/>
          <w:szCs w:val="20"/>
          <w:lang w:val="en-US"/>
        </w:rPr>
        <w:t xml:space="preserve">adhered to this Opinion of </w:t>
      </w:r>
      <w:r w:rsidRPr="00610904">
        <w:rPr>
          <w:noProof w:val="0"/>
          <w:szCs w:val="20"/>
          <w:lang w:val="en-US"/>
        </w:rPr>
        <w:t>Judge</w:t>
      </w:r>
      <w:r w:rsidR="004D47AE" w:rsidRPr="00610904">
        <w:rPr>
          <w:noProof w:val="0"/>
          <w:szCs w:val="20"/>
          <w:lang w:val="en-US"/>
        </w:rPr>
        <w:t xml:space="preserve"> Eduardo Ferrer Mac-Gregor Poisot.</w:t>
      </w:r>
    </w:p>
    <w:p w:rsidR="002310E6" w:rsidRPr="00610904" w:rsidRDefault="002310E6" w:rsidP="00610904">
      <w:pPr>
        <w:ind w:right="-138"/>
        <w:rPr>
          <w:noProof w:val="0"/>
          <w:szCs w:val="20"/>
          <w:lang w:val="en-US"/>
        </w:rPr>
      </w:pPr>
    </w:p>
    <w:p w:rsidR="004D47AE" w:rsidRPr="00610904" w:rsidRDefault="004D47AE" w:rsidP="00610904">
      <w:pPr>
        <w:pStyle w:val="Heading1"/>
        <w:spacing w:before="0" w:after="0"/>
        <w:rPr>
          <w:noProof w:val="0"/>
          <w:lang w:val="en-US"/>
        </w:rPr>
      </w:pPr>
      <w:bookmarkStart w:id="191" w:name="_Toc443399139"/>
      <w:r w:rsidRPr="00610904">
        <w:rPr>
          <w:noProof w:val="0"/>
          <w:lang w:val="en-US"/>
        </w:rPr>
        <w:t>INTRODUC</w:t>
      </w:r>
      <w:r w:rsidR="00494C7E" w:rsidRPr="00610904">
        <w:rPr>
          <w:noProof w:val="0"/>
          <w:lang w:val="en-US"/>
        </w:rPr>
        <w:t>TION: THE</w:t>
      </w:r>
      <w:r w:rsidRPr="00610904">
        <w:rPr>
          <w:noProof w:val="0"/>
          <w:lang w:val="en-US"/>
        </w:rPr>
        <w:t xml:space="preserve"> </w:t>
      </w:r>
      <w:r w:rsidR="0013395A" w:rsidRPr="00610904">
        <w:rPr>
          <w:noProof w:val="0"/>
          <w:lang w:val="en-US"/>
        </w:rPr>
        <w:t>RIGHT TO EDUCATION</w:t>
      </w:r>
      <w:bookmarkEnd w:id="191"/>
    </w:p>
    <w:p w:rsidR="004D47AE" w:rsidRPr="00610904" w:rsidRDefault="00494C7E" w:rsidP="00610904">
      <w:pPr>
        <w:pStyle w:val="Heading1"/>
        <w:spacing w:before="0" w:after="0"/>
        <w:rPr>
          <w:noProof w:val="0"/>
          <w:lang w:val="en-US"/>
        </w:rPr>
      </w:pPr>
      <w:bookmarkStart w:id="192" w:name="_Toc443399140"/>
      <w:r w:rsidRPr="00610904">
        <w:rPr>
          <w:noProof w:val="0"/>
          <w:lang w:val="en-US"/>
        </w:rPr>
        <w:t>AND THE RIGHT TO HEALTH</w:t>
      </w:r>
      <w:bookmarkEnd w:id="192"/>
    </w:p>
    <w:p w:rsidR="004D47AE" w:rsidRPr="00610904" w:rsidRDefault="004D47AE" w:rsidP="00610904">
      <w:pPr>
        <w:ind w:left="-142" w:right="-138"/>
        <w:rPr>
          <w:noProof w:val="0"/>
          <w:szCs w:val="20"/>
          <w:lang w:val="en-US"/>
        </w:rPr>
      </w:pPr>
    </w:p>
    <w:p w:rsidR="004D47AE" w:rsidRPr="00610904" w:rsidRDefault="00494C7E" w:rsidP="00610904">
      <w:pPr>
        <w:pStyle w:val="ListParagraph"/>
        <w:numPr>
          <w:ilvl w:val="0"/>
          <w:numId w:val="26"/>
        </w:numPr>
        <w:rPr>
          <w:noProof w:val="0"/>
          <w:lang w:val="en-US"/>
        </w:rPr>
      </w:pPr>
      <w:r w:rsidRPr="00610904">
        <w:rPr>
          <w:noProof w:val="0"/>
          <w:lang w:val="en-US"/>
        </w:rPr>
        <w:t xml:space="preserve">This is the first case in the history of </w:t>
      </w:r>
      <w:r w:rsidR="009F3D78" w:rsidRPr="00610904">
        <w:rPr>
          <w:noProof w:val="0"/>
          <w:lang w:val="en-US"/>
        </w:rPr>
        <w:t>the Inter-American Court of Human Rights</w:t>
      </w:r>
      <w:r w:rsidR="004D47AE" w:rsidRPr="00610904">
        <w:rPr>
          <w:noProof w:val="0"/>
          <w:lang w:val="en-US"/>
        </w:rPr>
        <w:t xml:space="preserve"> (</w:t>
      </w:r>
      <w:r w:rsidR="009F3D78" w:rsidRPr="00610904">
        <w:rPr>
          <w:noProof w:val="0"/>
          <w:lang w:val="en-US"/>
        </w:rPr>
        <w:t>hereinafter</w:t>
      </w:r>
      <w:r w:rsidR="004D47AE" w:rsidRPr="00610904">
        <w:rPr>
          <w:noProof w:val="0"/>
          <w:lang w:val="en-US"/>
        </w:rPr>
        <w:t xml:space="preserve"> “</w:t>
      </w:r>
      <w:r w:rsidRPr="00610904">
        <w:rPr>
          <w:noProof w:val="0"/>
          <w:lang w:val="en-US"/>
        </w:rPr>
        <w:t>the Court</w:t>
      </w:r>
      <w:r w:rsidR="004D47AE" w:rsidRPr="00610904">
        <w:rPr>
          <w:noProof w:val="0"/>
          <w:lang w:val="en-US"/>
        </w:rPr>
        <w:t>” o</w:t>
      </w:r>
      <w:r w:rsidRPr="00610904">
        <w:rPr>
          <w:noProof w:val="0"/>
          <w:lang w:val="en-US"/>
        </w:rPr>
        <w:t>r</w:t>
      </w:r>
      <w:r w:rsidR="004D47AE" w:rsidRPr="00610904">
        <w:rPr>
          <w:noProof w:val="0"/>
          <w:lang w:val="en-US"/>
        </w:rPr>
        <w:t xml:space="preserve"> “</w:t>
      </w:r>
      <w:r w:rsidRPr="00610904">
        <w:rPr>
          <w:noProof w:val="0"/>
          <w:lang w:val="en-US"/>
        </w:rPr>
        <w:t>the Inter-American Court</w:t>
      </w:r>
      <w:r w:rsidR="004D47AE" w:rsidRPr="00610904">
        <w:rPr>
          <w:noProof w:val="0"/>
          <w:lang w:val="en-US"/>
        </w:rPr>
        <w:t xml:space="preserve">”) </w:t>
      </w:r>
      <w:r w:rsidRPr="00610904">
        <w:rPr>
          <w:noProof w:val="0"/>
          <w:lang w:val="en-US"/>
        </w:rPr>
        <w:t xml:space="preserve">in which the Court declares </w:t>
      </w:r>
      <w:r w:rsidR="00EF508D" w:rsidRPr="00610904">
        <w:rPr>
          <w:noProof w:val="0"/>
          <w:lang w:val="en-US"/>
        </w:rPr>
        <w:t>the violation</w:t>
      </w:r>
      <w:r w:rsidR="004D47AE" w:rsidRPr="00610904">
        <w:rPr>
          <w:noProof w:val="0"/>
          <w:lang w:val="en-US"/>
        </w:rPr>
        <w:t xml:space="preserve"> </w:t>
      </w:r>
      <w:r w:rsidRPr="00610904">
        <w:rPr>
          <w:noProof w:val="0"/>
          <w:lang w:val="en-US"/>
        </w:rPr>
        <w:t>of a norm established in the Additional Protocol to</w:t>
      </w:r>
      <w:r w:rsidR="004D47AE" w:rsidRPr="00610904">
        <w:rPr>
          <w:noProof w:val="0"/>
          <w:lang w:val="en-US"/>
        </w:rPr>
        <w:t xml:space="preserve"> </w:t>
      </w:r>
      <w:r w:rsidR="009F3D78" w:rsidRPr="00610904">
        <w:rPr>
          <w:noProof w:val="0"/>
          <w:lang w:val="en-US"/>
        </w:rPr>
        <w:t>the American Convention on Human Rights</w:t>
      </w:r>
      <w:r w:rsidR="004D47AE" w:rsidRPr="00610904">
        <w:rPr>
          <w:noProof w:val="0"/>
          <w:lang w:val="en-US"/>
        </w:rPr>
        <w:t xml:space="preserve"> </w:t>
      </w:r>
      <w:r w:rsidRPr="00610904">
        <w:rPr>
          <w:noProof w:val="0"/>
          <w:lang w:val="en-US"/>
        </w:rPr>
        <w:t xml:space="preserve">in the Area of </w:t>
      </w:r>
      <w:r w:rsidR="001B553E" w:rsidRPr="00610904">
        <w:rPr>
          <w:noProof w:val="0"/>
          <w:lang w:val="en-US"/>
        </w:rPr>
        <w:t>Eco</w:t>
      </w:r>
      <w:r w:rsidRPr="00610904">
        <w:rPr>
          <w:noProof w:val="0"/>
          <w:lang w:val="en-US"/>
        </w:rPr>
        <w:t>nomic, Social and Cultural R</w:t>
      </w:r>
      <w:r w:rsidR="001B553E" w:rsidRPr="00610904">
        <w:rPr>
          <w:noProof w:val="0"/>
          <w:lang w:val="en-US"/>
        </w:rPr>
        <w:t>ights</w:t>
      </w:r>
      <w:r w:rsidR="004D47AE" w:rsidRPr="00610904">
        <w:rPr>
          <w:noProof w:val="0"/>
          <w:lang w:val="en-US"/>
        </w:rPr>
        <w:t xml:space="preserve"> (</w:t>
      </w:r>
      <w:r w:rsidR="009F3D78" w:rsidRPr="00610904">
        <w:rPr>
          <w:noProof w:val="0"/>
          <w:lang w:val="en-US"/>
        </w:rPr>
        <w:t>hereinafter</w:t>
      </w:r>
      <w:r w:rsidR="004D47AE" w:rsidRPr="00610904">
        <w:rPr>
          <w:noProof w:val="0"/>
          <w:lang w:val="en-US"/>
        </w:rPr>
        <w:t xml:space="preserve"> “</w:t>
      </w:r>
      <w:r w:rsidR="00852A2E" w:rsidRPr="00610904">
        <w:rPr>
          <w:noProof w:val="0"/>
          <w:lang w:val="en-US"/>
        </w:rPr>
        <w:t>Protocol of</w:t>
      </w:r>
      <w:r w:rsidR="004D47AE" w:rsidRPr="00610904">
        <w:rPr>
          <w:noProof w:val="0"/>
          <w:lang w:val="en-US"/>
        </w:rPr>
        <w:t xml:space="preserve"> San Salvador”)</w:t>
      </w:r>
      <w:r w:rsidRPr="00610904">
        <w:rPr>
          <w:noProof w:val="0"/>
          <w:lang w:val="en-US"/>
        </w:rPr>
        <w:t>.</w:t>
      </w:r>
      <w:r w:rsidR="004D47AE" w:rsidRPr="00610904">
        <w:rPr>
          <w:rStyle w:val="FootnoteReference"/>
          <w:noProof w:val="0"/>
          <w:lang w:val="en-US"/>
        </w:rPr>
        <w:footnoteReference w:id="476"/>
      </w:r>
      <w:r w:rsidRPr="00610904">
        <w:rPr>
          <w:noProof w:val="0"/>
          <w:lang w:val="en-US"/>
        </w:rPr>
        <w:t xml:space="preserve"> </w:t>
      </w:r>
      <w:r w:rsidR="00284EDF" w:rsidRPr="00610904">
        <w:rPr>
          <w:noProof w:val="0"/>
          <w:lang w:val="en-US"/>
        </w:rPr>
        <w:t xml:space="preserve">Thus, in the case of </w:t>
      </w:r>
      <w:r w:rsidR="004D47AE" w:rsidRPr="00610904">
        <w:rPr>
          <w:i/>
          <w:noProof w:val="0"/>
          <w:lang w:val="en-US"/>
        </w:rPr>
        <w:t xml:space="preserve">Gonzales </w:t>
      </w:r>
      <w:r w:rsidR="009F3D78" w:rsidRPr="00610904">
        <w:rPr>
          <w:i/>
          <w:noProof w:val="0"/>
          <w:lang w:val="en-US"/>
        </w:rPr>
        <w:t>Lluy et al.</w:t>
      </w:r>
      <w:r w:rsidR="00D64D5C" w:rsidRPr="00610904">
        <w:rPr>
          <w:i/>
          <w:noProof w:val="0"/>
          <w:lang w:val="en-US"/>
        </w:rPr>
        <w:t>,</w:t>
      </w:r>
      <w:r w:rsidR="004D47AE" w:rsidRPr="00610904">
        <w:rPr>
          <w:i/>
          <w:noProof w:val="0"/>
          <w:lang w:val="en-US"/>
        </w:rPr>
        <w:t xml:space="preserve"> </w:t>
      </w:r>
      <w:r w:rsidR="00284EDF" w:rsidRPr="00610904">
        <w:rPr>
          <w:noProof w:val="0"/>
          <w:lang w:val="en-US"/>
        </w:rPr>
        <w:t xml:space="preserve">it declared </w:t>
      </w:r>
      <w:r w:rsidR="00EF508D" w:rsidRPr="00610904">
        <w:rPr>
          <w:noProof w:val="0"/>
          <w:lang w:val="en-US"/>
        </w:rPr>
        <w:t>the violation</w:t>
      </w:r>
      <w:r w:rsidR="004D47AE" w:rsidRPr="00610904">
        <w:rPr>
          <w:noProof w:val="0"/>
          <w:lang w:val="en-US"/>
        </w:rPr>
        <w:t xml:space="preserve"> </w:t>
      </w:r>
      <w:r w:rsidR="00284EDF" w:rsidRPr="00610904">
        <w:rPr>
          <w:noProof w:val="0"/>
          <w:lang w:val="en-US"/>
        </w:rPr>
        <w:t>of the</w:t>
      </w:r>
      <w:r w:rsidR="004D47AE" w:rsidRPr="00610904">
        <w:rPr>
          <w:noProof w:val="0"/>
          <w:lang w:val="en-US"/>
        </w:rPr>
        <w:t xml:space="preserve"> “</w:t>
      </w:r>
      <w:r w:rsidR="007D72DC" w:rsidRPr="00610904">
        <w:rPr>
          <w:noProof w:val="0"/>
          <w:lang w:val="en-US"/>
        </w:rPr>
        <w:t>right to education</w:t>
      </w:r>
      <w:r w:rsidR="004D47AE" w:rsidRPr="00610904">
        <w:rPr>
          <w:noProof w:val="0"/>
          <w:lang w:val="en-US"/>
        </w:rPr>
        <w:t xml:space="preserve">” </w:t>
      </w:r>
      <w:r w:rsidR="00284EDF" w:rsidRPr="00610904">
        <w:rPr>
          <w:noProof w:val="0"/>
          <w:lang w:val="en-US"/>
        </w:rPr>
        <w:t>established in</w:t>
      </w:r>
      <w:r w:rsidR="004D47AE" w:rsidRPr="00610904">
        <w:rPr>
          <w:noProof w:val="0"/>
          <w:lang w:val="en-US"/>
        </w:rPr>
        <w:t xml:space="preserve"> </w:t>
      </w:r>
      <w:r w:rsidR="009F3D78" w:rsidRPr="00610904">
        <w:rPr>
          <w:noProof w:val="0"/>
          <w:lang w:val="en-US"/>
        </w:rPr>
        <w:t>Article</w:t>
      </w:r>
      <w:r w:rsidR="004D47AE" w:rsidRPr="00610904">
        <w:rPr>
          <w:noProof w:val="0"/>
          <w:lang w:val="en-US"/>
        </w:rPr>
        <w:t xml:space="preserve"> 13 </w:t>
      </w:r>
      <w:r w:rsidR="00284EDF" w:rsidRPr="00610904">
        <w:rPr>
          <w:noProof w:val="0"/>
          <w:lang w:val="en-US"/>
        </w:rPr>
        <w:t>of the Protocol, taking i</w:t>
      </w:r>
      <w:r w:rsidR="00D64D5C" w:rsidRPr="00610904">
        <w:rPr>
          <w:noProof w:val="0"/>
          <w:lang w:val="en-US"/>
        </w:rPr>
        <w:t>nto account that, when she was five</w:t>
      </w:r>
      <w:r w:rsidR="00284EDF" w:rsidRPr="00610904">
        <w:rPr>
          <w:noProof w:val="0"/>
          <w:lang w:val="en-US"/>
        </w:rPr>
        <w:t xml:space="preserve"> years old,</w:t>
      </w:r>
      <w:r w:rsidR="004D47AE" w:rsidRPr="00610904">
        <w:rPr>
          <w:noProof w:val="0"/>
          <w:lang w:val="en-US"/>
        </w:rPr>
        <w:t xml:space="preserve"> Talía Gabriela Gonzales Lluy </w:t>
      </w:r>
      <w:r w:rsidR="00284EDF" w:rsidRPr="00610904">
        <w:rPr>
          <w:noProof w:val="0"/>
          <w:lang w:val="en-US"/>
        </w:rPr>
        <w:t xml:space="preserve">was expelled from the kindergarten she </w:t>
      </w:r>
      <w:r w:rsidR="00D64D5C" w:rsidRPr="00610904">
        <w:rPr>
          <w:noProof w:val="0"/>
          <w:lang w:val="en-US"/>
        </w:rPr>
        <w:t xml:space="preserve">attended </w:t>
      </w:r>
      <w:r w:rsidR="00284EDF" w:rsidRPr="00610904">
        <w:rPr>
          <w:noProof w:val="0"/>
          <w:lang w:val="en-US"/>
        </w:rPr>
        <w:t xml:space="preserve">because of her health status and </w:t>
      </w:r>
      <w:r w:rsidR="00D64D5C" w:rsidRPr="00610904">
        <w:rPr>
          <w:noProof w:val="0"/>
          <w:lang w:val="en-US"/>
        </w:rPr>
        <w:t>because</w:t>
      </w:r>
      <w:r w:rsidR="00284EDF" w:rsidRPr="00610904">
        <w:rPr>
          <w:noProof w:val="0"/>
          <w:lang w:val="en-US"/>
        </w:rPr>
        <w:t xml:space="preserve"> she was a person with </w:t>
      </w:r>
      <w:r w:rsidR="00A8072E" w:rsidRPr="00610904">
        <w:rPr>
          <w:noProof w:val="0"/>
          <w:lang w:val="en-US"/>
        </w:rPr>
        <w:t>HIV</w:t>
      </w:r>
      <w:r w:rsidR="00284EDF" w:rsidRPr="00610904">
        <w:rPr>
          <w:noProof w:val="0"/>
          <w:lang w:val="en-US"/>
        </w:rPr>
        <w:t>,</w:t>
      </w:r>
      <w:r w:rsidR="004D47AE" w:rsidRPr="00610904">
        <w:rPr>
          <w:rStyle w:val="FootnoteReference"/>
          <w:noProof w:val="0"/>
          <w:lang w:val="en-US"/>
        </w:rPr>
        <w:footnoteReference w:id="477"/>
      </w:r>
      <w:r w:rsidR="00D64D5C" w:rsidRPr="00610904">
        <w:rPr>
          <w:noProof w:val="0"/>
          <w:lang w:val="en-US"/>
        </w:rPr>
        <w:t xml:space="preserve"> while the authorities</w:t>
      </w:r>
      <w:r w:rsidR="00284EDF" w:rsidRPr="00610904">
        <w:rPr>
          <w:noProof w:val="0"/>
          <w:lang w:val="en-US"/>
        </w:rPr>
        <w:t xml:space="preserve"> </w:t>
      </w:r>
      <w:r w:rsidR="00D64D5C" w:rsidRPr="00610904">
        <w:rPr>
          <w:noProof w:val="0"/>
          <w:lang w:val="en-US"/>
        </w:rPr>
        <w:t>asserted</w:t>
      </w:r>
      <w:r w:rsidR="00284EDF" w:rsidRPr="00610904">
        <w:rPr>
          <w:noProof w:val="0"/>
          <w:lang w:val="en-US"/>
        </w:rPr>
        <w:t xml:space="preserve"> that </w:t>
      </w:r>
      <w:r w:rsidR="004D47AE" w:rsidRPr="00610904">
        <w:rPr>
          <w:noProof w:val="0"/>
          <w:lang w:val="en-US"/>
        </w:rPr>
        <w:t xml:space="preserve">Talía </w:t>
      </w:r>
      <w:r w:rsidR="00284EDF" w:rsidRPr="00610904">
        <w:rPr>
          <w:noProof w:val="0"/>
          <w:lang w:val="en-US"/>
        </w:rPr>
        <w:t xml:space="preserve">could exercise her </w:t>
      </w:r>
      <w:r w:rsidR="007D72DC" w:rsidRPr="00610904">
        <w:rPr>
          <w:noProof w:val="0"/>
          <w:lang w:val="en-US"/>
        </w:rPr>
        <w:t>right to education</w:t>
      </w:r>
      <w:r w:rsidR="004D47AE" w:rsidRPr="00610904">
        <w:rPr>
          <w:noProof w:val="0"/>
          <w:lang w:val="en-US"/>
        </w:rPr>
        <w:t xml:space="preserve"> </w:t>
      </w:r>
      <w:r w:rsidR="004D47AE" w:rsidRPr="00610904">
        <w:rPr>
          <w:rFonts w:cs="Arial"/>
          <w:noProof w:val="0"/>
          <w:szCs w:val="20"/>
          <w:lang w:val="en-US"/>
        </w:rPr>
        <w:t>“</w:t>
      </w:r>
      <w:r w:rsidR="00284EDF" w:rsidRPr="00610904">
        <w:rPr>
          <w:rFonts w:cs="Arial"/>
          <w:noProof w:val="0"/>
          <w:szCs w:val="20"/>
          <w:lang w:val="en-US"/>
        </w:rPr>
        <w:t>by individualized distance education.</w:t>
      </w:r>
      <w:r w:rsidR="004D47AE" w:rsidRPr="00610904">
        <w:rPr>
          <w:rFonts w:cs="Arial"/>
          <w:noProof w:val="0"/>
          <w:szCs w:val="20"/>
          <w:lang w:val="en-US"/>
        </w:rPr>
        <w:t>”</w:t>
      </w:r>
      <w:r w:rsidR="004D47AE" w:rsidRPr="00610904">
        <w:rPr>
          <w:rStyle w:val="FootnoteReference"/>
          <w:noProof w:val="0"/>
          <w:lang w:val="en-US"/>
        </w:rPr>
        <w:footnoteReference w:id="478"/>
      </w:r>
    </w:p>
    <w:p w:rsidR="004D47AE" w:rsidRPr="00610904" w:rsidRDefault="004D47AE" w:rsidP="00610904">
      <w:pPr>
        <w:pStyle w:val="PlainText"/>
        <w:rPr>
          <w:rFonts w:ascii="Verdana" w:hAnsi="Verdana"/>
          <w:noProof w:val="0"/>
          <w:sz w:val="20"/>
          <w:szCs w:val="20"/>
          <w:lang w:val="en-US"/>
        </w:rPr>
      </w:pPr>
    </w:p>
    <w:p w:rsidR="00284EDF" w:rsidRPr="00610904" w:rsidRDefault="009F3D78" w:rsidP="00610904">
      <w:pPr>
        <w:pStyle w:val="PlainText"/>
        <w:numPr>
          <w:ilvl w:val="0"/>
          <w:numId w:val="26"/>
        </w:numPr>
        <w:contextualSpacing/>
        <w:jc w:val="both"/>
        <w:rPr>
          <w:rFonts w:ascii="Verdana" w:hAnsi="Verdana"/>
          <w:noProof w:val="0"/>
          <w:sz w:val="20"/>
          <w:szCs w:val="20"/>
          <w:lang w:val="en-US"/>
        </w:rPr>
      </w:pPr>
      <w:r w:rsidRPr="00610904">
        <w:rPr>
          <w:rFonts w:ascii="Verdana" w:hAnsi="Verdana"/>
          <w:noProof w:val="0"/>
          <w:sz w:val="20"/>
          <w:szCs w:val="20"/>
          <w:lang w:val="en-US"/>
        </w:rPr>
        <w:t xml:space="preserve">The </w:t>
      </w:r>
      <w:r w:rsidR="00284EDF" w:rsidRPr="00610904">
        <w:rPr>
          <w:rFonts w:ascii="Verdana" w:hAnsi="Verdana"/>
          <w:noProof w:val="0"/>
          <w:sz w:val="20"/>
          <w:szCs w:val="20"/>
          <w:lang w:val="en-US"/>
        </w:rPr>
        <w:t xml:space="preserve">Inter-American </w:t>
      </w:r>
      <w:r w:rsidRPr="00610904">
        <w:rPr>
          <w:rFonts w:ascii="Verdana" w:hAnsi="Verdana"/>
          <w:noProof w:val="0"/>
          <w:sz w:val="20"/>
          <w:szCs w:val="20"/>
          <w:lang w:val="en-US"/>
        </w:rPr>
        <w:t>Court</w:t>
      </w:r>
      <w:r w:rsidR="004D47AE" w:rsidRPr="00610904">
        <w:rPr>
          <w:rFonts w:ascii="Verdana" w:hAnsi="Verdana"/>
          <w:noProof w:val="0"/>
          <w:sz w:val="20"/>
          <w:szCs w:val="20"/>
          <w:lang w:val="en-US"/>
        </w:rPr>
        <w:t xml:space="preserve"> </w:t>
      </w:r>
      <w:r w:rsidR="00284EDF" w:rsidRPr="00610904">
        <w:rPr>
          <w:rFonts w:ascii="Verdana" w:hAnsi="Verdana"/>
          <w:noProof w:val="0"/>
          <w:sz w:val="20"/>
          <w:szCs w:val="20"/>
          <w:lang w:val="en-US"/>
        </w:rPr>
        <w:t>concluded that the real and sign</w:t>
      </w:r>
      <w:r w:rsidR="00864DEB">
        <w:rPr>
          <w:rFonts w:ascii="Verdana" w:hAnsi="Verdana"/>
          <w:noProof w:val="0"/>
          <w:sz w:val="20"/>
          <w:szCs w:val="20"/>
          <w:lang w:val="en-US"/>
        </w:rPr>
        <w:t>ificant risk of infection that c</w:t>
      </w:r>
      <w:r w:rsidR="00284EDF" w:rsidRPr="00610904">
        <w:rPr>
          <w:rFonts w:ascii="Verdana" w:hAnsi="Verdana"/>
          <w:noProof w:val="0"/>
          <w:sz w:val="20"/>
          <w:szCs w:val="20"/>
          <w:lang w:val="en-US"/>
        </w:rPr>
        <w:t xml:space="preserve">ould endanger the health of Talía’s companions was extremely limited. </w:t>
      </w:r>
      <w:r w:rsidR="00D64D5C" w:rsidRPr="00610904">
        <w:rPr>
          <w:rFonts w:ascii="Verdana" w:hAnsi="Verdana"/>
          <w:noProof w:val="0"/>
          <w:sz w:val="20"/>
          <w:szCs w:val="20"/>
          <w:lang w:val="en-US"/>
        </w:rPr>
        <w:t>Following</w:t>
      </w:r>
      <w:r w:rsidR="00284EDF" w:rsidRPr="00610904">
        <w:rPr>
          <w:rFonts w:ascii="Verdana" w:hAnsi="Verdana"/>
          <w:noProof w:val="0"/>
          <w:sz w:val="20"/>
          <w:szCs w:val="20"/>
          <w:lang w:val="en-US"/>
        </w:rPr>
        <w:t xml:space="preserve"> an assessment of the need</w:t>
      </w:r>
      <w:r w:rsidR="00D64D5C" w:rsidRPr="00610904">
        <w:rPr>
          <w:rFonts w:ascii="Verdana" w:hAnsi="Verdana"/>
          <w:noProof w:val="0"/>
          <w:sz w:val="20"/>
          <w:szCs w:val="20"/>
          <w:lang w:val="en-US"/>
        </w:rPr>
        <w:t xml:space="preserve"> for,</w:t>
      </w:r>
      <w:r w:rsidR="00284EDF" w:rsidRPr="00610904">
        <w:rPr>
          <w:rFonts w:ascii="Verdana" w:hAnsi="Verdana"/>
          <w:noProof w:val="0"/>
          <w:sz w:val="20"/>
          <w:szCs w:val="20"/>
          <w:lang w:val="en-US"/>
        </w:rPr>
        <w:t xml:space="preserve"> and strict</w:t>
      </w:r>
      <w:r w:rsidR="00D64D5C" w:rsidRPr="00610904">
        <w:rPr>
          <w:rFonts w:ascii="Verdana" w:hAnsi="Verdana"/>
          <w:noProof w:val="0"/>
          <w:sz w:val="20"/>
          <w:szCs w:val="20"/>
          <w:lang w:val="en-US"/>
        </w:rPr>
        <w:t xml:space="preserve"> proportionality of, the measure</w:t>
      </w:r>
      <w:r w:rsidR="00284EDF" w:rsidRPr="00610904">
        <w:rPr>
          <w:rFonts w:ascii="Verdana" w:hAnsi="Verdana"/>
          <w:noProof w:val="0"/>
          <w:sz w:val="20"/>
          <w:szCs w:val="20"/>
          <w:lang w:val="en-US"/>
        </w:rPr>
        <w:t xml:space="preserve">, the Court emphasized that the </w:t>
      </w:r>
      <w:r w:rsidR="00856968" w:rsidRPr="00610904">
        <w:rPr>
          <w:rFonts w:ascii="Verdana" w:hAnsi="Verdana"/>
          <w:noProof w:val="0"/>
          <w:sz w:val="20"/>
          <w:szCs w:val="20"/>
          <w:lang w:val="en-US"/>
        </w:rPr>
        <w:t>measure chosen represente</w:t>
      </w:r>
      <w:r w:rsidR="00284EDF" w:rsidRPr="00610904">
        <w:rPr>
          <w:rFonts w:ascii="Verdana" w:hAnsi="Verdana"/>
          <w:noProof w:val="0"/>
          <w:sz w:val="20"/>
          <w:szCs w:val="20"/>
          <w:lang w:val="en-US"/>
        </w:rPr>
        <w:t>d the most harmful and disproportionate option of all those available to achieve the aim of protecting the integrity of the other children in the educational establishment. The national authority al</w:t>
      </w:r>
      <w:r w:rsidR="00D64D5C" w:rsidRPr="00610904">
        <w:rPr>
          <w:rFonts w:ascii="Verdana" w:hAnsi="Verdana"/>
          <w:noProof w:val="0"/>
          <w:sz w:val="20"/>
          <w:szCs w:val="20"/>
          <w:lang w:val="en-US"/>
        </w:rPr>
        <w:t>so used abstract and stereotypical</w:t>
      </w:r>
      <w:r w:rsidR="00284EDF" w:rsidRPr="00610904">
        <w:rPr>
          <w:rFonts w:ascii="Verdana" w:hAnsi="Verdana"/>
          <w:noProof w:val="0"/>
          <w:sz w:val="20"/>
          <w:szCs w:val="20"/>
          <w:lang w:val="en-US"/>
        </w:rPr>
        <w:t xml:space="preserve"> arguments to justify a decision that was extreme and unnecessary, so that the </w:t>
      </w:r>
      <w:r w:rsidR="00856968" w:rsidRPr="00610904">
        <w:rPr>
          <w:rFonts w:ascii="Verdana" w:hAnsi="Verdana"/>
          <w:noProof w:val="0"/>
          <w:sz w:val="20"/>
          <w:szCs w:val="20"/>
          <w:lang w:val="en-US"/>
        </w:rPr>
        <w:t>decision</w:t>
      </w:r>
      <w:r w:rsidR="00284EDF" w:rsidRPr="00610904">
        <w:rPr>
          <w:rFonts w:ascii="Verdana" w:hAnsi="Verdana"/>
          <w:noProof w:val="0"/>
          <w:sz w:val="20"/>
          <w:szCs w:val="20"/>
          <w:lang w:val="en-US"/>
        </w:rPr>
        <w:t xml:space="preserve"> constituted discriminatory treatment against Talía. In addition – as I will examine in a subsequent section – the Court considered that </w:t>
      </w:r>
      <w:r w:rsidR="00856968" w:rsidRPr="00610904">
        <w:rPr>
          <w:rFonts w:ascii="Verdana" w:hAnsi="Verdana"/>
          <w:noProof w:val="0"/>
          <w:sz w:val="20"/>
          <w:szCs w:val="20"/>
          <w:lang w:val="en-US"/>
        </w:rPr>
        <w:t>the</w:t>
      </w:r>
      <w:r w:rsidR="00284EDF" w:rsidRPr="00610904">
        <w:rPr>
          <w:rFonts w:ascii="Verdana" w:hAnsi="Verdana"/>
          <w:noProof w:val="0"/>
          <w:sz w:val="20"/>
          <w:szCs w:val="20"/>
          <w:lang w:val="en-US"/>
        </w:rPr>
        <w:t xml:space="preserve"> victim had suffered discrimination based on her condition as a person living with HIV, as a minor, as a woman, and</w:t>
      </w:r>
      <w:r w:rsidR="00D64D5C" w:rsidRPr="00610904">
        <w:rPr>
          <w:rFonts w:ascii="Verdana" w:hAnsi="Verdana"/>
          <w:noProof w:val="0"/>
          <w:sz w:val="20"/>
          <w:szCs w:val="20"/>
          <w:lang w:val="en-US"/>
        </w:rPr>
        <w:t xml:space="preserve"> as a person</w:t>
      </w:r>
      <w:r w:rsidR="00284EDF" w:rsidRPr="00610904">
        <w:rPr>
          <w:rFonts w:ascii="Verdana" w:hAnsi="Verdana"/>
          <w:noProof w:val="0"/>
          <w:sz w:val="20"/>
          <w:szCs w:val="20"/>
          <w:lang w:val="en-US"/>
        </w:rPr>
        <w:t xml:space="preserve"> living in poverty; </w:t>
      </w:r>
      <w:r w:rsidR="00D64D5C" w:rsidRPr="00610904">
        <w:rPr>
          <w:rFonts w:ascii="Verdana" w:hAnsi="Verdana"/>
          <w:noProof w:val="0"/>
          <w:sz w:val="20"/>
          <w:szCs w:val="20"/>
          <w:lang w:val="en-US"/>
        </w:rPr>
        <w:t>hence</w:t>
      </w:r>
      <w:r w:rsidR="00284EDF" w:rsidRPr="00610904">
        <w:rPr>
          <w:rFonts w:ascii="Verdana" w:hAnsi="Verdana"/>
          <w:noProof w:val="0"/>
          <w:sz w:val="20"/>
          <w:szCs w:val="20"/>
          <w:lang w:val="en-US"/>
        </w:rPr>
        <w:t>, for the first time,</w:t>
      </w:r>
      <w:r w:rsidR="00D64D5C" w:rsidRPr="00610904">
        <w:rPr>
          <w:rFonts w:ascii="Verdana" w:hAnsi="Verdana"/>
          <w:noProof w:val="0"/>
          <w:sz w:val="20"/>
          <w:szCs w:val="20"/>
          <w:lang w:val="en-US"/>
        </w:rPr>
        <w:t xml:space="preserve"> </w:t>
      </w:r>
      <w:r w:rsidR="00284EDF" w:rsidRPr="00610904">
        <w:rPr>
          <w:rFonts w:ascii="Verdana" w:hAnsi="Verdana"/>
          <w:noProof w:val="0"/>
          <w:sz w:val="20"/>
          <w:szCs w:val="20"/>
          <w:lang w:val="en-US"/>
        </w:rPr>
        <w:t>the Inter-American Court used the concept of “intersectionality” to analyze the discrimination.</w:t>
      </w:r>
    </w:p>
    <w:p w:rsidR="004D47AE" w:rsidRPr="00610904" w:rsidRDefault="004D47AE" w:rsidP="00610904">
      <w:pPr>
        <w:pStyle w:val="ListParagraph"/>
        <w:ind w:left="0"/>
        <w:rPr>
          <w:noProof w:val="0"/>
          <w:lang w:val="en-US"/>
        </w:rPr>
      </w:pPr>
    </w:p>
    <w:p w:rsidR="00284EDF" w:rsidRPr="00610904" w:rsidRDefault="00284EDF" w:rsidP="00610904">
      <w:pPr>
        <w:pStyle w:val="ListParagraph"/>
        <w:numPr>
          <w:ilvl w:val="0"/>
          <w:numId w:val="26"/>
        </w:numPr>
        <w:rPr>
          <w:noProof w:val="0"/>
          <w:lang w:val="en-US"/>
        </w:rPr>
      </w:pPr>
      <w:r w:rsidRPr="00610904">
        <w:rPr>
          <w:noProof w:val="0"/>
          <w:lang w:val="en-US"/>
        </w:rPr>
        <w:t xml:space="preserve">In addition, </w:t>
      </w:r>
      <w:r w:rsidR="00D64D5C" w:rsidRPr="00610904">
        <w:rPr>
          <w:noProof w:val="0"/>
          <w:lang w:val="en-US"/>
        </w:rPr>
        <w:t>in keeping with</w:t>
      </w:r>
      <w:r w:rsidRPr="00610904">
        <w:rPr>
          <w:noProof w:val="0"/>
          <w:lang w:val="en-US"/>
        </w:rPr>
        <w:t xml:space="preserve"> its previous case law concerning the obligation to regulate, supervise and monitor the provision of health service, the Inter-American Court declared the violation of Articles 4 and 5 of the American Convention with regard to </w:t>
      </w:r>
      <w:r w:rsidR="00856968" w:rsidRPr="00610904">
        <w:rPr>
          <w:noProof w:val="0"/>
          <w:lang w:val="en-US"/>
        </w:rPr>
        <w:t>the</w:t>
      </w:r>
      <w:r w:rsidRPr="00610904">
        <w:rPr>
          <w:noProof w:val="0"/>
          <w:lang w:val="en-US"/>
        </w:rPr>
        <w:t xml:space="preserve"> right to life and </w:t>
      </w:r>
      <w:r w:rsidR="00EF508D" w:rsidRPr="00610904">
        <w:rPr>
          <w:noProof w:val="0"/>
          <w:lang w:val="en-US"/>
        </w:rPr>
        <w:t>the right to</w:t>
      </w:r>
      <w:r w:rsidR="004D47AE" w:rsidRPr="00610904">
        <w:rPr>
          <w:noProof w:val="0"/>
          <w:lang w:val="en-US"/>
        </w:rPr>
        <w:t xml:space="preserve"> </w:t>
      </w:r>
      <w:r w:rsidR="008956E2" w:rsidRPr="00610904">
        <w:rPr>
          <w:noProof w:val="0"/>
          <w:lang w:val="en-US"/>
        </w:rPr>
        <w:t>personal integrity</w:t>
      </w:r>
      <w:r w:rsidR="004D47AE" w:rsidRPr="00610904">
        <w:rPr>
          <w:noProof w:val="0"/>
          <w:lang w:val="en-US"/>
        </w:rPr>
        <w:t xml:space="preserve">. </w:t>
      </w:r>
      <w:r w:rsidRPr="00610904">
        <w:rPr>
          <w:noProof w:val="0"/>
          <w:lang w:val="en-US"/>
        </w:rPr>
        <w:t xml:space="preserve">In this case, the declaration of </w:t>
      </w:r>
      <w:r w:rsidR="00EF508D" w:rsidRPr="00610904">
        <w:rPr>
          <w:noProof w:val="0"/>
          <w:lang w:val="en-US"/>
        </w:rPr>
        <w:t>the violation</w:t>
      </w:r>
      <w:r w:rsidR="004D47AE" w:rsidRPr="00610904">
        <w:rPr>
          <w:noProof w:val="0"/>
          <w:lang w:val="en-US"/>
        </w:rPr>
        <w:t xml:space="preserve"> </w:t>
      </w:r>
      <w:r w:rsidRPr="00610904">
        <w:rPr>
          <w:noProof w:val="0"/>
          <w:lang w:val="en-US"/>
        </w:rPr>
        <w:t xml:space="preserve">of the “right to life” had the particularity of involving arguments that went far beyond </w:t>
      </w:r>
      <w:r w:rsidR="00856968" w:rsidRPr="00610904">
        <w:rPr>
          <w:noProof w:val="0"/>
          <w:lang w:val="en-US"/>
        </w:rPr>
        <w:t>the</w:t>
      </w:r>
      <w:r w:rsidRPr="00610904">
        <w:rPr>
          <w:noProof w:val="0"/>
          <w:lang w:val="en-US"/>
        </w:rPr>
        <w:t xml:space="preserve"> </w:t>
      </w:r>
      <w:r w:rsidRPr="00610904">
        <w:rPr>
          <w:noProof w:val="0"/>
          <w:lang w:val="en-US"/>
        </w:rPr>
        <w:lastRenderedPageBreak/>
        <w:t xml:space="preserve">concept of “decent life” and entailed an analysis of extreme circumstances such as those of this case, where the facts that gave rise to international responsibility are associated with a </w:t>
      </w:r>
      <w:r w:rsidR="00D64D5C" w:rsidRPr="00610904">
        <w:rPr>
          <w:noProof w:val="0"/>
          <w:lang w:val="en-US"/>
        </w:rPr>
        <w:t>significant</w:t>
      </w:r>
      <w:r w:rsidRPr="00610904">
        <w:rPr>
          <w:noProof w:val="0"/>
          <w:lang w:val="en-US"/>
        </w:rPr>
        <w:t xml:space="preserve"> risk for the life of Talía Gonzales Lluy</w:t>
      </w:r>
      <w:r w:rsidR="00D64D5C" w:rsidRPr="00610904">
        <w:rPr>
          <w:noProof w:val="0"/>
          <w:lang w:val="en-US"/>
        </w:rPr>
        <w:t xml:space="preserve">, a risk she will face throughout </w:t>
      </w:r>
      <w:r w:rsidRPr="00610904">
        <w:rPr>
          <w:noProof w:val="0"/>
          <w:lang w:val="en-US"/>
        </w:rPr>
        <w:t xml:space="preserve">her life. The declaration of the State’s responsibility took into account the particular context of vulnerability of the Lluy </w:t>
      </w:r>
      <w:r w:rsidR="00D64D5C" w:rsidRPr="00610904">
        <w:rPr>
          <w:noProof w:val="0"/>
          <w:lang w:val="en-US"/>
        </w:rPr>
        <w:t xml:space="preserve">family </w:t>
      </w:r>
      <w:r w:rsidRPr="00610904">
        <w:rPr>
          <w:noProof w:val="0"/>
          <w:lang w:val="en-US"/>
        </w:rPr>
        <w:t xml:space="preserve">and the specific conditions of Talía as a woman, a minor, </w:t>
      </w:r>
      <w:r w:rsidR="00D64D5C" w:rsidRPr="00610904">
        <w:rPr>
          <w:noProof w:val="0"/>
          <w:lang w:val="en-US"/>
        </w:rPr>
        <w:t xml:space="preserve">a person </w:t>
      </w:r>
      <w:r w:rsidRPr="00610904">
        <w:rPr>
          <w:noProof w:val="0"/>
          <w:lang w:val="en-US"/>
        </w:rPr>
        <w:t>living in poverty, and</w:t>
      </w:r>
      <w:r w:rsidR="00D64D5C" w:rsidRPr="00610904">
        <w:rPr>
          <w:noProof w:val="0"/>
          <w:lang w:val="en-US"/>
        </w:rPr>
        <w:t xml:space="preserve"> a person</w:t>
      </w:r>
      <w:r w:rsidRPr="00610904">
        <w:rPr>
          <w:noProof w:val="0"/>
          <w:lang w:val="en-US"/>
        </w:rPr>
        <w:t xml:space="preserve"> living with HIV.</w:t>
      </w:r>
    </w:p>
    <w:p w:rsidR="004D47AE" w:rsidRPr="00610904" w:rsidRDefault="004D47AE" w:rsidP="00610904">
      <w:pPr>
        <w:pStyle w:val="ListParagraph"/>
        <w:ind w:left="0"/>
        <w:rPr>
          <w:noProof w:val="0"/>
          <w:lang w:val="en-US"/>
        </w:rPr>
      </w:pPr>
    </w:p>
    <w:p w:rsidR="004D47AE" w:rsidRPr="00610904" w:rsidRDefault="00284EDF" w:rsidP="00610904">
      <w:pPr>
        <w:pStyle w:val="ListParagraph"/>
        <w:numPr>
          <w:ilvl w:val="0"/>
          <w:numId w:val="26"/>
        </w:numPr>
        <w:rPr>
          <w:noProof w:val="0"/>
          <w:lang w:val="en-US"/>
        </w:rPr>
      </w:pPr>
      <w:r w:rsidRPr="00610904">
        <w:rPr>
          <w:noProof w:val="0"/>
          <w:lang w:val="en-US"/>
        </w:rPr>
        <w:t xml:space="preserve">I agree fully with the findings of the judgment. I issue this opinion because I consider it necessary to emphasize and examine </w:t>
      </w:r>
      <w:r w:rsidR="00856968" w:rsidRPr="00610904">
        <w:rPr>
          <w:noProof w:val="0"/>
          <w:lang w:val="en-US"/>
        </w:rPr>
        <w:t>further</w:t>
      </w:r>
      <w:r w:rsidRPr="00610904">
        <w:rPr>
          <w:noProof w:val="0"/>
          <w:lang w:val="en-US"/>
        </w:rPr>
        <w:t xml:space="preserve"> some elements of the case that I believe are fundamental for the development of the inter-American human rights system: (</w:t>
      </w:r>
      <w:r w:rsidR="004D47AE" w:rsidRPr="00610904">
        <w:rPr>
          <w:noProof w:val="0"/>
          <w:lang w:val="en-US"/>
        </w:rPr>
        <w:t xml:space="preserve">I) </w:t>
      </w:r>
      <w:r w:rsidRPr="00610904">
        <w:rPr>
          <w:noProof w:val="0"/>
          <w:lang w:val="en-US"/>
        </w:rPr>
        <w:t xml:space="preserve">the concept of “intersectionality” </w:t>
      </w:r>
      <w:r w:rsidR="00D64D5C" w:rsidRPr="00610904">
        <w:rPr>
          <w:noProof w:val="0"/>
          <w:lang w:val="en-US"/>
        </w:rPr>
        <w:t>in the</w:t>
      </w:r>
      <w:r w:rsidR="006E253B" w:rsidRPr="00610904">
        <w:rPr>
          <w:noProof w:val="0"/>
          <w:lang w:val="en-US"/>
        </w:rPr>
        <w:t xml:space="preserve"> </w:t>
      </w:r>
      <w:r w:rsidRPr="00610904">
        <w:rPr>
          <w:noProof w:val="0"/>
          <w:lang w:val="en-US"/>
        </w:rPr>
        <w:t xml:space="preserve">discrimination </w:t>
      </w:r>
      <w:r w:rsidR="004D47AE" w:rsidRPr="00610904">
        <w:rPr>
          <w:noProof w:val="0"/>
          <w:lang w:val="en-US"/>
        </w:rPr>
        <w:t>(</w:t>
      </w:r>
      <w:r w:rsidR="006E502B" w:rsidRPr="00610904">
        <w:rPr>
          <w:i/>
          <w:noProof w:val="0"/>
          <w:lang w:val="en-US"/>
        </w:rPr>
        <w:t>paras.</w:t>
      </w:r>
      <w:r w:rsidR="004D47AE" w:rsidRPr="00610904">
        <w:rPr>
          <w:i/>
          <w:noProof w:val="0"/>
          <w:lang w:val="en-US"/>
        </w:rPr>
        <w:t xml:space="preserve"> 5-12</w:t>
      </w:r>
      <w:r w:rsidR="004D47AE" w:rsidRPr="00610904">
        <w:rPr>
          <w:noProof w:val="0"/>
          <w:lang w:val="en-US"/>
        </w:rPr>
        <w:t xml:space="preserve">); </w:t>
      </w:r>
      <w:r w:rsidRPr="00610904">
        <w:rPr>
          <w:noProof w:val="0"/>
          <w:lang w:val="en-US"/>
        </w:rPr>
        <w:t>(</w:t>
      </w:r>
      <w:r w:rsidR="004D47AE" w:rsidRPr="00610904">
        <w:rPr>
          <w:noProof w:val="0"/>
          <w:lang w:val="en-US"/>
        </w:rPr>
        <w:t xml:space="preserve">II) </w:t>
      </w:r>
      <w:r w:rsidRPr="00610904">
        <w:rPr>
          <w:noProof w:val="0"/>
          <w:lang w:val="en-US"/>
        </w:rPr>
        <w:t xml:space="preserve">the possibility of having dealt with the “right to health” directly and, eventually, having declared </w:t>
      </w:r>
      <w:r w:rsidR="00EF508D" w:rsidRPr="00610904">
        <w:rPr>
          <w:noProof w:val="0"/>
          <w:lang w:val="en-US"/>
        </w:rPr>
        <w:t>the violation</w:t>
      </w:r>
      <w:r w:rsidR="004D47AE" w:rsidRPr="00610904">
        <w:rPr>
          <w:noProof w:val="0"/>
          <w:lang w:val="en-US"/>
        </w:rPr>
        <w:t xml:space="preserve"> </w:t>
      </w:r>
      <w:r w:rsidR="006E502B" w:rsidRPr="00610904">
        <w:rPr>
          <w:noProof w:val="0"/>
          <w:lang w:val="en-US"/>
        </w:rPr>
        <w:t>of Article</w:t>
      </w:r>
      <w:r w:rsidR="004D47AE" w:rsidRPr="00610904">
        <w:rPr>
          <w:noProof w:val="0"/>
          <w:lang w:val="en-US"/>
        </w:rPr>
        <w:t xml:space="preserve"> 26</w:t>
      </w:r>
      <w:r w:rsidR="009F3D78" w:rsidRPr="00610904">
        <w:rPr>
          <w:noProof w:val="0"/>
          <w:lang w:val="en-US"/>
        </w:rPr>
        <w:t xml:space="preserve"> of the American Convention</w:t>
      </w:r>
      <w:r w:rsidR="004D47AE" w:rsidRPr="00610904">
        <w:rPr>
          <w:noProof w:val="0"/>
          <w:lang w:val="en-US"/>
        </w:rPr>
        <w:t xml:space="preserve"> (</w:t>
      </w:r>
      <w:r w:rsidR="006E502B" w:rsidRPr="00610904">
        <w:rPr>
          <w:i/>
          <w:noProof w:val="0"/>
          <w:lang w:val="en-US"/>
        </w:rPr>
        <w:t>paras.</w:t>
      </w:r>
      <w:r w:rsidR="004D47AE" w:rsidRPr="00610904">
        <w:rPr>
          <w:i/>
          <w:noProof w:val="0"/>
          <w:lang w:val="en-US"/>
        </w:rPr>
        <w:t xml:space="preserve"> 13-17</w:t>
      </w:r>
      <w:r w:rsidR="00D64D5C" w:rsidRPr="00610904">
        <w:rPr>
          <w:noProof w:val="0"/>
          <w:lang w:val="en-US"/>
        </w:rPr>
        <w:t>),</w:t>
      </w:r>
      <w:r w:rsidR="009F3D78" w:rsidRPr="00610904">
        <w:rPr>
          <w:noProof w:val="0"/>
          <w:lang w:val="en-US"/>
        </w:rPr>
        <w:t xml:space="preserve"> and </w:t>
      </w:r>
      <w:r w:rsidRPr="00610904">
        <w:rPr>
          <w:noProof w:val="0"/>
          <w:lang w:val="en-US"/>
        </w:rPr>
        <w:t>(</w:t>
      </w:r>
      <w:r w:rsidR="004D47AE" w:rsidRPr="00610904">
        <w:rPr>
          <w:noProof w:val="0"/>
          <w:lang w:val="en-US"/>
        </w:rPr>
        <w:t xml:space="preserve">III) </w:t>
      </w:r>
      <w:r w:rsidRPr="00610904">
        <w:rPr>
          <w:noProof w:val="0"/>
          <w:lang w:val="en-US"/>
        </w:rPr>
        <w:t>the need to continue advancing towards</w:t>
      </w:r>
      <w:r w:rsidR="00D64D5C" w:rsidRPr="00610904">
        <w:rPr>
          <w:noProof w:val="0"/>
          <w:lang w:val="en-US"/>
        </w:rPr>
        <w:t xml:space="preserve"> the full justiciability of </w:t>
      </w:r>
      <w:r w:rsidRPr="00610904">
        <w:rPr>
          <w:noProof w:val="0"/>
          <w:lang w:val="en-US"/>
        </w:rPr>
        <w:t>economic, social, cultural and environmental rights under the inter-</w:t>
      </w:r>
      <w:r w:rsidR="00856968" w:rsidRPr="00610904">
        <w:rPr>
          <w:noProof w:val="0"/>
          <w:lang w:val="en-US"/>
        </w:rPr>
        <w:t>American</w:t>
      </w:r>
      <w:r w:rsidRPr="00610904">
        <w:rPr>
          <w:noProof w:val="0"/>
          <w:lang w:val="en-US"/>
        </w:rPr>
        <w:t xml:space="preserve"> system </w:t>
      </w:r>
      <w:r w:rsidR="004D47AE" w:rsidRPr="00610904">
        <w:rPr>
          <w:noProof w:val="0"/>
          <w:lang w:val="en-US"/>
        </w:rPr>
        <w:t>(</w:t>
      </w:r>
      <w:r w:rsidR="006E502B" w:rsidRPr="00610904">
        <w:rPr>
          <w:i/>
          <w:noProof w:val="0"/>
          <w:lang w:val="en-US"/>
        </w:rPr>
        <w:t>paras.</w:t>
      </w:r>
      <w:r w:rsidR="004D47AE" w:rsidRPr="00610904">
        <w:rPr>
          <w:i/>
          <w:noProof w:val="0"/>
          <w:lang w:val="en-US"/>
        </w:rPr>
        <w:t xml:space="preserve"> 18-23</w:t>
      </w:r>
      <w:r w:rsidR="004D47AE" w:rsidRPr="00610904">
        <w:rPr>
          <w:noProof w:val="0"/>
          <w:lang w:val="en-US"/>
        </w:rPr>
        <w:t>).</w:t>
      </w:r>
    </w:p>
    <w:p w:rsidR="004D47AE" w:rsidRPr="00610904" w:rsidRDefault="004D47AE" w:rsidP="00610904">
      <w:pPr>
        <w:rPr>
          <w:noProof w:val="0"/>
          <w:lang w:val="en-US"/>
        </w:rPr>
      </w:pPr>
    </w:p>
    <w:p w:rsidR="004D47AE" w:rsidRPr="00610904" w:rsidRDefault="004D47AE" w:rsidP="00610904">
      <w:pPr>
        <w:pStyle w:val="Heading1"/>
        <w:rPr>
          <w:noProof w:val="0"/>
          <w:lang w:val="en-US"/>
        </w:rPr>
      </w:pPr>
      <w:bookmarkStart w:id="193" w:name="_Toc443399141"/>
      <w:r w:rsidRPr="00610904">
        <w:rPr>
          <w:noProof w:val="0"/>
          <w:lang w:val="en-US"/>
        </w:rPr>
        <w:t>I.  intersec</w:t>
      </w:r>
      <w:r w:rsidR="00284EDF" w:rsidRPr="00610904">
        <w:rPr>
          <w:noProof w:val="0"/>
          <w:lang w:val="en-US"/>
        </w:rPr>
        <w:t xml:space="preserve">TIONALITY </w:t>
      </w:r>
      <w:r w:rsidR="006E253B" w:rsidRPr="00610904">
        <w:rPr>
          <w:noProof w:val="0"/>
          <w:lang w:val="en-US"/>
        </w:rPr>
        <w:t>OF</w:t>
      </w:r>
      <w:r w:rsidR="00284EDF" w:rsidRPr="00610904">
        <w:rPr>
          <w:noProof w:val="0"/>
          <w:lang w:val="en-US"/>
        </w:rPr>
        <w:t xml:space="preserve"> DISCRIMINATION</w:t>
      </w:r>
      <w:bookmarkEnd w:id="193"/>
    </w:p>
    <w:p w:rsidR="004D47AE" w:rsidRPr="00610904" w:rsidRDefault="004D47AE" w:rsidP="00610904">
      <w:pPr>
        <w:pStyle w:val="ListParagraph"/>
        <w:ind w:left="1287"/>
        <w:rPr>
          <w:noProof w:val="0"/>
          <w:lang w:val="en-US"/>
        </w:rPr>
      </w:pPr>
    </w:p>
    <w:p w:rsidR="004D47AE" w:rsidRPr="00610904" w:rsidRDefault="009F3D78" w:rsidP="00610904">
      <w:pPr>
        <w:pStyle w:val="ListParagraph"/>
        <w:numPr>
          <w:ilvl w:val="0"/>
          <w:numId w:val="26"/>
        </w:numPr>
        <w:rPr>
          <w:noProof w:val="0"/>
          <w:szCs w:val="20"/>
          <w:lang w:val="en-US"/>
        </w:rPr>
      </w:pPr>
      <w:r w:rsidRPr="00610904">
        <w:rPr>
          <w:noProof w:val="0"/>
          <w:lang w:val="en-US"/>
        </w:rPr>
        <w:t xml:space="preserve">The </w:t>
      </w:r>
      <w:r w:rsidR="00284EDF" w:rsidRPr="00610904">
        <w:rPr>
          <w:noProof w:val="0"/>
          <w:lang w:val="en-US"/>
        </w:rPr>
        <w:t xml:space="preserve">Inter-American Court considered that </w:t>
      </w:r>
      <w:r w:rsidRPr="00610904">
        <w:rPr>
          <w:noProof w:val="0"/>
          <w:szCs w:val="20"/>
          <w:lang w:val="en-US"/>
        </w:rPr>
        <w:t>the State</w:t>
      </w:r>
      <w:r w:rsidR="004D47AE" w:rsidRPr="00610904">
        <w:rPr>
          <w:noProof w:val="0"/>
          <w:szCs w:val="20"/>
          <w:lang w:val="en-US"/>
        </w:rPr>
        <w:t xml:space="preserve"> </w:t>
      </w:r>
      <w:r w:rsidR="00284EDF" w:rsidRPr="00610904">
        <w:rPr>
          <w:noProof w:val="0"/>
          <w:szCs w:val="20"/>
          <w:lang w:val="en-US"/>
        </w:rPr>
        <w:t>had violated the</w:t>
      </w:r>
      <w:r w:rsidR="004D47AE" w:rsidRPr="00610904">
        <w:rPr>
          <w:noProof w:val="0"/>
          <w:szCs w:val="20"/>
          <w:lang w:val="en-US"/>
        </w:rPr>
        <w:t xml:space="preserve"> “</w:t>
      </w:r>
      <w:r w:rsidR="007D72DC" w:rsidRPr="00610904">
        <w:rPr>
          <w:noProof w:val="0"/>
          <w:szCs w:val="20"/>
          <w:lang w:val="en-US"/>
        </w:rPr>
        <w:t>right to education</w:t>
      </w:r>
      <w:r w:rsidR="004D47AE" w:rsidRPr="00610904">
        <w:rPr>
          <w:noProof w:val="0"/>
          <w:szCs w:val="20"/>
          <w:lang w:val="en-US"/>
        </w:rPr>
        <w:t xml:space="preserve">” </w:t>
      </w:r>
      <w:r w:rsidR="00284EDF" w:rsidRPr="00610904">
        <w:rPr>
          <w:noProof w:val="0"/>
          <w:szCs w:val="20"/>
          <w:lang w:val="en-US"/>
        </w:rPr>
        <w:t xml:space="preserve">contained in </w:t>
      </w:r>
      <w:r w:rsidRPr="00610904">
        <w:rPr>
          <w:noProof w:val="0"/>
          <w:szCs w:val="20"/>
          <w:lang w:val="en-US"/>
        </w:rPr>
        <w:t>Article</w:t>
      </w:r>
      <w:r w:rsidR="004D47AE" w:rsidRPr="00610904">
        <w:rPr>
          <w:noProof w:val="0"/>
          <w:szCs w:val="20"/>
          <w:lang w:val="en-US"/>
        </w:rPr>
        <w:t xml:space="preserve"> 13 </w:t>
      </w:r>
      <w:r w:rsidR="00882CCC" w:rsidRPr="00610904">
        <w:rPr>
          <w:noProof w:val="0"/>
          <w:szCs w:val="20"/>
          <w:lang w:val="en-US"/>
        </w:rPr>
        <w:t>of the Protocol</w:t>
      </w:r>
      <w:r w:rsidR="00852A2E" w:rsidRPr="00610904">
        <w:rPr>
          <w:noProof w:val="0"/>
          <w:szCs w:val="20"/>
          <w:lang w:val="en-US"/>
        </w:rPr>
        <w:t xml:space="preserve"> of</w:t>
      </w:r>
      <w:r w:rsidR="004D47AE" w:rsidRPr="00610904">
        <w:rPr>
          <w:noProof w:val="0"/>
          <w:szCs w:val="20"/>
          <w:lang w:val="en-US"/>
        </w:rPr>
        <w:t xml:space="preserve"> San Salvador</w:t>
      </w:r>
      <w:r w:rsidR="00284EDF" w:rsidRPr="00610904">
        <w:rPr>
          <w:noProof w:val="0"/>
          <w:szCs w:val="20"/>
          <w:lang w:val="en-US"/>
        </w:rPr>
        <w:t>,</w:t>
      </w:r>
      <w:r w:rsidR="004D47AE" w:rsidRPr="00610904">
        <w:rPr>
          <w:rStyle w:val="FootnoteReference"/>
          <w:noProof w:val="0"/>
          <w:lang w:val="en-US"/>
        </w:rPr>
        <w:footnoteReference w:id="479"/>
      </w:r>
      <w:r w:rsidR="004D47AE" w:rsidRPr="00610904">
        <w:rPr>
          <w:noProof w:val="0"/>
          <w:szCs w:val="20"/>
          <w:lang w:val="en-US"/>
        </w:rPr>
        <w:t xml:space="preserve"> </w:t>
      </w:r>
      <w:r w:rsidR="004A6E8B" w:rsidRPr="00610904">
        <w:rPr>
          <w:noProof w:val="0"/>
          <w:szCs w:val="20"/>
          <w:lang w:val="en-US"/>
        </w:rPr>
        <w:t>in relation to</w:t>
      </w:r>
      <w:r w:rsidR="004D47AE" w:rsidRPr="00610904">
        <w:rPr>
          <w:noProof w:val="0"/>
          <w:szCs w:val="20"/>
          <w:lang w:val="en-US"/>
        </w:rPr>
        <w:t xml:space="preserve"> </w:t>
      </w:r>
      <w:r w:rsidRPr="00610904">
        <w:rPr>
          <w:noProof w:val="0"/>
          <w:szCs w:val="20"/>
          <w:lang w:val="en-US"/>
        </w:rPr>
        <w:t>Articles</w:t>
      </w:r>
      <w:r w:rsidR="004D47AE" w:rsidRPr="00610904">
        <w:rPr>
          <w:noProof w:val="0"/>
          <w:szCs w:val="20"/>
          <w:lang w:val="en-US"/>
        </w:rPr>
        <w:t xml:space="preserve"> 19 (</w:t>
      </w:r>
      <w:r w:rsidR="00284EDF" w:rsidRPr="00610904">
        <w:rPr>
          <w:noProof w:val="0"/>
          <w:szCs w:val="20"/>
          <w:lang w:val="en-US"/>
        </w:rPr>
        <w:t>Rights of the Child</w:t>
      </w:r>
      <w:r w:rsidR="004D47AE" w:rsidRPr="00610904">
        <w:rPr>
          <w:noProof w:val="0"/>
          <w:szCs w:val="20"/>
          <w:lang w:val="en-US"/>
        </w:rPr>
        <w:t>)</w:t>
      </w:r>
      <w:r w:rsidRPr="00610904">
        <w:rPr>
          <w:noProof w:val="0"/>
          <w:szCs w:val="20"/>
          <w:lang w:val="en-US"/>
        </w:rPr>
        <w:t xml:space="preserve"> and </w:t>
      </w:r>
      <w:r w:rsidR="00284EDF" w:rsidRPr="00610904">
        <w:rPr>
          <w:noProof w:val="0"/>
          <w:szCs w:val="20"/>
          <w:lang w:val="en-US"/>
        </w:rPr>
        <w:t xml:space="preserve">1(1) </w:t>
      </w:r>
      <w:r w:rsidR="004D47AE" w:rsidRPr="00610904">
        <w:rPr>
          <w:noProof w:val="0"/>
          <w:szCs w:val="20"/>
          <w:lang w:val="en-US"/>
        </w:rPr>
        <w:t>(</w:t>
      </w:r>
      <w:r w:rsidR="00284EDF" w:rsidRPr="00610904">
        <w:rPr>
          <w:noProof w:val="0"/>
          <w:szCs w:val="20"/>
          <w:lang w:val="en-US"/>
        </w:rPr>
        <w:t>Obligation to Respect Rights</w:t>
      </w:r>
      <w:r w:rsidR="004D47AE" w:rsidRPr="00610904">
        <w:rPr>
          <w:noProof w:val="0"/>
          <w:szCs w:val="20"/>
          <w:lang w:val="en-US"/>
        </w:rPr>
        <w:t>)</w:t>
      </w:r>
      <w:r w:rsidRPr="00610904">
        <w:rPr>
          <w:noProof w:val="0"/>
          <w:szCs w:val="20"/>
          <w:lang w:val="en-US"/>
        </w:rPr>
        <w:t xml:space="preserve"> of the American Convention</w:t>
      </w:r>
      <w:r w:rsidR="004D47AE" w:rsidRPr="00610904">
        <w:rPr>
          <w:noProof w:val="0"/>
          <w:szCs w:val="20"/>
          <w:lang w:val="en-US"/>
        </w:rPr>
        <w:t xml:space="preserve"> </w:t>
      </w:r>
      <w:r w:rsidR="004A6E8B" w:rsidRPr="00610904">
        <w:rPr>
          <w:noProof w:val="0"/>
          <w:szCs w:val="20"/>
          <w:lang w:val="en-US"/>
        </w:rPr>
        <w:t>to the detriment of</w:t>
      </w:r>
      <w:r w:rsidR="004D47AE" w:rsidRPr="00610904">
        <w:rPr>
          <w:noProof w:val="0"/>
          <w:szCs w:val="20"/>
          <w:lang w:val="en-US"/>
        </w:rPr>
        <w:t xml:space="preserve"> Talía Gonzales Lluy, </w:t>
      </w:r>
      <w:r w:rsidR="006E253B" w:rsidRPr="00610904">
        <w:rPr>
          <w:noProof w:val="0"/>
          <w:szCs w:val="20"/>
          <w:lang w:val="en-US"/>
        </w:rPr>
        <w:t>owing to the discrimination she suffered because of her condition of being a person living with HIV, a minor, a woman, and</w:t>
      </w:r>
      <w:r w:rsidR="00D64D5C" w:rsidRPr="00610904">
        <w:rPr>
          <w:noProof w:val="0"/>
          <w:szCs w:val="20"/>
          <w:lang w:val="en-US"/>
        </w:rPr>
        <w:t xml:space="preserve"> a person</w:t>
      </w:r>
      <w:r w:rsidR="006E253B" w:rsidRPr="00610904">
        <w:rPr>
          <w:noProof w:val="0"/>
          <w:szCs w:val="20"/>
          <w:lang w:val="en-US"/>
        </w:rPr>
        <w:t xml:space="preserve"> living in poverty.</w:t>
      </w:r>
    </w:p>
    <w:p w:rsidR="004D47AE" w:rsidRPr="00610904" w:rsidRDefault="004D47AE" w:rsidP="00610904">
      <w:pPr>
        <w:pStyle w:val="ListParagraph"/>
        <w:ind w:left="0"/>
        <w:rPr>
          <w:noProof w:val="0"/>
          <w:lang w:val="en-US"/>
        </w:rPr>
      </w:pPr>
    </w:p>
    <w:p w:rsidR="004D47AE" w:rsidRPr="00610904" w:rsidRDefault="006E253B" w:rsidP="00610904">
      <w:pPr>
        <w:pStyle w:val="ListParagraph"/>
        <w:numPr>
          <w:ilvl w:val="0"/>
          <w:numId w:val="26"/>
        </w:numPr>
        <w:rPr>
          <w:noProof w:val="0"/>
          <w:lang w:val="en-US"/>
        </w:rPr>
      </w:pPr>
      <w:r w:rsidRPr="00610904">
        <w:rPr>
          <w:noProof w:val="0"/>
          <w:lang w:val="en-US"/>
        </w:rPr>
        <w:t>For the first time, the Court used the concept of</w:t>
      </w:r>
      <w:r w:rsidR="00D64D5C" w:rsidRPr="00610904">
        <w:rPr>
          <w:noProof w:val="0"/>
          <w:lang w:val="en-US"/>
        </w:rPr>
        <w:t xml:space="preserve"> the</w:t>
      </w:r>
      <w:r w:rsidRPr="00610904">
        <w:rPr>
          <w:noProof w:val="0"/>
          <w:lang w:val="en-US"/>
        </w:rPr>
        <w:t xml:space="preserve"> “intersectionality” of discrimination as follows:</w:t>
      </w:r>
    </w:p>
    <w:p w:rsidR="004D47AE" w:rsidRPr="00610904" w:rsidRDefault="004D47AE" w:rsidP="00610904">
      <w:pPr>
        <w:pStyle w:val="ListParagraph"/>
        <w:ind w:left="0"/>
        <w:rPr>
          <w:noProof w:val="0"/>
          <w:lang w:val="en-US"/>
        </w:rPr>
      </w:pPr>
    </w:p>
    <w:p w:rsidR="006E253B" w:rsidRPr="00610904" w:rsidRDefault="004D47AE" w:rsidP="00436ECD">
      <w:pPr>
        <w:pStyle w:val="ListParagraph"/>
        <w:ind w:right="360"/>
        <w:rPr>
          <w:noProof w:val="0"/>
          <w:lang w:val="en-US"/>
        </w:rPr>
      </w:pPr>
      <w:r w:rsidRPr="00610904">
        <w:rPr>
          <w:noProof w:val="0"/>
          <w:snapToGrid w:val="0"/>
          <w:sz w:val="18"/>
          <w:szCs w:val="18"/>
          <w:lang w:val="en-US"/>
        </w:rPr>
        <w:lastRenderedPageBreak/>
        <w:t>290.</w:t>
      </w:r>
      <w:r w:rsidRPr="00610904">
        <w:rPr>
          <w:noProof w:val="0"/>
          <w:snapToGrid w:val="0"/>
          <w:sz w:val="18"/>
          <w:szCs w:val="18"/>
          <w:lang w:val="en-US"/>
        </w:rPr>
        <w:tab/>
      </w:r>
      <w:r w:rsidR="006E253B" w:rsidRPr="00610904">
        <w:rPr>
          <w:noProof w:val="0"/>
          <w:snapToGrid w:val="0"/>
          <w:sz w:val="18"/>
          <w:szCs w:val="18"/>
          <w:lang w:val="en-US"/>
        </w:rPr>
        <w:t xml:space="preserve">The Court notes that, in Talía’s case, numerous factors of vulnerability and risk of discrimination </w:t>
      </w:r>
      <w:r w:rsidR="006E253B" w:rsidRPr="00610904">
        <w:rPr>
          <w:b/>
          <w:noProof w:val="0"/>
          <w:snapToGrid w:val="0"/>
          <w:sz w:val="18"/>
          <w:szCs w:val="18"/>
          <w:lang w:val="en-US"/>
        </w:rPr>
        <w:t>intersected</w:t>
      </w:r>
      <w:r w:rsidR="006E253B" w:rsidRPr="00610904">
        <w:rPr>
          <w:noProof w:val="0"/>
          <w:snapToGrid w:val="0"/>
          <w:sz w:val="18"/>
          <w:szCs w:val="18"/>
          <w:lang w:val="en-US"/>
        </w:rPr>
        <w:t xml:space="preserve"> that were associated with her condition as a minor, a female, a person living in poverty, and a person living with HIV. The discrimination experienced by Talía was caused not only by numerous factors, </w:t>
      </w:r>
      <w:r w:rsidR="006E253B" w:rsidRPr="00610904">
        <w:rPr>
          <w:b/>
          <w:noProof w:val="0"/>
          <w:snapToGrid w:val="0"/>
          <w:sz w:val="18"/>
          <w:szCs w:val="18"/>
          <w:lang w:val="en-US"/>
        </w:rPr>
        <w:t>but also arose from a specific form of discrimination that resul</w:t>
      </w:r>
      <w:r w:rsidR="00D64D5C" w:rsidRPr="00610904">
        <w:rPr>
          <w:b/>
          <w:noProof w:val="0"/>
          <w:snapToGrid w:val="0"/>
          <w:sz w:val="18"/>
          <w:szCs w:val="18"/>
          <w:lang w:val="en-US"/>
        </w:rPr>
        <w:t>ted from the intersection of tho</w:t>
      </w:r>
      <w:r w:rsidR="006E253B" w:rsidRPr="00610904">
        <w:rPr>
          <w:b/>
          <w:noProof w:val="0"/>
          <w:snapToGrid w:val="0"/>
          <w:sz w:val="18"/>
          <w:szCs w:val="18"/>
          <w:lang w:val="en-US"/>
        </w:rPr>
        <w:t>se factors; in other words, if one of those factors had not existed, the discrimination would have been different</w:t>
      </w:r>
      <w:r w:rsidR="006E253B" w:rsidRPr="00610904">
        <w:rPr>
          <w:noProof w:val="0"/>
          <w:snapToGrid w:val="0"/>
          <w:sz w:val="18"/>
          <w:szCs w:val="18"/>
          <w:lang w:val="en-US"/>
        </w:rPr>
        <w:t>. Indeed, the poverty had an impact on the initial access to health care that was not of the best quality and that, to the contrary, resulted in the infection with HIV. The situation of poverty also had an impact on the difficulties t</w:t>
      </w:r>
      <w:r w:rsidR="00D64D5C" w:rsidRPr="00610904">
        <w:rPr>
          <w:noProof w:val="0"/>
          <w:snapToGrid w:val="0"/>
          <w:sz w:val="18"/>
          <w:szCs w:val="18"/>
          <w:lang w:val="en-US"/>
        </w:rPr>
        <w:t xml:space="preserve">o gain access to the </w:t>
      </w:r>
      <w:r w:rsidR="001A2523" w:rsidRPr="00610904">
        <w:rPr>
          <w:noProof w:val="0"/>
          <w:snapToGrid w:val="0"/>
          <w:sz w:val="18"/>
          <w:szCs w:val="18"/>
          <w:lang w:val="en-US"/>
        </w:rPr>
        <w:t>education system</w:t>
      </w:r>
      <w:r w:rsidR="006E253B" w:rsidRPr="00610904">
        <w:rPr>
          <w:noProof w:val="0"/>
          <w:snapToGrid w:val="0"/>
          <w:sz w:val="18"/>
          <w:szCs w:val="18"/>
          <w:lang w:val="en-US"/>
        </w:rPr>
        <w:t xml:space="preserve"> and to lead a </w:t>
      </w:r>
      <w:r w:rsidR="001A2523" w:rsidRPr="00610904">
        <w:rPr>
          <w:noProof w:val="0"/>
          <w:snapToGrid w:val="0"/>
          <w:sz w:val="18"/>
          <w:szCs w:val="18"/>
          <w:lang w:val="en-US"/>
        </w:rPr>
        <w:t>decent life. Subsequently, because</w:t>
      </w:r>
      <w:r w:rsidR="006E253B" w:rsidRPr="00610904">
        <w:rPr>
          <w:noProof w:val="0"/>
          <w:snapToGrid w:val="0"/>
          <w:sz w:val="18"/>
          <w:szCs w:val="18"/>
          <w:lang w:val="en-US"/>
        </w:rPr>
        <w:t xml:space="preserve"> she was a child with HIV, the obstacles that Talía suffered in access to edu</w:t>
      </w:r>
      <w:r w:rsidR="001A2523" w:rsidRPr="00610904">
        <w:rPr>
          <w:noProof w:val="0"/>
          <w:snapToGrid w:val="0"/>
          <w:sz w:val="18"/>
          <w:szCs w:val="18"/>
          <w:lang w:val="en-US"/>
        </w:rPr>
        <w:t>cation had a negative impact on</w:t>
      </w:r>
      <w:r w:rsidR="006E253B" w:rsidRPr="00610904">
        <w:rPr>
          <w:noProof w:val="0"/>
          <w:snapToGrid w:val="0"/>
          <w:sz w:val="18"/>
          <w:szCs w:val="18"/>
          <w:lang w:val="en-US"/>
        </w:rPr>
        <w:t xml:space="preserve"> her overall development, which is also a differentiated impact taking into account the role of education in overcoming gender stereotypes. As a child with HIV, she required greater support from the State to implement her life project. As a woman, Talía has described the dilemmas she feels as regards future maternity and her interaction in an intimate relationship, and has indicated that she has not had appropriate counseling. In sum, Talía’s case illustrates that </w:t>
      </w:r>
      <w:r w:rsidR="001A2523" w:rsidRPr="00610904">
        <w:rPr>
          <w:noProof w:val="0"/>
          <w:snapToGrid w:val="0"/>
          <w:sz w:val="18"/>
          <w:szCs w:val="18"/>
          <w:lang w:val="en-US"/>
        </w:rPr>
        <w:t xml:space="preserve">HIV-related </w:t>
      </w:r>
      <w:r w:rsidR="006E253B" w:rsidRPr="00610904">
        <w:rPr>
          <w:noProof w:val="0"/>
          <w:snapToGrid w:val="0"/>
          <w:sz w:val="18"/>
          <w:szCs w:val="18"/>
          <w:lang w:val="en-US"/>
        </w:rPr>
        <w:t>stigmatization does not affect everyone in the same way and that the impact is more severe on members of vulnerable groups</w:t>
      </w:r>
      <w:r w:rsidR="006E253B" w:rsidRPr="00610904">
        <w:rPr>
          <w:noProof w:val="0"/>
          <w:sz w:val="18"/>
          <w:szCs w:val="18"/>
          <w:lang w:val="en-US"/>
        </w:rPr>
        <w:t xml:space="preserve"> (bold added).</w:t>
      </w:r>
    </w:p>
    <w:p w:rsidR="004D47AE" w:rsidRPr="00610904" w:rsidRDefault="004D47AE" w:rsidP="00610904">
      <w:pPr>
        <w:pStyle w:val="ListParagraph"/>
        <w:ind w:left="0"/>
        <w:rPr>
          <w:noProof w:val="0"/>
          <w:lang w:val="en-US"/>
        </w:rPr>
      </w:pPr>
    </w:p>
    <w:p w:rsidR="006E253B" w:rsidRPr="00610904" w:rsidRDefault="006E253B" w:rsidP="00610904">
      <w:pPr>
        <w:pStyle w:val="ListParagraph"/>
        <w:numPr>
          <w:ilvl w:val="0"/>
          <w:numId w:val="26"/>
        </w:numPr>
        <w:rPr>
          <w:noProof w:val="0"/>
          <w:lang w:val="en-US"/>
        </w:rPr>
      </w:pPr>
      <w:r w:rsidRPr="00610904">
        <w:rPr>
          <w:rFonts w:cs="Arial"/>
          <w:noProof w:val="0"/>
          <w:color w:val="000000"/>
          <w:szCs w:val="20"/>
          <w:lang w:val="en-US"/>
        </w:rPr>
        <w:t xml:space="preserve">The concept of intersectionality allowed the Court to develop </w:t>
      </w:r>
      <w:r w:rsidRPr="00610904">
        <w:rPr>
          <w:noProof w:val="0"/>
          <w:szCs w:val="20"/>
          <w:lang w:val="en-US" w:eastAsia="es-ES"/>
        </w:rPr>
        <w:t xml:space="preserve">the Inter-American Court’s case law on the scope of the principle of non-discrimination, taking into account that, in this case, </w:t>
      </w:r>
      <w:proofErr w:type="gramStart"/>
      <w:r w:rsidRPr="00610904">
        <w:rPr>
          <w:noProof w:val="0"/>
          <w:szCs w:val="20"/>
          <w:lang w:val="en-US" w:eastAsia="es-ES"/>
        </w:rPr>
        <w:t>multiple discrimination</w:t>
      </w:r>
      <w:proofErr w:type="gramEnd"/>
      <w:r w:rsidRPr="00610904">
        <w:rPr>
          <w:noProof w:val="0"/>
          <w:szCs w:val="20"/>
          <w:lang w:val="en-US" w:eastAsia="es-ES"/>
        </w:rPr>
        <w:t xml:space="preserve"> </w:t>
      </w:r>
      <w:r w:rsidR="001A2523" w:rsidRPr="00610904">
        <w:rPr>
          <w:noProof w:val="0"/>
          <w:szCs w:val="20"/>
          <w:lang w:val="en-US" w:eastAsia="es-ES"/>
        </w:rPr>
        <w:t>occurred</w:t>
      </w:r>
      <w:r w:rsidRPr="00610904">
        <w:rPr>
          <w:noProof w:val="0"/>
          <w:szCs w:val="20"/>
          <w:lang w:val="en-US" w:eastAsia="es-ES"/>
        </w:rPr>
        <w:t xml:space="preserve"> </w:t>
      </w:r>
      <w:r w:rsidR="001A2523" w:rsidRPr="00610904">
        <w:rPr>
          <w:noProof w:val="0"/>
          <w:szCs w:val="20"/>
          <w:lang w:val="en-US" w:eastAsia="es-ES"/>
        </w:rPr>
        <w:t>based on</w:t>
      </w:r>
      <w:r w:rsidRPr="00610904">
        <w:rPr>
          <w:noProof w:val="0"/>
          <w:szCs w:val="20"/>
          <w:lang w:val="en-US" w:eastAsia="es-ES"/>
        </w:rPr>
        <w:t xml:space="preserve"> the composite nature of the causes of the discrimination. Indeed, the discrimination against Talía was associated with factors such as the fact that she was a woman, a person with HIV, a person with a disability, a minor, and </w:t>
      </w:r>
      <w:r w:rsidR="001A2523" w:rsidRPr="00610904">
        <w:rPr>
          <w:noProof w:val="0"/>
          <w:szCs w:val="20"/>
          <w:lang w:val="en-US" w:eastAsia="es-ES"/>
        </w:rPr>
        <w:t xml:space="preserve">due to </w:t>
      </w:r>
      <w:r w:rsidRPr="00610904">
        <w:rPr>
          <w:noProof w:val="0"/>
          <w:szCs w:val="20"/>
          <w:lang w:val="en-US" w:eastAsia="es-ES"/>
        </w:rPr>
        <w:t xml:space="preserve">her socio-economic status. These aspects increased </w:t>
      </w:r>
      <w:r w:rsidR="00856968" w:rsidRPr="00610904">
        <w:rPr>
          <w:noProof w:val="0"/>
          <w:szCs w:val="20"/>
          <w:lang w:val="en-US" w:eastAsia="es-ES"/>
        </w:rPr>
        <w:t>h</w:t>
      </w:r>
      <w:r w:rsidRPr="00610904">
        <w:rPr>
          <w:noProof w:val="0"/>
          <w:szCs w:val="20"/>
          <w:lang w:val="en-US" w:eastAsia="es-ES"/>
        </w:rPr>
        <w:t>er vulnerability and exacerbated the harm she suffered. The intersection of these factors in a discrimination with specif</w:t>
      </w:r>
      <w:r w:rsidR="001A2523" w:rsidRPr="00610904">
        <w:rPr>
          <w:noProof w:val="0"/>
          <w:szCs w:val="20"/>
          <w:lang w:val="en-US" w:eastAsia="es-ES"/>
        </w:rPr>
        <w:t>ic characteristics constituted</w:t>
      </w:r>
      <w:r w:rsidRPr="00610904">
        <w:rPr>
          <w:noProof w:val="0"/>
          <w:szCs w:val="20"/>
          <w:lang w:val="en-US" w:eastAsia="es-ES"/>
        </w:rPr>
        <w:t xml:space="preserve"> multiple discriminatio</w:t>
      </w:r>
      <w:r w:rsidR="001A2523" w:rsidRPr="00610904">
        <w:rPr>
          <w:noProof w:val="0"/>
          <w:szCs w:val="20"/>
          <w:lang w:val="en-US" w:eastAsia="es-ES"/>
        </w:rPr>
        <w:t>n that, in turn, constituted,</w:t>
      </w:r>
      <w:r w:rsidRPr="00610904">
        <w:rPr>
          <w:noProof w:val="0"/>
          <w:szCs w:val="20"/>
          <w:lang w:val="en-US" w:eastAsia="es-ES"/>
        </w:rPr>
        <w:t xml:space="preserve"> intersectional discrimination. Nevertheless, not every multiple </w:t>
      </w:r>
      <w:proofErr w:type="gramStart"/>
      <w:r w:rsidRPr="00610904">
        <w:rPr>
          <w:noProof w:val="0"/>
          <w:szCs w:val="20"/>
          <w:lang w:val="en-US" w:eastAsia="es-ES"/>
        </w:rPr>
        <w:t>discrimination,</w:t>
      </w:r>
      <w:proofErr w:type="gramEnd"/>
      <w:r w:rsidRPr="00610904">
        <w:rPr>
          <w:noProof w:val="0"/>
          <w:szCs w:val="20"/>
          <w:lang w:val="en-US" w:eastAsia="es-ES"/>
        </w:rPr>
        <w:t xml:space="preserve"> is necessarily associated with intersectionality.</w:t>
      </w:r>
    </w:p>
    <w:p w:rsidR="004D47AE" w:rsidRPr="00610904" w:rsidRDefault="004D47AE" w:rsidP="00610904">
      <w:pPr>
        <w:pStyle w:val="ListParagraph"/>
        <w:ind w:left="0"/>
        <w:rPr>
          <w:noProof w:val="0"/>
          <w:lang w:val="en-US"/>
        </w:rPr>
      </w:pPr>
    </w:p>
    <w:p w:rsidR="004D47AE" w:rsidRPr="00610904" w:rsidRDefault="006E253B" w:rsidP="00610904">
      <w:pPr>
        <w:pStyle w:val="ListParagraph"/>
        <w:numPr>
          <w:ilvl w:val="0"/>
          <w:numId w:val="26"/>
        </w:numPr>
        <w:rPr>
          <w:noProof w:val="0"/>
          <w:lang w:val="en-US"/>
        </w:rPr>
      </w:pPr>
      <w:r w:rsidRPr="00610904">
        <w:rPr>
          <w:noProof w:val="0"/>
          <w:lang w:val="en-US" w:eastAsia="es-ES"/>
        </w:rPr>
        <w:t>In</w:t>
      </w:r>
      <w:r w:rsidR="001A2523" w:rsidRPr="00610904">
        <w:rPr>
          <w:noProof w:val="0"/>
          <w:lang w:val="en-US" w:eastAsia="es-ES"/>
        </w:rPr>
        <w:t>deed, with regard to multiple or</w:t>
      </w:r>
      <w:r w:rsidRPr="00610904">
        <w:rPr>
          <w:noProof w:val="0"/>
          <w:lang w:val="en-US" w:eastAsia="es-ES"/>
        </w:rPr>
        <w:t xml:space="preserve"> composite discrimination, </w:t>
      </w:r>
      <w:r w:rsidR="0013395A" w:rsidRPr="00610904">
        <w:rPr>
          <w:noProof w:val="0"/>
          <w:lang w:val="en-US" w:eastAsia="es-ES"/>
        </w:rPr>
        <w:t xml:space="preserve">the </w:t>
      </w:r>
      <w:r w:rsidR="001A2523" w:rsidRPr="00610904">
        <w:rPr>
          <w:noProof w:val="0"/>
          <w:lang w:val="en-US" w:eastAsia="es-ES"/>
        </w:rPr>
        <w:t xml:space="preserve">United Nations </w:t>
      </w:r>
      <w:r w:rsidR="0013395A" w:rsidRPr="00610904">
        <w:rPr>
          <w:noProof w:val="0"/>
          <w:lang w:val="en-US" w:eastAsia="es-ES"/>
        </w:rPr>
        <w:t>Committee on Economic, Social and Cultural Rights</w:t>
      </w:r>
      <w:r w:rsidRPr="00610904">
        <w:rPr>
          <w:noProof w:val="0"/>
          <w:lang w:val="en-US" w:eastAsia="es-ES"/>
        </w:rPr>
        <w:t xml:space="preserve"> </w:t>
      </w:r>
      <w:r w:rsidR="004D47AE" w:rsidRPr="00610904">
        <w:rPr>
          <w:noProof w:val="0"/>
          <w:lang w:val="en-US" w:eastAsia="es-ES"/>
        </w:rPr>
        <w:t>ha</w:t>
      </w:r>
      <w:r w:rsidRPr="00610904">
        <w:rPr>
          <w:noProof w:val="0"/>
          <w:lang w:val="en-US" w:eastAsia="es-ES"/>
        </w:rPr>
        <w:t xml:space="preserve">s affirmed that </w:t>
      </w:r>
      <w:r w:rsidRPr="00610904">
        <w:rPr>
          <w:noProof w:val="0"/>
          <w:lang w:val="en-US"/>
        </w:rPr>
        <w:t xml:space="preserve">“[s]ome individuals or groups of individuals face discrimination on more than one of the prohibited grounds […]. Such </w:t>
      </w:r>
      <w:r w:rsidRPr="00610904">
        <w:rPr>
          <w:iCs/>
          <w:noProof w:val="0"/>
          <w:lang w:val="en-US"/>
        </w:rPr>
        <w:t>cumulative discrimination</w:t>
      </w:r>
      <w:r w:rsidRPr="00610904">
        <w:rPr>
          <w:i/>
          <w:noProof w:val="0"/>
          <w:lang w:val="en-US"/>
        </w:rPr>
        <w:t xml:space="preserve"> </w:t>
      </w:r>
      <w:r w:rsidRPr="00610904">
        <w:rPr>
          <w:noProof w:val="0"/>
          <w:lang w:val="en-US"/>
        </w:rPr>
        <w:t>has a unique and specific impact on</w:t>
      </w:r>
      <w:r w:rsidRPr="00610904">
        <w:rPr>
          <w:i/>
          <w:noProof w:val="0"/>
          <w:lang w:val="en-US"/>
        </w:rPr>
        <w:t xml:space="preserve"> </w:t>
      </w:r>
      <w:r w:rsidRPr="00610904">
        <w:rPr>
          <w:noProof w:val="0"/>
          <w:lang w:val="en-US"/>
        </w:rPr>
        <w:t>individuals and merits particular consideration and remedying.”</w:t>
      </w:r>
      <w:r w:rsidR="004D47AE" w:rsidRPr="00610904">
        <w:rPr>
          <w:rStyle w:val="FootnoteReference"/>
          <w:noProof w:val="0"/>
          <w:lang w:val="en-US" w:eastAsia="es-ES"/>
        </w:rPr>
        <w:footnoteReference w:id="480"/>
      </w:r>
      <w:r w:rsidRPr="00610904">
        <w:rPr>
          <w:noProof w:val="0"/>
          <w:lang w:val="en-US" w:eastAsia="es-ES"/>
        </w:rPr>
        <w:t xml:space="preserve"> </w:t>
      </w:r>
      <w:r w:rsidR="001A2523" w:rsidRPr="00610904">
        <w:rPr>
          <w:noProof w:val="0"/>
          <w:lang w:val="en-US" w:eastAsia="es-ES"/>
        </w:rPr>
        <w:t xml:space="preserve">In order </w:t>
      </w:r>
      <w:r w:rsidRPr="00610904">
        <w:rPr>
          <w:noProof w:val="0"/>
          <w:lang w:val="en-US" w:eastAsia="es-ES"/>
        </w:rPr>
        <w:t xml:space="preserve">to consider </w:t>
      </w:r>
      <w:r w:rsidR="001A2523" w:rsidRPr="00610904">
        <w:rPr>
          <w:noProof w:val="0"/>
          <w:lang w:val="en-US" w:eastAsia="es-ES"/>
        </w:rPr>
        <w:t>that discrimination i</w:t>
      </w:r>
      <w:r w:rsidRPr="00610904">
        <w:rPr>
          <w:noProof w:val="0"/>
          <w:lang w:val="en-US" w:eastAsia="es-ES"/>
        </w:rPr>
        <w:t>s “</w:t>
      </w:r>
      <w:r w:rsidR="00856968" w:rsidRPr="00610904">
        <w:rPr>
          <w:noProof w:val="0"/>
          <w:lang w:val="en-US" w:eastAsia="es-ES"/>
        </w:rPr>
        <w:t>multiple</w:t>
      </w:r>
      <w:r w:rsidRPr="00610904">
        <w:rPr>
          <w:noProof w:val="0"/>
          <w:lang w:val="en-US" w:eastAsia="es-ES"/>
        </w:rPr>
        <w:t xml:space="preserve">,” several factors must </w:t>
      </w:r>
      <w:proofErr w:type="gramStart"/>
      <w:r w:rsidRPr="00610904">
        <w:rPr>
          <w:noProof w:val="0"/>
          <w:lang w:val="en-US" w:eastAsia="es-ES"/>
        </w:rPr>
        <w:t>exist</w:t>
      </w:r>
      <w:proofErr w:type="gramEnd"/>
      <w:r w:rsidRPr="00610904">
        <w:rPr>
          <w:noProof w:val="0"/>
          <w:lang w:val="en-US" w:eastAsia="es-ES"/>
        </w:rPr>
        <w:t xml:space="preserve"> that give rise to this discrimination</w:t>
      </w:r>
      <w:r w:rsidR="004D47AE" w:rsidRPr="00610904">
        <w:rPr>
          <w:noProof w:val="0"/>
          <w:lang w:val="en-US" w:eastAsia="es-ES"/>
        </w:rPr>
        <w:t xml:space="preserve">. </w:t>
      </w:r>
      <w:r w:rsidRPr="00610904">
        <w:rPr>
          <w:noProof w:val="0"/>
          <w:lang w:val="en-US" w:eastAsia="es-ES"/>
        </w:rPr>
        <w:t>Thus, the</w:t>
      </w:r>
      <w:r w:rsidRPr="00610904">
        <w:rPr>
          <w:noProof w:val="0"/>
          <w:lang w:val="en-US"/>
        </w:rPr>
        <w:t xml:space="preserve"> Inter-American Convention on Protecting the Human Rights of Older Persons, adopted by the OAS General Assembly in June 2015</w:t>
      </w:r>
      <w:r w:rsidR="004D47AE" w:rsidRPr="00610904">
        <w:rPr>
          <w:noProof w:val="0"/>
          <w:lang w:val="en-US"/>
        </w:rPr>
        <w:t>, define</w:t>
      </w:r>
      <w:r w:rsidRPr="00610904">
        <w:rPr>
          <w:noProof w:val="0"/>
          <w:lang w:val="en-US"/>
        </w:rPr>
        <w:t xml:space="preserve">s </w:t>
      </w:r>
      <w:proofErr w:type="gramStart"/>
      <w:r w:rsidRPr="00610904">
        <w:rPr>
          <w:noProof w:val="0"/>
          <w:lang w:val="en-US"/>
        </w:rPr>
        <w:t>multiple discrimination as “[a</w:t>
      </w:r>
      <w:r w:rsidR="004D47AE" w:rsidRPr="00610904">
        <w:rPr>
          <w:noProof w:val="0"/>
          <w:lang w:val="en-US"/>
        </w:rPr>
        <w:t>]</w:t>
      </w:r>
      <w:r w:rsidRPr="00610904">
        <w:rPr>
          <w:noProof w:val="0"/>
          <w:lang w:val="en-US"/>
        </w:rPr>
        <w:t>ny distinction, exclusion, or restriction toward an older person, based on two or more discrimination factors.</w:t>
      </w:r>
      <w:r w:rsidR="004D47AE" w:rsidRPr="00610904">
        <w:rPr>
          <w:noProof w:val="0"/>
          <w:lang w:val="en-US"/>
        </w:rPr>
        <w:t>”</w:t>
      </w:r>
      <w:proofErr w:type="gramEnd"/>
      <w:r w:rsidR="004D47AE" w:rsidRPr="00610904">
        <w:rPr>
          <w:rStyle w:val="FootnoteReference"/>
          <w:noProof w:val="0"/>
          <w:lang w:val="en-US"/>
        </w:rPr>
        <w:footnoteReference w:id="481"/>
      </w:r>
    </w:p>
    <w:p w:rsidR="004D47AE" w:rsidRPr="00610904" w:rsidRDefault="004D47AE" w:rsidP="00610904">
      <w:pPr>
        <w:pStyle w:val="ListParagraph"/>
        <w:rPr>
          <w:noProof w:val="0"/>
          <w:lang w:val="en-US"/>
        </w:rPr>
      </w:pPr>
    </w:p>
    <w:p w:rsidR="004D47AE" w:rsidRPr="00610904" w:rsidRDefault="006E253B" w:rsidP="00610904">
      <w:pPr>
        <w:pStyle w:val="ListParagraph"/>
        <w:numPr>
          <w:ilvl w:val="0"/>
          <w:numId w:val="26"/>
        </w:numPr>
        <w:rPr>
          <w:noProof w:val="0"/>
          <w:lang w:val="en-US"/>
        </w:rPr>
      </w:pPr>
      <w:r w:rsidRPr="00610904">
        <w:rPr>
          <w:noProof w:val="0"/>
          <w:lang w:val="en-US"/>
        </w:rPr>
        <w:t xml:space="preserve">Thus, </w:t>
      </w:r>
      <w:r w:rsidR="001A2523" w:rsidRPr="00610904">
        <w:rPr>
          <w:noProof w:val="0"/>
          <w:lang w:val="en-US"/>
        </w:rPr>
        <w:t xml:space="preserve">the </w:t>
      </w:r>
      <w:r w:rsidRPr="00610904">
        <w:rPr>
          <w:noProof w:val="0"/>
          <w:lang w:val="en-US"/>
        </w:rPr>
        <w:t>multiple</w:t>
      </w:r>
      <w:r w:rsidR="001A2523" w:rsidRPr="00610904">
        <w:rPr>
          <w:noProof w:val="0"/>
          <w:lang w:val="en-US"/>
        </w:rPr>
        <w:t xml:space="preserve"> </w:t>
      </w:r>
      <w:proofErr w:type="gramStart"/>
      <w:r w:rsidR="001A2523" w:rsidRPr="00610904">
        <w:rPr>
          <w:noProof w:val="0"/>
          <w:lang w:val="en-US"/>
        </w:rPr>
        <w:t>aspect</w:t>
      </w:r>
      <w:proofErr w:type="gramEnd"/>
      <w:r w:rsidRPr="00610904">
        <w:rPr>
          <w:noProof w:val="0"/>
          <w:lang w:val="en-US"/>
        </w:rPr>
        <w:t xml:space="preserve"> re</w:t>
      </w:r>
      <w:r w:rsidR="001A2523" w:rsidRPr="00610904">
        <w:rPr>
          <w:noProof w:val="0"/>
          <w:lang w:val="en-US"/>
        </w:rPr>
        <w:t>lates</w:t>
      </w:r>
      <w:r w:rsidRPr="00610904">
        <w:rPr>
          <w:noProof w:val="0"/>
          <w:lang w:val="en-US"/>
        </w:rPr>
        <w:t xml:space="preserve"> to the </w:t>
      </w:r>
      <w:r w:rsidR="00856968" w:rsidRPr="00610904">
        <w:rPr>
          <w:noProof w:val="0"/>
          <w:lang w:val="en-US"/>
        </w:rPr>
        <w:t>composite</w:t>
      </w:r>
      <w:r w:rsidRPr="00610904">
        <w:rPr>
          <w:noProof w:val="0"/>
          <w:lang w:val="en-US"/>
        </w:rPr>
        <w:t xml:space="preserve"> nature of the causes of discri</w:t>
      </w:r>
      <w:r w:rsidR="001A2523" w:rsidRPr="00610904">
        <w:rPr>
          <w:noProof w:val="0"/>
          <w:lang w:val="en-US"/>
        </w:rPr>
        <w:t>mination. Determining</w:t>
      </w:r>
      <w:r w:rsidRPr="00610904">
        <w:rPr>
          <w:noProof w:val="0"/>
          <w:lang w:val="en-US"/>
        </w:rPr>
        <w:t xml:space="preserve"> the way in which, in some cases, these causes interact</w:t>
      </w:r>
      <w:r w:rsidR="001A2523" w:rsidRPr="00610904">
        <w:rPr>
          <w:noProof w:val="0"/>
          <w:lang w:val="en-US"/>
        </w:rPr>
        <w:t xml:space="preserve"> is a different aspect</w:t>
      </w:r>
      <w:r w:rsidRPr="00610904">
        <w:rPr>
          <w:noProof w:val="0"/>
          <w:lang w:val="en-US"/>
        </w:rPr>
        <w:t xml:space="preserve">, </w:t>
      </w:r>
      <w:r w:rsidR="001A2523" w:rsidRPr="00610904">
        <w:rPr>
          <w:noProof w:val="0"/>
          <w:lang w:val="en-US"/>
        </w:rPr>
        <w:t>and</w:t>
      </w:r>
      <w:r w:rsidRPr="00610904">
        <w:rPr>
          <w:noProof w:val="0"/>
          <w:lang w:val="en-US"/>
        </w:rPr>
        <w:t xml:space="preserve"> </w:t>
      </w:r>
      <w:r w:rsidR="001A2523" w:rsidRPr="00610904">
        <w:rPr>
          <w:noProof w:val="0"/>
          <w:lang w:val="en-US"/>
        </w:rPr>
        <w:t>requires an</w:t>
      </w:r>
      <w:r w:rsidRPr="00610904">
        <w:rPr>
          <w:noProof w:val="0"/>
          <w:lang w:val="en-US"/>
        </w:rPr>
        <w:t xml:space="preserve"> assessme</w:t>
      </w:r>
      <w:r w:rsidR="001B11AA" w:rsidRPr="00610904">
        <w:rPr>
          <w:noProof w:val="0"/>
          <w:lang w:val="en-US"/>
        </w:rPr>
        <w:t>nt of whether they have a separ</w:t>
      </w:r>
      <w:r w:rsidRPr="00610904">
        <w:rPr>
          <w:noProof w:val="0"/>
          <w:lang w:val="en-US"/>
        </w:rPr>
        <w:t>ate or a simultaneous impact.</w:t>
      </w:r>
    </w:p>
    <w:p w:rsidR="004D47AE" w:rsidRPr="00610904" w:rsidRDefault="004D47AE" w:rsidP="00610904">
      <w:pPr>
        <w:pStyle w:val="ListParagraph"/>
        <w:ind w:left="0"/>
        <w:rPr>
          <w:noProof w:val="0"/>
          <w:lang w:val="en-US"/>
        </w:rPr>
      </w:pPr>
    </w:p>
    <w:p w:rsidR="004D47AE" w:rsidRPr="00610904" w:rsidRDefault="001B11AA" w:rsidP="00610904">
      <w:pPr>
        <w:pStyle w:val="ListParagraph"/>
        <w:numPr>
          <w:ilvl w:val="0"/>
          <w:numId w:val="26"/>
        </w:numPr>
        <w:contextualSpacing/>
        <w:rPr>
          <w:noProof w:val="0"/>
          <w:lang w:val="en-US"/>
        </w:rPr>
      </w:pPr>
      <w:r w:rsidRPr="00610904">
        <w:rPr>
          <w:noProof w:val="0"/>
          <w:lang w:val="en-US" w:eastAsia="es-ES"/>
        </w:rPr>
        <w:t xml:space="preserve">Meanwhile, the intersectionality of discrimination not only describes a discrimination </w:t>
      </w:r>
      <w:r w:rsidR="001A2523" w:rsidRPr="00610904">
        <w:rPr>
          <w:noProof w:val="0"/>
          <w:lang w:val="en-US" w:eastAsia="es-ES"/>
        </w:rPr>
        <w:t>for</w:t>
      </w:r>
      <w:r w:rsidRPr="00610904">
        <w:rPr>
          <w:noProof w:val="0"/>
          <w:lang w:val="en-US" w:eastAsia="es-ES"/>
        </w:rPr>
        <w:t xml:space="preserve"> different reasons, but also </w:t>
      </w:r>
      <w:r w:rsidR="001A2523" w:rsidRPr="00610904">
        <w:rPr>
          <w:noProof w:val="0"/>
          <w:lang w:val="en-US" w:eastAsia="es-ES"/>
        </w:rPr>
        <w:t>relates to</w:t>
      </w:r>
      <w:r w:rsidRPr="00610904">
        <w:rPr>
          <w:noProof w:val="0"/>
          <w:lang w:val="en-US" w:eastAsia="es-ES"/>
        </w:rPr>
        <w:t xml:space="preserve"> a meet</w:t>
      </w:r>
      <w:r w:rsidR="001A2523" w:rsidRPr="00610904">
        <w:rPr>
          <w:noProof w:val="0"/>
          <w:lang w:val="en-US" w:eastAsia="es-ES"/>
        </w:rPr>
        <w:t>ing or</w:t>
      </w:r>
      <w:r w:rsidRPr="00610904">
        <w:rPr>
          <w:noProof w:val="0"/>
          <w:lang w:val="en-US" w:eastAsia="es-ES"/>
        </w:rPr>
        <w:t xml:space="preserve"> simultaneous concurrence of different reasons for discr</w:t>
      </w:r>
      <w:r w:rsidR="001A2523" w:rsidRPr="00610904">
        <w:rPr>
          <w:noProof w:val="0"/>
          <w:lang w:val="en-US" w:eastAsia="es-ES"/>
        </w:rPr>
        <w:t xml:space="preserve">imination. In other words, during the same event, </w:t>
      </w:r>
      <w:r w:rsidRPr="00610904">
        <w:rPr>
          <w:noProof w:val="0"/>
          <w:lang w:val="en-US" w:eastAsia="es-ES"/>
        </w:rPr>
        <w:t xml:space="preserve">discrimination occurs </w:t>
      </w:r>
      <w:r w:rsidRPr="00610904">
        <w:rPr>
          <w:noProof w:val="0"/>
          <w:lang w:val="en-US" w:eastAsia="es-ES"/>
        </w:rPr>
        <w:lastRenderedPageBreak/>
        <w:t xml:space="preserve">owing to the concurrence of two </w:t>
      </w:r>
      <w:r w:rsidR="001A2523" w:rsidRPr="00610904">
        <w:rPr>
          <w:noProof w:val="0"/>
          <w:lang w:val="en-US" w:eastAsia="es-ES"/>
        </w:rPr>
        <w:t>or more prohibited factors. This type of</w:t>
      </w:r>
      <w:r w:rsidRPr="00610904">
        <w:rPr>
          <w:noProof w:val="0"/>
          <w:lang w:val="en-US" w:eastAsia="es-ES"/>
        </w:rPr>
        <w:t xml:space="preserve"> discrimination may have a synergetic effect that exceeds the simple sum of several forms of discrimination, or may activate a specific form of discrimination that only operates when several reasons for discrimination are combined. Not all multiple discrimination will be intersectional discrimination. Intersectionality </w:t>
      </w:r>
      <w:r w:rsidR="001A2523" w:rsidRPr="00610904">
        <w:rPr>
          <w:noProof w:val="0"/>
          <w:lang w:val="en-US" w:eastAsia="es-ES"/>
        </w:rPr>
        <w:t>relates to</w:t>
      </w:r>
      <w:r w:rsidRPr="00610904">
        <w:rPr>
          <w:noProof w:val="0"/>
          <w:lang w:val="en-US" w:eastAsia="es-ES"/>
        </w:rPr>
        <w:t xml:space="preserve"> a meeting or simultaneous concurrence of different reasons for discrimination.  This activates or </w:t>
      </w:r>
      <w:r w:rsidR="001A2523" w:rsidRPr="00610904">
        <w:rPr>
          <w:noProof w:val="0"/>
          <w:lang w:val="en-US" w:eastAsia="es-ES"/>
        </w:rPr>
        <w:t>underlines</w:t>
      </w:r>
      <w:r w:rsidRPr="00610904">
        <w:rPr>
          <w:noProof w:val="0"/>
          <w:lang w:val="en-US" w:eastAsia="es-ES"/>
        </w:rPr>
        <w:t xml:space="preserve"> a discrimination that only occurs when the said reasons are combined.</w:t>
      </w:r>
      <w:r w:rsidR="004D47AE" w:rsidRPr="00610904">
        <w:rPr>
          <w:rStyle w:val="FootnoteReference"/>
          <w:noProof w:val="0"/>
          <w:lang w:val="en-US"/>
        </w:rPr>
        <w:footnoteReference w:id="482"/>
      </w:r>
    </w:p>
    <w:p w:rsidR="004D47AE" w:rsidRPr="00610904" w:rsidRDefault="004D47AE" w:rsidP="00610904">
      <w:pPr>
        <w:pStyle w:val="ListParagraph"/>
        <w:rPr>
          <w:noProof w:val="0"/>
          <w:lang w:val="en-US" w:eastAsia="es-ES"/>
        </w:rPr>
      </w:pPr>
    </w:p>
    <w:p w:rsidR="004D47AE" w:rsidRPr="00610904" w:rsidRDefault="002416BB" w:rsidP="00610904">
      <w:pPr>
        <w:pStyle w:val="ListParagraph"/>
        <w:numPr>
          <w:ilvl w:val="0"/>
          <w:numId w:val="26"/>
        </w:numPr>
        <w:contextualSpacing/>
        <w:rPr>
          <w:noProof w:val="0"/>
          <w:lang w:val="en-US"/>
        </w:rPr>
      </w:pPr>
      <w:r w:rsidRPr="00610904">
        <w:rPr>
          <w:noProof w:val="0"/>
          <w:lang w:val="en-US"/>
        </w:rPr>
        <w:t xml:space="preserve">Thus, intersectional discrimination refers to multiple reasons or </w:t>
      </w:r>
      <w:r w:rsidR="00856968" w:rsidRPr="00610904">
        <w:rPr>
          <w:noProof w:val="0"/>
          <w:lang w:val="en-US"/>
        </w:rPr>
        <w:t>factors</w:t>
      </w:r>
      <w:r w:rsidRPr="00610904">
        <w:rPr>
          <w:noProof w:val="0"/>
          <w:lang w:val="en-US"/>
        </w:rPr>
        <w:t xml:space="preserve"> that interact to create a unique and </w:t>
      </w:r>
      <w:r w:rsidR="00856968" w:rsidRPr="00610904">
        <w:rPr>
          <w:noProof w:val="0"/>
          <w:lang w:val="en-US"/>
        </w:rPr>
        <w:t>distinct</w:t>
      </w:r>
      <w:r w:rsidR="00FB18C2" w:rsidRPr="00610904">
        <w:rPr>
          <w:noProof w:val="0"/>
          <w:lang w:val="en-US"/>
        </w:rPr>
        <w:t xml:space="preserve"> burden or </w:t>
      </w:r>
      <w:r w:rsidRPr="00610904">
        <w:rPr>
          <w:noProof w:val="0"/>
          <w:lang w:val="en-US"/>
        </w:rPr>
        <w:t xml:space="preserve">risk of discrimination. Intersectionality is associated with two characteristics. First, the reasons or the </w:t>
      </w:r>
      <w:r w:rsidR="00856968" w:rsidRPr="00610904">
        <w:rPr>
          <w:noProof w:val="0"/>
          <w:lang w:val="en-US"/>
        </w:rPr>
        <w:t>factors</w:t>
      </w:r>
      <w:r w:rsidRPr="00610904">
        <w:rPr>
          <w:noProof w:val="0"/>
          <w:lang w:val="en-US"/>
        </w:rPr>
        <w:t xml:space="preserve"> are analytically inseparable because the experience of discrimination cannot be disaggregated in</w:t>
      </w:r>
      <w:r w:rsidR="00FB18C2" w:rsidRPr="00610904">
        <w:rPr>
          <w:noProof w:val="0"/>
          <w:lang w:val="en-US"/>
        </w:rPr>
        <w:t>to</w:t>
      </w:r>
      <w:r w:rsidRPr="00610904">
        <w:rPr>
          <w:noProof w:val="0"/>
          <w:lang w:val="en-US"/>
        </w:rPr>
        <w:t xml:space="preserve"> different reasons. The experience is transformed by the interaction. Second, intersectionality is associated </w:t>
      </w:r>
      <w:proofErr w:type="gramStart"/>
      <w:r w:rsidRPr="00610904">
        <w:rPr>
          <w:noProof w:val="0"/>
          <w:lang w:val="en-US"/>
        </w:rPr>
        <w:t>with a different qualitative experiences</w:t>
      </w:r>
      <w:proofErr w:type="gramEnd"/>
      <w:r w:rsidRPr="00610904">
        <w:rPr>
          <w:noProof w:val="0"/>
          <w:lang w:val="en-US"/>
        </w:rPr>
        <w:t xml:space="preserve">, creating </w:t>
      </w:r>
      <w:r w:rsidR="00856968" w:rsidRPr="00610904">
        <w:rPr>
          <w:noProof w:val="0"/>
          <w:lang w:val="en-US"/>
        </w:rPr>
        <w:t>consequences</w:t>
      </w:r>
      <w:r w:rsidRPr="00610904">
        <w:rPr>
          <w:noProof w:val="0"/>
          <w:lang w:val="en-US"/>
        </w:rPr>
        <w:t xml:space="preserve"> for </w:t>
      </w:r>
      <w:r w:rsidR="00856968" w:rsidRPr="00610904">
        <w:rPr>
          <w:noProof w:val="0"/>
          <w:lang w:val="en-US"/>
        </w:rPr>
        <w:t>those</w:t>
      </w:r>
      <w:r w:rsidRPr="00610904">
        <w:rPr>
          <w:noProof w:val="0"/>
          <w:lang w:val="en-US"/>
        </w:rPr>
        <w:t xml:space="preserve"> affected in ways that are different </w:t>
      </w:r>
      <w:r w:rsidR="00FB18C2" w:rsidRPr="00610904">
        <w:rPr>
          <w:noProof w:val="0"/>
          <w:lang w:val="en-US"/>
        </w:rPr>
        <w:t>from</w:t>
      </w:r>
      <w:r w:rsidRPr="00610904">
        <w:rPr>
          <w:noProof w:val="0"/>
          <w:lang w:val="en-US"/>
        </w:rPr>
        <w:t xml:space="preserve"> the consequences suffered by those who are subject to only one form </w:t>
      </w:r>
      <w:r w:rsidR="00856968" w:rsidRPr="00610904">
        <w:rPr>
          <w:noProof w:val="0"/>
          <w:lang w:val="en-US"/>
        </w:rPr>
        <w:t>of</w:t>
      </w:r>
      <w:r w:rsidRPr="00610904">
        <w:rPr>
          <w:noProof w:val="0"/>
          <w:lang w:val="en-US"/>
        </w:rPr>
        <w:t xml:space="preserve"> discrimination.</w:t>
      </w:r>
      <w:r w:rsidR="004D47AE" w:rsidRPr="00610904">
        <w:rPr>
          <w:rStyle w:val="FootnoteReference"/>
          <w:noProof w:val="0"/>
          <w:lang w:val="en-US"/>
        </w:rPr>
        <w:footnoteReference w:id="483"/>
      </w:r>
      <w:r w:rsidRPr="00610904">
        <w:rPr>
          <w:noProof w:val="0"/>
          <w:lang w:val="en-US"/>
        </w:rPr>
        <w:t xml:space="preserve"> This approach is important because it underscores the particularities of the discrimination suffered by groups that, historically, have been discriminated against for more than one of the prohibited reasons established in various human rights treaties</w:t>
      </w:r>
      <w:r w:rsidR="004D47AE" w:rsidRPr="00610904">
        <w:rPr>
          <w:noProof w:val="0"/>
          <w:lang w:val="en-US"/>
        </w:rPr>
        <w:t xml:space="preserve">. </w:t>
      </w:r>
    </w:p>
    <w:p w:rsidR="004D47AE" w:rsidRPr="00610904" w:rsidRDefault="004D47AE" w:rsidP="00610904">
      <w:pPr>
        <w:pStyle w:val="ListParagraph"/>
        <w:rPr>
          <w:noProof w:val="0"/>
          <w:lang w:val="en-US"/>
        </w:rPr>
      </w:pPr>
    </w:p>
    <w:p w:rsidR="002416BB" w:rsidRPr="00610904" w:rsidRDefault="00FB18C2" w:rsidP="00610904">
      <w:pPr>
        <w:pStyle w:val="ListParagraph"/>
        <w:numPr>
          <w:ilvl w:val="0"/>
          <w:numId w:val="26"/>
        </w:numPr>
        <w:contextualSpacing/>
        <w:rPr>
          <w:noProof w:val="0"/>
          <w:lang w:val="en-US"/>
        </w:rPr>
      </w:pPr>
      <w:r w:rsidRPr="00610904">
        <w:rPr>
          <w:noProof w:val="0"/>
          <w:lang w:val="en-US"/>
        </w:rPr>
        <w:t>In sum, in this case,</w:t>
      </w:r>
      <w:r w:rsidR="002416BB" w:rsidRPr="00610904">
        <w:rPr>
          <w:noProof w:val="0"/>
          <w:lang w:val="en-US"/>
        </w:rPr>
        <w:t xml:space="preserve"> intersectionality is fundamental in order to understand the specific injustice of what occurred to </w:t>
      </w:r>
      <w:r w:rsidR="004D47AE" w:rsidRPr="00610904">
        <w:rPr>
          <w:noProof w:val="0"/>
          <w:lang w:val="en-US"/>
        </w:rPr>
        <w:t>Talía</w:t>
      </w:r>
      <w:r w:rsidR="009F3D78" w:rsidRPr="00610904">
        <w:rPr>
          <w:noProof w:val="0"/>
          <w:lang w:val="en-US"/>
        </w:rPr>
        <w:t xml:space="preserve"> and </w:t>
      </w:r>
      <w:r w:rsidR="002416BB" w:rsidRPr="00610904">
        <w:rPr>
          <w:noProof w:val="0"/>
          <w:lang w:val="en-US"/>
        </w:rPr>
        <w:t xml:space="preserve">to the Lluy family, which can only be understood in the context of the convergence of the different </w:t>
      </w:r>
      <w:r w:rsidR="00864DEB">
        <w:rPr>
          <w:noProof w:val="0"/>
          <w:lang w:val="en-US"/>
        </w:rPr>
        <w:t>forms of discrimination</w:t>
      </w:r>
      <w:r w:rsidR="002416BB" w:rsidRPr="00610904">
        <w:rPr>
          <w:noProof w:val="0"/>
          <w:lang w:val="en-US"/>
        </w:rPr>
        <w:t xml:space="preserve"> that occurred. Intersectionality constitutes a different and unique </w:t>
      </w:r>
      <w:r w:rsidR="00856968" w:rsidRPr="00610904">
        <w:rPr>
          <w:noProof w:val="0"/>
          <w:lang w:val="en-US"/>
        </w:rPr>
        <w:t>harm, which</w:t>
      </w:r>
      <w:r w:rsidR="002416BB" w:rsidRPr="00610904">
        <w:rPr>
          <w:noProof w:val="0"/>
          <w:lang w:val="en-US"/>
        </w:rPr>
        <w:t xml:space="preserve"> is distinct from the discriminations assessed separately. None of the </w:t>
      </w:r>
      <w:r w:rsidRPr="00610904">
        <w:rPr>
          <w:noProof w:val="0"/>
          <w:lang w:val="en-US"/>
        </w:rPr>
        <w:t>forms of discrimination</w:t>
      </w:r>
      <w:r w:rsidR="002416BB" w:rsidRPr="00610904">
        <w:rPr>
          <w:noProof w:val="0"/>
          <w:lang w:val="en-US"/>
        </w:rPr>
        <w:t xml:space="preserve"> assessed independently would explain the particularity and specificity of the harm suffered in the intersectional experience. In future, the Court could gradually define the scope of this </w:t>
      </w:r>
      <w:r w:rsidRPr="00610904">
        <w:rPr>
          <w:noProof w:val="0"/>
          <w:lang w:val="en-US"/>
        </w:rPr>
        <w:t xml:space="preserve">approach, which will help to add a new dimension to </w:t>
      </w:r>
      <w:r w:rsidR="002416BB" w:rsidRPr="00610904">
        <w:rPr>
          <w:noProof w:val="0"/>
          <w:lang w:val="en-US"/>
        </w:rPr>
        <w:t>the principle of non-discrimination in certain kinds of case.</w:t>
      </w:r>
    </w:p>
    <w:p w:rsidR="004D47AE" w:rsidRPr="00610904" w:rsidRDefault="004D47AE" w:rsidP="00610904">
      <w:pPr>
        <w:pStyle w:val="Heading1"/>
        <w:jc w:val="both"/>
        <w:rPr>
          <w:noProof w:val="0"/>
          <w:lang w:val="en-US"/>
        </w:rPr>
      </w:pPr>
      <w:bookmarkStart w:id="194" w:name="_Toc416164823"/>
    </w:p>
    <w:p w:rsidR="00F90EDF" w:rsidRPr="00610904" w:rsidRDefault="004D47AE" w:rsidP="00610904">
      <w:pPr>
        <w:pStyle w:val="Heading1"/>
        <w:spacing w:before="0" w:after="0"/>
        <w:rPr>
          <w:noProof w:val="0"/>
          <w:lang w:val="en-US"/>
        </w:rPr>
      </w:pPr>
      <w:bookmarkStart w:id="195" w:name="_Toc443399142"/>
      <w:r w:rsidRPr="00610904">
        <w:rPr>
          <w:noProof w:val="0"/>
          <w:lang w:val="en-US"/>
        </w:rPr>
        <w:t>II.</w:t>
      </w:r>
      <w:r w:rsidRPr="00610904">
        <w:rPr>
          <w:noProof w:val="0"/>
          <w:lang w:val="en-US"/>
        </w:rPr>
        <w:tab/>
      </w:r>
      <w:bookmarkEnd w:id="194"/>
      <w:r w:rsidR="00494C7E" w:rsidRPr="00610904">
        <w:rPr>
          <w:noProof w:val="0"/>
          <w:lang w:val="en-US"/>
        </w:rPr>
        <w:t xml:space="preserve">THE POSSIBILITY </w:t>
      </w:r>
      <w:r w:rsidR="00FB18C2" w:rsidRPr="00610904">
        <w:rPr>
          <w:noProof w:val="0"/>
          <w:lang w:val="en-US"/>
        </w:rPr>
        <w:t xml:space="preserve">that </w:t>
      </w:r>
      <w:r w:rsidR="001B11AA" w:rsidRPr="00610904">
        <w:rPr>
          <w:noProof w:val="0"/>
          <w:lang w:val="en-US"/>
        </w:rPr>
        <w:t xml:space="preserve">THE RIGHT TO HEALTH </w:t>
      </w:r>
      <w:r w:rsidR="00FB18C2" w:rsidRPr="00610904">
        <w:rPr>
          <w:noProof w:val="0"/>
          <w:lang w:val="en-US"/>
        </w:rPr>
        <w:t xml:space="preserve">could have been approached </w:t>
      </w:r>
      <w:r w:rsidR="001B11AA" w:rsidRPr="00610904">
        <w:rPr>
          <w:noProof w:val="0"/>
          <w:lang w:val="en-US"/>
        </w:rPr>
        <w:t>DIRECTLY AND AUTONOMOUSLY</w:t>
      </w:r>
      <w:bookmarkEnd w:id="195"/>
      <w:r w:rsidR="001B11AA" w:rsidRPr="00610904">
        <w:rPr>
          <w:noProof w:val="0"/>
          <w:lang w:val="en-US"/>
        </w:rPr>
        <w:t xml:space="preserve"> </w:t>
      </w:r>
    </w:p>
    <w:p w:rsidR="004D47AE" w:rsidRPr="00610904" w:rsidRDefault="004D47AE" w:rsidP="00610904">
      <w:pPr>
        <w:pStyle w:val="Heading1"/>
        <w:spacing w:before="0" w:after="0" w:line="360" w:lineRule="auto"/>
        <w:rPr>
          <w:noProof w:val="0"/>
          <w:lang w:val="en-US"/>
        </w:rPr>
      </w:pPr>
      <w:bookmarkStart w:id="196" w:name="_Toc443399143"/>
      <w:r w:rsidRPr="00610904">
        <w:rPr>
          <w:noProof w:val="0"/>
          <w:lang w:val="en-US"/>
        </w:rPr>
        <w:t>(</w:t>
      </w:r>
      <w:r w:rsidR="00A8072E" w:rsidRPr="00610904">
        <w:rPr>
          <w:noProof w:val="0"/>
          <w:lang w:val="en-US"/>
        </w:rPr>
        <w:t>ARTICLES</w:t>
      </w:r>
      <w:r w:rsidRPr="00610904">
        <w:rPr>
          <w:noProof w:val="0"/>
          <w:lang w:val="en-US"/>
        </w:rPr>
        <w:t xml:space="preserve"> 26</w:t>
      </w:r>
      <w:r w:rsidR="009F3D78" w:rsidRPr="00610904">
        <w:rPr>
          <w:noProof w:val="0"/>
          <w:lang w:val="en-US"/>
        </w:rPr>
        <w:t xml:space="preserve"> and </w:t>
      </w:r>
      <w:r w:rsidR="001B11AA" w:rsidRPr="00610904">
        <w:rPr>
          <w:noProof w:val="0"/>
          <w:lang w:val="en-US"/>
        </w:rPr>
        <w:t>1(1)</w:t>
      </w:r>
      <w:r w:rsidR="009F3D78" w:rsidRPr="00610904">
        <w:rPr>
          <w:noProof w:val="0"/>
          <w:lang w:val="en-US"/>
        </w:rPr>
        <w:t xml:space="preserve"> of the AMERICAN CONVENTION</w:t>
      </w:r>
      <w:r w:rsidRPr="00610904">
        <w:rPr>
          <w:noProof w:val="0"/>
          <w:lang w:val="en-US"/>
        </w:rPr>
        <w:t>)</w:t>
      </w:r>
      <w:bookmarkEnd w:id="196"/>
    </w:p>
    <w:p w:rsidR="004D47AE" w:rsidRPr="00610904" w:rsidRDefault="004D47AE" w:rsidP="00610904">
      <w:pPr>
        <w:pStyle w:val="ListParagraph"/>
        <w:ind w:left="0"/>
        <w:rPr>
          <w:noProof w:val="0"/>
          <w:lang w:val="en-US"/>
        </w:rPr>
      </w:pPr>
    </w:p>
    <w:p w:rsidR="004D47AE" w:rsidRPr="00610904" w:rsidRDefault="006E253B" w:rsidP="00610904">
      <w:pPr>
        <w:pStyle w:val="ListParagraph"/>
        <w:numPr>
          <w:ilvl w:val="0"/>
          <w:numId w:val="26"/>
        </w:numPr>
        <w:rPr>
          <w:noProof w:val="0"/>
          <w:lang w:val="en-US"/>
        </w:rPr>
      </w:pPr>
      <w:r w:rsidRPr="00610904">
        <w:rPr>
          <w:noProof w:val="0"/>
          <w:lang w:val="en-US"/>
        </w:rPr>
        <w:lastRenderedPageBreak/>
        <w:t>In a Concurring Opinion in the case of</w:t>
      </w:r>
      <w:r w:rsidR="004D47AE" w:rsidRPr="00610904">
        <w:rPr>
          <w:noProof w:val="0"/>
          <w:lang w:val="en-US"/>
        </w:rPr>
        <w:t xml:space="preserve"> </w:t>
      </w:r>
      <w:r w:rsidR="004D47AE" w:rsidRPr="00610904">
        <w:rPr>
          <w:i/>
          <w:noProof w:val="0"/>
          <w:lang w:val="en-US"/>
        </w:rPr>
        <w:t xml:space="preserve">Suárez Peralta </w:t>
      </w:r>
      <w:r w:rsidR="009F3D78" w:rsidRPr="00610904">
        <w:rPr>
          <w:i/>
          <w:noProof w:val="0"/>
          <w:lang w:val="en-US"/>
        </w:rPr>
        <w:t>v.</w:t>
      </w:r>
      <w:r w:rsidR="004D47AE" w:rsidRPr="00610904">
        <w:rPr>
          <w:i/>
          <w:noProof w:val="0"/>
          <w:lang w:val="en-US"/>
        </w:rPr>
        <w:t xml:space="preserve"> Ecuador</w:t>
      </w:r>
      <w:r w:rsidRPr="00610904">
        <w:rPr>
          <w:i/>
          <w:noProof w:val="0"/>
          <w:lang w:val="en-US"/>
        </w:rPr>
        <w:t>,</w:t>
      </w:r>
      <w:r w:rsidR="004D47AE" w:rsidRPr="00610904">
        <w:rPr>
          <w:rStyle w:val="FootnoteReference"/>
          <w:noProof w:val="0"/>
          <w:lang w:val="en-US"/>
        </w:rPr>
        <w:footnoteReference w:id="484"/>
      </w:r>
      <w:r w:rsidRPr="00610904">
        <w:rPr>
          <w:noProof w:val="0"/>
          <w:lang w:val="en-US"/>
        </w:rPr>
        <w:t xml:space="preserve"> </w:t>
      </w:r>
      <w:r w:rsidR="00856968" w:rsidRPr="00610904">
        <w:rPr>
          <w:noProof w:val="0"/>
          <w:lang w:val="en-US"/>
        </w:rPr>
        <w:t>I set</w:t>
      </w:r>
      <w:r w:rsidRPr="00610904">
        <w:rPr>
          <w:noProof w:val="0"/>
          <w:lang w:val="en-US"/>
        </w:rPr>
        <w:t xml:space="preserve"> out the reasons why I consider that the “right to health” can be interpreted as a right admitting direct justiciability in the context of the provisions of </w:t>
      </w:r>
      <w:r w:rsidR="009F3D78" w:rsidRPr="00610904">
        <w:rPr>
          <w:noProof w:val="0"/>
          <w:lang w:val="en-US"/>
        </w:rPr>
        <w:t>Article</w:t>
      </w:r>
      <w:r w:rsidR="004D47AE" w:rsidRPr="00610904">
        <w:rPr>
          <w:noProof w:val="0"/>
          <w:lang w:val="en-US"/>
        </w:rPr>
        <w:t xml:space="preserve"> 26</w:t>
      </w:r>
      <w:r w:rsidR="009F3D78" w:rsidRPr="00610904">
        <w:rPr>
          <w:noProof w:val="0"/>
          <w:lang w:val="en-US"/>
        </w:rPr>
        <w:t xml:space="preserve"> of the American Convention</w:t>
      </w:r>
      <w:r w:rsidR="004D47AE" w:rsidRPr="00610904">
        <w:rPr>
          <w:noProof w:val="0"/>
          <w:lang w:val="en-US"/>
        </w:rPr>
        <w:t xml:space="preserve">. </w:t>
      </w:r>
    </w:p>
    <w:p w:rsidR="004D47AE" w:rsidRPr="00610904" w:rsidRDefault="004D47AE" w:rsidP="00610904">
      <w:pPr>
        <w:pStyle w:val="ListParagraph"/>
        <w:ind w:left="0"/>
        <w:rPr>
          <w:noProof w:val="0"/>
          <w:lang w:val="en-US"/>
        </w:rPr>
      </w:pPr>
    </w:p>
    <w:p w:rsidR="004D47AE" w:rsidRPr="00610904" w:rsidRDefault="00FB18C2" w:rsidP="00610904">
      <w:pPr>
        <w:pStyle w:val="ListParagraph"/>
        <w:numPr>
          <w:ilvl w:val="0"/>
          <w:numId w:val="26"/>
        </w:numPr>
        <w:rPr>
          <w:noProof w:val="0"/>
          <w:lang w:val="en-US"/>
        </w:rPr>
      </w:pPr>
      <w:r w:rsidRPr="00610904">
        <w:rPr>
          <w:noProof w:val="0"/>
          <w:lang w:val="en-US"/>
        </w:rPr>
        <w:t>In the instant</w:t>
      </w:r>
      <w:r w:rsidR="006E253B" w:rsidRPr="00610904">
        <w:rPr>
          <w:noProof w:val="0"/>
          <w:lang w:val="en-US"/>
        </w:rPr>
        <w:t xml:space="preserve"> case, the pertinence of an analysis based on the “right to health” emerges with greater intensity. The Court has made some progress in this area by </w:t>
      </w:r>
      <w:r w:rsidR="00856968" w:rsidRPr="00610904">
        <w:rPr>
          <w:noProof w:val="0"/>
          <w:lang w:val="en-US"/>
        </w:rPr>
        <w:t>defining</w:t>
      </w:r>
      <w:r w:rsidR="006E253B" w:rsidRPr="00610904">
        <w:rPr>
          <w:noProof w:val="0"/>
          <w:lang w:val="en-US"/>
        </w:rPr>
        <w:t xml:space="preserve"> some specific aspects of the scope of this right that had not been established previously in its case law. For example, the Inter-American Court mentio</w:t>
      </w:r>
      <w:r w:rsidRPr="00610904">
        <w:rPr>
          <w:noProof w:val="0"/>
          <w:lang w:val="en-US"/>
        </w:rPr>
        <w:t xml:space="preserve">ned </w:t>
      </w:r>
      <w:r w:rsidR="006E253B" w:rsidRPr="00610904">
        <w:rPr>
          <w:noProof w:val="0"/>
          <w:lang w:val="en-US"/>
        </w:rPr>
        <w:t xml:space="preserve">standards </w:t>
      </w:r>
      <w:r w:rsidRPr="00610904">
        <w:rPr>
          <w:noProof w:val="0"/>
          <w:lang w:val="en-US"/>
        </w:rPr>
        <w:t>for</w:t>
      </w:r>
      <w:r w:rsidR="006E253B" w:rsidRPr="00610904">
        <w:rPr>
          <w:noProof w:val="0"/>
          <w:lang w:val="en-US"/>
        </w:rPr>
        <w:t xml:space="preserve"> access to medic</w:t>
      </w:r>
      <w:r w:rsidRPr="00610904">
        <w:rPr>
          <w:noProof w:val="0"/>
          <w:lang w:val="en-US"/>
        </w:rPr>
        <w:t>ines and, in particular, defined</w:t>
      </w:r>
      <w:r w:rsidR="006E253B" w:rsidRPr="00610904">
        <w:rPr>
          <w:noProof w:val="0"/>
          <w:lang w:val="en-US"/>
        </w:rPr>
        <w:t xml:space="preserve"> how the access to antiretroviral drugs is only one of the elements of an effective response for persons living with HIV, because those living with HIV require a comprehensive approach that includes a continuum of prevention, treatment, care and support.</w:t>
      </w:r>
      <w:r w:rsidR="004D47AE" w:rsidRPr="00610904">
        <w:rPr>
          <w:rStyle w:val="FootnoteReference"/>
          <w:noProof w:val="0"/>
          <w:lang w:val="en-US"/>
        </w:rPr>
        <w:footnoteReference w:id="485"/>
      </w:r>
      <w:r w:rsidRPr="00610904">
        <w:rPr>
          <w:noProof w:val="0"/>
          <w:lang w:val="en-US"/>
        </w:rPr>
        <w:t xml:space="preserve"> In addition, the Court referred to</w:t>
      </w:r>
      <w:r w:rsidR="006E253B" w:rsidRPr="00610904">
        <w:rPr>
          <w:noProof w:val="0"/>
          <w:lang w:val="en-US"/>
        </w:rPr>
        <w:t xml:space="preserve"> issues relating to access to health care information;</w:t>
      </w:r>
      <w:r w:rsidR="004D47AE" w:rsidRPr="00610904">
        <w:rPr>
          <w:rStyle w:val="FootnoteReference"/>
          <w:noProof w:val="0"/>
          <w:lang w:val="en-US"/>
        </w:rPr>
        <w:footnoteReference w:id="486"/>
      </w:r>
      <w:r w:rsidR="006E253B" w:rsidRPr="00610904">
        <w:rPr>
          <w:noProof w:val="0"/>
          <w:lang w:val="en-US"/>
        </w:rPr>
        <w:t xml:space="preserve"> the right to health of children,</w:t>
      </w:r>
      <w:r w:rsidR="004D47AE" w:rsidRPr="00610904">
        <w:rPr>
          <w:rStyle w:val="FootnoteReference"/>
          <w:noProof w:val="0"/>
          <w:lang w:val="en-US"/>
        </w:rPr>
        <w:footnoteReference w:id="487"/>
      </w:r>
      <w:r w:rsidR="009F3D78" w:rsidRPr="00610904">
        <w:rPr>
          <w:noProof w:val="0"/>
          <w:lang w:val="en-US"/>
        </w:rPr>
        <w:t xml:space="preserve"> and</w:t>
      </w:r>
      <w:r w:rsidR="006E253B" w:rsidRPr="00610904">
        <w:rPr>
          <w:noProof w:val="0"/>
          <w:lang w:val="en-US"/>
        </w:rPr>
        <w:t xml:space="preserve"> the right to health of children with </w:t>
      </w:r>
      <w:r w:rsidR="00A8072E" w:rsidRPr="00610904">
        <w:rPr>
          <w:noProof w:val="0"/>
          <w:lang w:val="en-US"/>
        </w:rPr>
        <w:t>HIV</w:t>
      </w:r>
      <w:r w:rsidR="004D47AE" w:rsidRPr="00610904">
        <w:rPr>
          <w:noProof w:val="0"/>
          <w:lang w:val="en-US"/>
        </w:rPr>
        <w:t>/</w:t>
      </w:r>
      <w:r w:rsidR="00A8072E" w:rsidRPr="00610904">
        <w:rPr>
          <w:noProof w:val="0"/>
          <w:lang w:val="en-US"/>
        </w:rPr>
        <w:t>AIDS</w:t>
      </w:r>
      <w:r w:rsidR="006E253B" w:rsidRPr="00610904">
        <w:rPr>
          <w:noProof w:val="0"/>
          <w:lang w:val="en-US"/>
        </w:rPr>
        <w:t>.</w:t>
      </w:r>
      <w:r w:rsidR="004D47AE" w:rsidRPr="00610904">
        <w:rPr>
          <w:rStyle w:val="FootnoteReference"/>
          <w:noProof w:val="0"/>
          <w:lang w:val="en-US"/>
        </w:rPr>
        <w:footnoteReference w:id="488"/>
      </w:r>
      <w:r w:rsidR="006E253B" w:rsidRPr="00610904">
        <w:rPr>
          <w:noProof w:val="0"/>
          <w:lang w:val="en-US"/>
        </w:rPr>
        <w:t xml:space="preserve"> However, the Court’s analysis is made in light of its traditional case law on the connectivity of health with the rights to life </w:t>
      </w:r>
      <w:r w:rsidR="000F35AC" w:rsidRPr="00610904">
        <w:rPr>
          <w:noProof w:val="0"/>
          <w:lang w:val="en-US"/>
        </w:rPr>
        <w:t>and to personal</w:t>
      </w:r>
      <w:r w:rsidR="008956E2" w:rsidRPr="00610904">
        <w:rPr>
          <w:noProof w:val="0"/>
          <w:lang w:val="en-US"/>
        </w:rPr>
        <w:t xml:space="preserve"> integrity</w:t>
      </w:r>
      <w:r w:rsidR="004D47AE" w:rsidRPr="00610904">
        <w:rPr>
          <w:noProof w:val="0"/>
          <w:lang w:val="en-US"/>
        </w:rPr>
        <w:t xml:space="preserve">. </w:t>
      </w:r>
    </w:p>
    <w:p w:rsidR="004D47AE" w:rsidRPr="00610904" w:rsidRDefault="004D47AE" w:rsidP="00610904">
      <w:pPr>
        <w:pStyle w:val="ListParagraph"/>
        <w:rPr>
          <w:noProof w:val="0"/>
          <w:lang w:val="en-US"/>
        </w:rPr>
      </w:pPr>
    </w:p>
    <w:p w:rsidR="004D47AE" w:rsidRPr="00610904" w:rsidRDefault="00494C7E" w:rsidP="00610904">
      <w:pPr>
        <w:pStyle w:val="ListParagraph"/>
        <w:numPr>
          <w:ilvl w:val="0"/>
          <w:numId w:val="26"/>
        </w:numPr>
        <w:rPr>
          <w:noProof w:val="0"/>
          <w:lang w:val="en-US"/>
        </w:rPr>
      </w:pPr>
      <w:r w:rsidRPr="00610904">
        <w:rPr>
          <w:noProof w:val="0"/>
          <w:lang w:val="en-US"/>
        </w:rPr>
        <w:t>In this regard, as I indicated in the said Concurring opinion in the</w:t>
      </w:r>
      <w:r w:rsidRPr="00610904">
        <w:rPr>
          <w:i/>
          <w:noProof w:val="0"/>
          <w:lang w:val="en-US"/>
        </w:rPr>
        <w:t xml:space="preserve"> case of </w:t>
      </w:r>
      <w:r w:rsidR="004D47AE" w:rsidRPr="00610904">
        <w:rPr>
          <w:i/>
          <w:noProof w:val="0"/>
          <w:lang w:val="en-US"/>
        </w:rPr>
        <w:t>Suárez Peralta</w:t>
      </w:r>
      <w:r w:rsidR="004D47AE" w:rsidRPr="00610904">
        <w:rPr>
          <w:noProof w:val="0"/>
          <w:lang w:val="en-US"/>
        </w:rPr>
        <w:t xml:space="preserve"> (2013), </w:t>
      </w:r>
      <w:r w:rsidR="00FB18C2" w:rsidRPr="00610904">
        <w:rPr>
          <w:noProof w:val="0"/>
          <w:lang w:val="en-US"/>
        </w:rPr>
        <w:t>the following</w:t>
      </w:r>
      <w:r w:rsidR="006E253B" w:rsidRPr="00610904">
        <w:rPr>
          <w:noProof w:val="0"/>
          <w:lang w:val="en-US"/>
        </w:rPr>
        <w:t xml:space="preserve"> considerations</w:t>
      </w:r>
      <w:r w:rsidR="00FB18C2" w:rsidRPr="00610904">
        <w:rPr>
          <w:noProof w:val="0"/>
          <w:lang w:val="en-US"/>
        </w:rPr>
        <w:t>, at least,</w:t>
      </w:r>
      <w:r w:rsidR="006E253B" w:rsidRPr="00610904">
        <w:rPr>
          <w:noProof w:val="0"/>
          <w:lang w:val="en-US"/>
        </w:rPr>
        <w:t xml:space="preserve"> </w:t>
      </w:r>
      <w:r w:rsidR="00FB18C2" w:rsidRPr="00610904">
        <w:rPr>
          <w:noProof w:val="0"/>
          <w:lang w:val="en-US"/>
        </w:rPr>
        <w:t xml:space="preserve">exist as to </w:t>
      </w:r>
      <w:r w:rsidR="006E253B" w:rsidRPr="00610904">
        <w:rPr>
          <w:noProof w:val="0"/>
          <w:lang w:val="en-US"/>
        </w:rPr>
        <w:t>why the right to health should be dealt with directly:</w:t>
      </w:r>
    </w:p>
    <w:p w:rsidR="004D47AE" w:rsidRPr="00610904" w:rsidRDefault="004D47AE" w:rsidP="00610904">
      <w:pPr>
        <w:pStyle w:val="ListParagraph"/>
        <w:rPr>
          <w:noProof w:val="0"/>
          <w:lang w:val="en-US"/>
        </w:rPr>
      </w:pPr>
    </w:p>
    <w:p w:rsidR="008F3B2E" w:rsidRPr="00610904" w:rsidRDefault="004D47AE" w:rsidP="00610904">
      <w:pPr>
        <w:ind w:left="720" w:right="270"/>
        <w:rPr>
          <w:rFonts w:cs="Arial"/>
          <w:noProof w:val="0"/>
          <w:sz w:val="18"/>
          <w:szCs w:val="18"/>
          <w:lang w:val="en-US"/>
        </w:rPr>
      </w:pPr>
      <w:r w:rsidRPr="00610904">
        <w:rPr>
          <w:noProof w:val="0"/>
          <w:sz w:val="18"/>
          <w:szCs w:val="18"/>
          <w:lang w:val="en-US"/>
        </w:rPr>
        <w:t xml:space="preserve">5.  </w:t>
      </w:r>
      <w:r w:rsidR="008F3B2E" w:rsidRPr="00610904">
        <w:rPr>
          <w:rFonts w:cs="Arial"/>
          <w:noProof w:val="0"/>
          <w:sz w:val="18"/>
          <w:szCs w:val="18"/>
          <w:lang w:val="en-US"/>
        </w:rPr>
        <w:t>Based on the premise that the Inter-American Court has full competence to analyze violations of all the rights recognized in the American Convention, including those relating to Article 26,</w:t>
      </w:r>
      <w:r w:rsidR="008F3B2E" w:rsidRPr="00610904">
        <w:rPr>
          <w:rStyle w:val="FootnoteReference"/>
          <w:noProof w:val="0"/>
          <w:sz w:val="18"/>
          <w:szCs w:val="18"/>
          <w:lang w:val="en-US"/>
        </w:rPr>
        <w:footnoteReference w:id="489"/>
      </w:r>
      <w:r w:rsidR="008F3B2E" w:rsidRPr="00610904">
        <w:rPr>
          <w:rFonts w:cs="Arial"/>
          <w:noProof w:val="0"/>
          <w:sz w:val="18"/>
          <w:szCs w:val="18"/>
          <w:lang w:val="en-US"/>
        </w:rPr>
        <w:t xml:space="preserve"> which include the right to the progressive development of economic, social and cultural rights, which includes the right to</w:t>
      </w:r>
      <w:r w:rsidR="00FB18C2" w:rsidRPr="00610904">
        <w:rPr>
          <w:rFonts w:cs="Arial"/>
          <w:noProof w:val="0"/>
          <w:sz w:val="18"/>
          <w:szCs w:val="18"/>
          <w:lang w:val="en-US"/>
        </w:rPr>
        <w:t xml:space="preserve"> health — as recognized in the j</w:t>
      </w:r>
      <w:r w:rsidR="008F3B2E" w:rsidRPr="00610904">
        <w:rPr>
          <w:rFonts w:cs="Arial"/>
          <w:noProof w:val="0"/>
          <w:sz w:val="18"/>
          <w:szCs w:val="18"/>
          <w:lang w:val="en-US"/>
        </w:rPr>
        <w:t>udgment that gives rise to this separate opinion — I consider that, in this case, this social right should have been analyzed directly, based on the competence that I understand this Inter-American Court to have to rule on a possible violation of the guarantee of economic, social and cultural rights, especially the right to health.</w:t>
      </w:r>
    </w:p>
    <w:p w:rsidR="002416BB" w:rsidRPr="00610904" w:rsidRDefault="002416BB" w:rsidP="00610904">
      <w:pPr>
        <w:ind w:left="720" w:right="270"/>
        <w:rPr>
          <w:rFonts w:cs="Arial"/>
          <w:noProof w:val="0"/>
          <w:sz w:val="18"/>
          <w:szCs w:val="18"/>
          <w:lang w:val="en-US"/>
        </w:rPr>
      </w:pPr>
    </w:p>
    <w:p w:rsidR="004D47AE" w:rsidRPr="00610904" w:rsidRDefault="004D47AE" w:rsidP="00610904">
      <w:pPr>
        <w:tabs>
          <w:tab w:val="left" w:pos="709"/>
          <w:tab w:val="left" w:pos="9356"/>
        </w:tabs>
        <w:spacing w:after="240"/>
        <w:ind w:left="709" w:right="270"/>
        <w:rPr>
          <w:noProof w:val="0"/>
          <w:sz w:val="18"/>
          <w:szCs w:val="18"/>
          <w:lang w:val="en-US"/>
        </w:rPr>
      </w:pPr>
      <w:r w:rsidRPr="00610904">
        <w:rPr>
          <w:noProof w:val="0"/>
          <w:sz w:val="18"/>
          <w:szCs w:val="18"/>
          <w:lang w:val="en-US"/>
        </w:rPr>
        <w:t xml:space="preserve">6. </w:t>
      </w:r>
      <w:r w:rsidR="008F3B2E" w:rsidRPr="00610904">
        <w:rPr>
          <w:rFonts w:cs="Arial"/>
          <w:noProof w:val="0"/>
          <w:sz w:val="18"/>
          <w:szCs w:val="18"/>
          <w:lang w:val="en-US"/>
        </w:rPr>
        <w:t>Indeed, the competence of the Inter-American Court to examine the right to health is found directly in Article 26 (Progressive Development) of the Pact of San José (using different interpretative mechanisms (</w:t>
      </w:r>
      <w:r w:rsidR="008F3B2E" w:rsidRPr="00610904">
        <w:rPr>
          <w:rFonts w:cs="Arial"/>
          <w:i/>
          <w:noProof w:val="0"/>
          <w:sz w:val="18"/>
          <w:szCs w:val="18"/>
          <w:lang w:val="en-US"/>
        </w:rPr>
        <w:t>infra</w:t>
      </w:r>
      <w:r w:rsidR="008F3B2E" w:rsidRPr="00610904">
        <w:rPr>
          <w:rFonts w:cs="Arial"/>
          <w:noProof w:val="0"/>
          <w:sz w:val="18"/>
          <w:szCs w:val="18"/>
          <w:lang w:val="en-US"/>
        </w:rPr>
        <w:t xml:space="preserve"> paras. 33 to 72), in relation to Articles 1(1) (Obligation to Respect Rights) and 2 (Domestic Legal Effects), as well as to Article 29 (Restrictions regarding Interpretation) of the American Convention itself. In addition considering Articles 34(i) and 45(h) of the Charter of the Organization of American States, Article XI of the American Declaration on the Rights and Duties of Man, and Article 25(1)</w:t>
      </w:r>
      <w:r w:rsidR="00FB18C2" w:rsidRPr="00610904">
        <w:rPr>
          <w:rFonts w:cs="Arial"/>
          <w:noProof w:val="0"/>
          <w:sz w:val="18"/>
          <w:szCs w:val="18"/>
          <w:lang w:val="en-US"/>
        </w:rPr>
        <w:t xml:space="preserve"> </w:t>
      </w:r>
      <w:r w:rsidR="008F3B2E" w:rsidRPr="00610904">
        <w:rPr>
          <w:rFonts w:cs="Arial"/>
          <w:noProof w:val="0"/>
          <w:sz w:val="18"/>
          <w:szCs w:val="18"/>
          <w:lang w:val="en-US"/>
        </w:rPr>
        <w:t>of the Universal Declaration of Human Rights (the last two instruments pursuant to the provisions of Article 29(d) of the Pact of San José), as well as other international instruments and sources that accord content, definition and scope to the right to health – as the Court has done in relation to the civil and political rights – such as Articles 10 of the Additional Protocol to the American Convention in the Area of Economic, Social and  Cultural Rights, 17 and 33(2) of the Social Charter of the Americas,</w:t>
      </w:r>
      <w:r w:rsidR="00FB18C2" w:rsidRPr="00610904">
        <w:rPr>
          <w:rFonts w:cs="Arial"/>
          <w:noProof w:val="0"/>
          <w:sz w:val="18"/>
          <w:szCs w:val="18"/>
          <w:lang w:val="en-US"/>
        </w:rPr>
        <w:t xml:space="preserve"> </w:t>
      </w:r>
      <w:r w:rsidR="008F3B2E" w:rsidRPr="00610904">
        <w:rPr>
          <w:rFonts w:cs="Arial"/>
          <w:noProof w:val="0"/>
          <w:sz w:val="18"/>
          <w:szCs w:val="18"/>
          <w:lang w:val="en-US"/>
        </w:rPr>
        <w:t xml:space="preserve">12(1) and 12(2)(d) of </w:t>
      </w:r>
      <w:r w:rsidR="008F3B2E" w:rsidRPr="00610904">
        <w:rPr>
          <w:rFonts w:cs="Arial"/>
          <w:noProof w:val="0"/>
          <w:sz w:val="18"/>
          <w:szCs w:val="18"/>
          <w:lang w:val="en-US"/>
        </w:rPr>
        <w:lastRenderedPageBreak/>
        <w:t xml:space="preserve">the International Covenant on Economic, Social and Cultural Rights, 12(1) of the Convention on the Elimination of all Forms of Discrimination against Women, </w:t>
      </w:r>
      <w:r w:rsidR="00FB18C2" w:rsidRPr="00610904">
        <w:rPr>
          <w:rFonts w:cs="Arial"/>
          <w:noProof w:val="0"/>
          <w:sz w:val="18"/>
          <w:szCs w:val="18"/>
          <w:lang w:val="en-US"/>
        </w:rPr>
        <w:t xml:space="preserve">and </w:t>
      </w:r>
      <w:r w:rsidR="008F3B2E" w:rsidRPr="00610904">
        <w:rPr>
          <w:rFonts w:cs="Arial"/>
          <w:noProof w:val="0"/>
          <w:sz w:val="18"/>
          <w:szCs w:val="18"/>
          <w:lang w:val="en-US"/>
        </w:rPr>
        <w:t>24 and 25 of the Convention on the Rights of the Child, among other international instruments and sources — and even national ones by way of Article 29(b) of the American Convention. And this, without being limited by Article 19(6) of the Protocol of San Salvador, which merely refers to the justiciability of certain trade union rights and the right to education, whereas it is Article 26 of the American Convention itself that accords this possibility, as we shall see below.</w:t>
      </w:r>
    </w:p>
    <w:p w:rsidR="008F3B2E" w:rsidRPr="00610904" w:rsidRDefault="004D47AE" w:rsidP="00610904">
      <w:pPr>
        <w:ind w:left="720" w:right="270"/>
        <w:rPr>
          <w:rFonts w:cs="Arial"/>
          <w:noProof w:val="0"/>
          <w:sz w:val="18"/>
          <w:szCs w:val="18"/>
          <w:lang w:val="en-US"/>
        </w:rPr>
      </w:pPr>
      <w:r w:rsidRPr="00610904">
        <w:rPr>
          <w:noProof w:val="0"/>
          <w:sz w:val="18"/>
          <w:szCs w:val="18"/>
          <w:lang w:val="en-US"/>
        </w:rPr>
        <w:t xml:space="preserve">7. </w:t>
      </w:r>
      <w:r w:rsidR="008F3B2E" w:rsidRPr="00610904">
        <w:rPr>
          <w:rFonts w:cs="Arial"/>
          <w:noProof w:val="0"/>
          <w:sz w:val="18"/>
          <w:szCs w:val="18"/>
          <w:lang w:val="en-US"/>
        </w:rPr>
        <w:t>Evidently, this position requires further scrutiny of the interpretation of the inter-American normative as a whole and, particularly, of Article 26 of the Pact of San José, which establishes “the full effectiveness” of economic, social and cultural rights, without the elements of “progressiveness” and of “available resources” to which this article refers constituting conditioning normative elements for the justiciability of the said rights; rather, in any case, they constitute aspects relating to their implementation in keeping with the specif</w:t>
      </w:r>
      <w:r w:rsidR="00FB18C2" w:rsidRPr="00610904">
        <w:rPr>
          <w:rFonts w:cs="Arial"/>
          <w:noProof w:val="0"/>
          <w:sz w:val="18"/>
          <w:szCs w:val="18"/>
          <w:lang w:val="en-US"/>
        </w:rPr>
        <w:t>ic circumstances of each State.</w:t>
      </w:r>
      <w:r w:rsidR="008F3B2E" w:rsidRPr="00610904">
        <w:rPr>
          <w:rFonts w:cs="Arial"/>
          <w:noProof w:val="0"/>
          <w:sz w:val="18"/>
          <w:szCs w:val="18"/>
          <w:lang w:val="en-US"/>
        </w:rPr>
        <w:t xml:space="preserve"> Indeed, as indicated in the </w:t>
      </w:r>
      <w:r w:rsidR="008F3B2E" w:rsidRPr="00610904">
        <w:rPr>
          <w:rFonts w:cs="Arial"/>
          <w:i/>
          <w:noProof w:val="0"/>
          <w:sz w:val="18"/>
          <w:szCs w:val="18"/>
          <w:lang w:val="en-US"/>
        </w:rPr>
        <w:t>case of Acevedo Buendía</w:t>
      </w:r>
      <w:r w:rsidR="008F3B2E" w:rsidRPr="00610904">
        <w:rPr>
          <w:rFonts w:cs="Arial"/>
          <w:noProof w:val="0"/>
          <w:sz w:val="18"/>
          <w:szCs w:val="18"/>
          <w:lang w:val="en-US"/>
        </w:rPr>
        <w:t xml:space="preserve">, cases may arise in which judicial control is focused on alleged regressive measures or on inadequate management of the available resources (in other words, judicial control in relation to progressive development). </w:t>
      </w:r>
    </w:p>
    <w:p w:rsidR="008F3B2E" w:rsidRPr="00610904" w:rsidRDefault="008F3B2E" w:rsidP="00610904">
      <w:pPr>
        <w:ind w:left="720" w:right="270"/>
        <w:rPr>
          <w:rFonts w:cs="Arial"/>
          <w:noProof w:val="0"/>
          <w:sz w:val="18"/>
          <w:szCs w:val="18"/>
          <w:lang w:val="en-US"/>
        </w:rPr>
      </w:pPr>
    </w:p>
    <w:p w:rsidR="008F3B2E" w:rsidRPr="00610904" w:rsidRDefault="008F3B2E" w:rsidP="00610904">
      <w:pPr>
        <w:ind w:left="720" w:right="270"/>
        <w:rPr>
          <w:rFonts w:cs="Arial"/>
          <w:noProof w:val="0"/>
          <w:sz w:val="18"/>
          <w:szCs w:val="18"/>
          <w:lang w:val="en-US"/>
        </w:rPr>
      </w:pPr>
      <w:r w:rsidRPr="00610904">
        <w:rPr>
          <w:rFonts w:cs="Arial"/>
          <w:noProof w:val="0"/>
          <w:sz w:val="18"/>
          <w:szCs w:val="18"/>
          <w:lang w:val="en-US"/>
        </w:rPr>
        <w:t xml:space="preserve">8. Furthermore, this line of argument requires a progressive vision and interpretation, in keeping with the times, which requires considering the progress made in comparative law – especially that of the highest national jurisdictions of the States Parties, and even the tendencies in other parts of the world – as well as an interpretation that analyzes the inter-American </w:t>
      </w:r>
      <w:r w:rsidRPr="00610904">
        <w:rPr>
          <w:rFonts w:cs="Arial"/>
          <w:i/>
          <w:noProof w:val="0"/>
          <w:sz w:val="18"/>
          <w:szCs w:val="18"/>
          <w:lang w:val="en-US"/>
        </w:rPr>
        <w:t>corpus juris</w:t>
      </w:r>
      <w:r w:rsidRPr="00610904">
        <w:rPr>
          <w:rFonts w:cs="Arial"/>
          <w:noProof w:val="0"/>
          <w:sz w:val="18"/>
          <w:szCs w:val="18"/>
          <w:lang w:val="en-US"/>
        </w:rPr>
        <w:t xml:space="preserve"> as a whole, especially the relationship between the American Convention and the Protocol of San Salvador. </w:t>
      </w:r>
    </w:p>
    <w:p w:rsidR="004D47AE" w:rsidRPr="00610904" w:rsidRDefault="008F3B2E" w:rsidP="00610904">
      <w:pPr>
        <w:tabs>
          <w:tab w:val="left" w:pos="709"/>
          <w:tab w:val="left" w:pos="9356"/>
        </w:tabs>
        <w:spacing w:after="240"/>
        <w:ind w:left="709" w:right="270"/>
        <w:rPr>
          <w:noProof w:val="0"/>
          <w:sz w:val="18"/>
          <w:szCs w:val="18"/>
          <w:lang w:val="en-US"/>
        </w:rPr>
      </w:pPr>
      <w:r w:rsidRPr="00610904">
        <w:rPr>
          <w:noProof w:val="0"/>
          <w:sz w:val="18"/>
          <w:szCs w:val="18"/>
          <w:lang w:val="en-US"/>
        </w:rPr>
        <w:t xml:space="preserve"> </w:t>
      </w:r>
      <w:r w:rsidR="004D47AE" w:rsidRPr="00610904">
        <w:rPr>
          <w:noProof w:val="0"/>
          <w:sz w:val="18"/>
          <w:szCs w:val="18"/>
          <w:lang w:val="en-US"/>
        </w:rPr>
        <w:t>[…]</w:t>
      </w:r>
    </w:p>
    <w:p w:rsidR="00671491" w:rsidRPr="00610904" w:rsidRDefault="004D47AE" w:rsidP="00610904">
      <w:pPr>
        <w:tabs>
          <w:tab w:val="left" w:pos="709"/>
          <w:tab w:val="left" w:pos="9356"/>
        </w:tabs>
        <w:ind w:left="709" w:right="270"/>
        <w:rPr>
          <w:rFonts w:cs="Arial"/>
          <w:noProof w:val="0"/>
          <w:sz w:val="18"/>
          <w:szCs w:val="18"/>
          <w:lang w:val="en-US"/>
        </w:rPr>
      </w:pPr>
      <w:r w:rsidRPr="00610904">
        <w:rPr>
          <w:noProof w:val="0"/>
          <w:sz w:val="18"/>
          <w:szCs w:val="18"/>
          <w:lang w:val="en-US"/>
        </w:rPr>
        <w:t>11</w:t>
      </w:r>
      <w:r w:rsidR="00856968" w:rsidRPr="00610904">
        <w:rPr>
          <w:noProof w:val="0"/>
          <w:sz w:val="18"/>
          <w:szCs w:val="18"/>
          <w:lang w:val="en-US"/>
        </w:rPr>
        <w:t>.</w:t>
      </w:r>
      <w:r w:rsidR="008F3B2E" w:rsidRPr="00610904">
        <w:rPr>
          <w:rFonts w:cs="Arial"/>
          <w:noProof w:val="0"/>
          <w:sz w:val="18"/>
          <w:szCs w:val="18"/>
          <w:lang w:val="en-US"/>
        </w:rPr>
        <w:t xml:space="preserve"> Indeed, without denying the progress achieved in the protection of economic, social and cultural rights</w:t>
      </w:r>
      <w:r w:rsidR="00FB18C2" w:rsidRPr="00610904">
        <w:rPr>
          <w:rFonts w:cs="Arial"/>
          <w:noProof w:val="0"/>
          <w:sz w:val="18"/>
          <w:szCs w:val="18"/>
          <w:lang w:val="en-US"/>
        </w:rPr>
        <w:t xml:space="preserve"> indirectly and</w:t>
      </w:r>
      <w:r w:rsidR="008F3B2E" w:rsidRPr="00610904">
        <w:rPr>
          <w:rFonts w:cs="Arial"/>
          <w:noProof w:val="0"/>
          <w:sz w:val="18"/>
          <w:szCs w:val="18"/>
          <w:lang w:val="en-US"/>
        </w:rPr>
        <w:t xml:space="preserve"> in connection with other civil and political rights — which has been the well-known practice of this Inter-American Court – in my opinion, this approach does not accord full efficacy and effectiveness to those rights, denaturing their essence. Moreover, it does not contribute to clarifying the State’s obligations in this regard and, ultimately, results in an overlap among rights, which leads to unnecessary confusion in these times when there is a clear tendency towards the recognition and normative efficacy of all the </w:t>
      </w:r>
      <w:r w:rsidR="00856968" w:rsidRPr="00610904">
        <w:rPr>
          <w:rFonts w:cs="Arial"/>
          <w:noProof w:val="0"/>
          <w:sz w:val="18"/>
          <w:szCs w:val="18"/>
          <w:lang w:val="en-US"/>
        </w:rPr>
        <w:t>rights in</w:t>
      </w:r>
      <w:r w:rsidR="008F3B2E" w:rsidRPr="00610904">
        <w:rPr>
          <w:rFonts w:cs="Arial"/>
          <w:noProof w:val="0"/>
          <w:sz w:val="18"/>
          <w:szCs w:val="18"/>
          <w:lang w:val="en-US"/>
        </w:rPr>
        <w:t xml:space="preserve"> keeping with the evident progress that can be noted in the domestic sphere and in international human rights law</w:t>
      </w:r>
      <w:r w:rsidR="00671491" w:rsidRPr="00610904">
        <w:rPr>
          <w:rFonts w:cs="Arial"/>
          <w:noProof w:val="0"/>
          <w:sz w:val="18"/>
          <w:szCs w:val="18"/>
          <w:lang w:val="en-US"/>
        </w:rPr>
        <w:t>.</w:t>
      </w:r>
    </w:p>
    <w:p w:rsidR="004D47AE" w:rsidRPr="00610904" w:rsidRDefault="008F3B2E" w:rsidP="00610904">
      <w:pPr>
        <w:tabs>
          <w:tab w:val="left" w:pos="709"/>
          <w:tab w:val="left" w:pos="9356"/>
        </w:tabs>
        <w:spacing w:after="240"/>
        <w:ind w:left="709" w:right="270"/>
        <w:rPr>
          <w:noProof w:val="0"/>
          <w:sz w:val="18"/>
          <w:szCs w:val="18"/>
          <w:lang w:val="en-US"/>
        </w:rPr>
      </w:pPr>
      <w:r w:rsidRPr="00610904">
        <w:rPr>
          <w:noProof w:val="0"/>
          <w:sz w:val="18"/>
          <w:szCs w:val="18"/>
          <w:lang w:val="en-US"/>
        </w:rPr>
        <w:t xml:space="preserve"> </w:t>
      </w:r>
      <w:r w:rsidR="004D47AE" w:rsidRPr="00610904">
        <w:rPr>
          <w:noProof w:val="0"/>
          <w:sz w:val="18"/>
          <w:szCs w:val="18"/>
          <w:lang w:val="en-US"/>
        </w:rPr>
        <w:t>[…]</w:t>
      </w:r>
    </w:p>
    <w:p w:rsidR="008F3B2E" w:rsidRPr="00610904" w:rsidRDefault="004D47AE" w:rsidP="00610904">
      <w:pPr>
        <w:pStyle w:val="ListParagraph"/>
        <w:tabs>
          <w:tab w:val="left" w:pos="709"/>
          <w:tab w:val="left" w:pos="9356"/>
        </w:tabs>
        <w:autoSpaceDE w:val="0"/>
        <w:autoSpaceDN w:val="0"/>
        <w:adjustRightInd w:val="0"/>
        <w:ind w:left="709" w:right="270"/>
        <w:rPr>
          <w:rFonts w:cs="Arial"/>
          <w:noProof w:val="0"/>
          <w:sz w:val="18"/>
          <w:szCs w:val="18"/>
          <w:lang w:val="en-US"/>
        </w:rPr>
      </w:pPr>
      <w:r w:rsidRPr="00610904">
        <w:rPr>
          <w:noProof w:val="0"/>
          <w:sz w:val="18"/>
          <w:szCs w:val="18"/>
          <w:lang w:val="en-US"/>
        </w:rPr>
        <w:t xml:space="preserve">15.  </w:t>
      </w:r>
      <w:r w:rsidR="008F3B2E" w:rsidRPr="00610904">
        <w:rPr>
          <w:rFonts w:cs="Arial"/>
          <w:noProof w:val="0"/>
          <w:sz w:val="18"/>
          <w:szCs w:val="18"/>
          <w:lang w:val="en-US"/>
        </w:rPr>
        <w:t>The possibility for this Inter-American Court to rule on the right to health arises, first, from the “interdependence and indivisibility” that exists between civil and political rights and economic, social an</w:t>
      </w:r>
      <w:r w:rsidR="00671491" w:rsidRPr="00610904">
        <w:rPr>
          <w:rFonts w:cs="Arial"/>
          <w:noProof w:val="0"/>
          <w:sz w:val="18"/>
          <w:szCs w:val="18"/>
          <w:lang w:val="en-US"/>
        </w:rPr>
        <w:t>d cultural rights. Indeed, the j</w:t>
      </w:r>
      <w:r w:rsidR="008F3B2E" w:rsidRPr="00610904">
        <w:rPr>
          <w:rFonts w:cs="Arial"/>
          <w:noProof w:val="0"/>
          <w:sz w:val="18"/>
          <w:szCs w:val="18"/>
          <w:lang w:val="en-US"/>
        </w:rPr>
        <w:t>udgment that underlies this separate opinion, expressly recognizes this nature, because all rights should be understood integrally as human rights, without any specific hierarchy, that may be required at all times before those authorities who have the respective competence.</w:t>
      </w:r>
    </w:p>
    <w:p w:rsidR="004D47AE" w:rsidRPr="00610904" w:rsidRDefault="004D47AE" w:rsidP="00610904">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w:t>
      </w:r>
    </w:p>
    <w:p w:rsidR="004D47AE" w:rsidRPr="00610904" w:rsidRDefault="004D47AE" w:rsidP="00610904">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 xml:space="preserve">18.  </w:t>
      </w:r>
      <w:r w:rsidR="008F3B2E" w:rsidRPr="00610904">
        <w:rPr>
          <w:rFonts w:cs="Arial"/>
          <w:noProof w:val="0"/>
          <w:sz w:val="18"/>
          <w:szCs w:val="18"/>
          <w:lang w:val="en-US"/>
        </w:rPr>
        <w:t xml:space="preserve">The important point of this consideration on the interdependence of civil and political rights with economic, social and cultural rights, made by the Inter-American Court in the </w:t>
      </w:r>
      <w:r w:rsidR="008F3B2E" w:rsidRPr="00610904">
        <w:rPr>
          <w:rFonts w:cs="Arial"/>
          <w:i/>
          <w:noProof w:val="0"/>
          <w:sz w:val="18"/>
          <w:szCs w:val="18"/>
          <w:lang w:val="en-US"/>
        </w:rPr>
        <w:t>case of Acevedo Buendía et al. v. Peru</w:t>
      </w:r>
      <w:r w:rsidR="008F3B2E" w:rsidRPr="00610904">
        <w:rPr>
          <w:rFonts w:cs="Arial"/>
          <w:noProof w:val="0"/>
          <w:sz w:val="18"/>
          <w:szCs w:val="18"/>
          <w:lang w:val="en-US"/>
        </w:rPr>
        <w:t>, stems from the fact that this ruling was ma</w:t>
      </w:r>
      <w:r w:rsidR="004F3AAF" w:rsidRPr="00610904">
        <w:rPr>
          <w:rFonts w:cs="Arial"/>
          <w:noProof w:val="0"/>
          <w:sz w:val="18"/>
          <w:szCs w:val="18"/>
          <w:lang w:val="en-US"/>
        </w:rPr>
        <w:t>de when examining the interpre</w:t>
      </w:r>
      <w:r w:rsidR="008F3B2E" w:rsidRPr="00610904">
        <w:rPr>
          <w:rFonts w:cs="Arial"/>
          <w:noProof w:val="0"/>
          <w:sz w:val="18"/>
          <w:szCs w:val="18"/>
          <w:lang w:val="en-US"/>
        </w:rPr>
        <w:t xml:space="preserve">tive scope of Article 26 of the American Convention, with regard to a right (social security), that is not expressly recognized to be justiciable in Article 19(6) of the Protocol of San Salvador. Prior to its analysis of the merits, the Inter-American Court had expressly rejected the preliminary objection of lack of competence </w:t>
      </w:r>
      <w:r w:rsidR="008F3B2E" w:rsidRPr="00610904">
        <w:rPr>
          <w:rFonts w:cs="Arial"/>
          <w:i/>
          <w:noProof w:val="0"/>
          <w:sz w:val="18"/>
          <w:szCs w:val="18"/>
          <w:lang w:val="en-US"/>
        </w:rPr>
        <w:t>ratione materiae</w:t>
      </w:r>
      <w:r w:rsidR="008F3B2E" w:rsidRPr="00610904">
        <w:rPr>
          <w:rFonts w:cs="Arial"/>
          <w:noProof w:val="0"/>
          <w:sz w:val="18"/>
          <w:szCs w:val="18"/>
          <w:lang w:val="en-US"/>
        </w:rPr>
        <w:t xml:space="preserve"> filed by the </w:t>
      </w:r>
      <w:proofErr w:type="gramStart"/>
      <w:r w:rsidR="008F3B2E" w:rsidRPr="00610904">
        <w:rPr>
          <w:rFonts w:cs="Arial"/>
          <w:noProof w:val="0"/>
          <w:sz w:val="18"/>
          <w:szCs w:val="18"/>
          <w:lang w:val="en-US"/>
        </w:rPr>
        <w:t>defendant</w:t>
      </w:r>
      <w:proofErr w:type="gramEnd"/>
      <w:r w:rsidR="008F3B2E" w:rsidRPr="00610904">
        <w:rPr>
          <w:rFonts w:cs="Arial"/>
          <w:noProof w:val="0"/>
          <w:sz w:val="18"/>
          <w:szCs w:val="18"/>
          <w:lang w:val="en-US"/>
        </w:rPr>
        <w:t xml:space="preserve"> State.</w:t>
      </w:r>
    </w:p>
    <w:p w:rsidR="004D47AE" w:rsidRPr="00610904" w:rsidRDefault="004D47AE" w:rsidP="00610904">
      <w:pPr>
        <w:pStyle w:val="ListParagraph"/>
        <w:tabs>
          <w:tab w:val="left" w:pos="709"/>
          <w:tab w:val="left" w:pos="9356"/>
        </w:tabs>
        <w:autoSpaceDE w:val="0"/>
        <w:autoSpaceDN w:val="0"/>
        <w:adjustRightInd w:val="0"/>
        <w:spacing w:after="240"/>
        <w:ind w:left="709" w:right="270"/>
        <w:rPr>
          <w:rFonts w:cs="Arial"/>
          <w:noProof w:val="0"/>
          <w:sz w:val="18"/>
          <w:szCs w:val="18"/>
          <w:lang w:val="en-US"/>
        </w:rPr>
      </w:pPr>
      <w:r w:rsidRPr="00610904">
        <w:rPr>
          <w:noProof w:val="0"/>
          <w:sz w:val="18"/>
          <w:szCs w:val="18"/>
          <w:lang w:val="en-US"/>
        </w:rPr>
        <w:t xml:space="preserve">19.  </w:t>
      </w:r>
      <w:r w:rsidR="008F3B2E" w:rsidRPr="00610904">
        <w:rPr>
          <w:rFonts w:cs="Arial"/>
          <w:noProof w:val="0"/>
          <w:sz w:val="18"/>
          <w:szCs w:val="18"/>
          <w:lang w:val="en-US"/>
        </w:rPr>
        <w:t xml:space="preserve">The Inter-American Court, without mentioning the Protocol of San Salvador to determine whether it had competence in this regard, finding that this was not necessary </w:t>
      </w:r>
      <w:r w:rsidR="008F3B2E" w:rsidRPr="00610904">
        <w:rPr>
          <w:rFonts w:cs="Arial"/>
          <w:noProof w:val="0"/>
          <w:sz w:val="18"/>
          <w:szCs w:val="18"/>
          <w:lang w:val="en-US"/>
        </w:rPr>
        <w:lastRenderedPageBreak/>
        <w:t>because the direct violation of that international instrument had not been alleged, rejected the State’s preliminary objection, considering, on the one hand, that as any organ with jurisdictional functions, the Inter-American Court had the authority inherent in its attributes to determine the scope of its own competence (</w:t>
      </w:r>
      <w:r w:rsidR="008F3B2E" w:rsidRPr="00610904">
        <w:rPr>
          <w:rFonts w:cs="Arial"/>
          <w:i/>
          <w:noProof w:val="0"/>
          <w:sz w:val="18"/>
          <w:szCs w:val="18"/>
          <w:lang w:val="en-US"/>
        </w:rPr>
        <w:t>compétence de la compétence</w:t>
      </w:r>
      <w:r w:rsidR="008F3B2E" w:rsidRPr="00610904">
        <w:rPr>
          <w:rFonts w:cs="Arial"/>
          <w:noProof w:val="0"/>
          <w:sz w:val="18"/>
          <w:szCs w:val="18"/>
          <w:lang w:val="en-US"/>
        </w:rPr>
        <w:t>); and, on the other hand, that “the Court must take into account that the instruments  accepting the optional clause on binding jurisdiction (Article 6</w:t>
      </w:r>
      <w:r w:rsidR="004F3AAF" w:rsidRPr="00610904">
        <w:rPr>
          <w:rFonts w:cs="Arial"/>
          <w:noProof w:val="0"/>
          <w:sz w:val="18"/>
          <w:szCs w:val="18"/>
          <w:lang w:val="en-US"/>
        </w:rPr>
        <w:t>2(1) of the Convention) suppose</w:t>
      </w:r>
      <w:r w:rsidR="008F3B2E" w:rsidRPr="00610904">
        <w:rPr>
          <w:rFonts w:cs="Arial"/>
          <w:noProof w:val="0"/>
          <w:sz w:val="18"/>
          <w:szCs w:val="18"/>
          <w:lang w:val="en-US"/>
        </w:rPr>
        <w:t xml:space="preserve"> the acceptance of the Court’s right </w:t>
      </w:r>
      <w:r w:rsidR="008F3B2E" w:rsidRPr="00610904">
        <w:rPr>
          <w:rFonts w:cs="Arial"/>
          <w:i/>
          <w:noProof w:val="0"/>
          <w:sz w:val="18"/>
          <w:szCs w:val="18"/>
          <w:lang w:val="en-US"/>
        </w:rPr>
        <w:t>to decide any dispute relating to its jurisdiction</w:t>
      </w:r>
      <w:r w:rsidR="008F3B2E" w:rsidRPr="00610904">
        <w:rPr>
          <w:rFonts w:cs="Arial"/>
          <w:noProof w:val="0"/>
          <w:sz w:val="18"/>
          <w:szCs w:val="18"/>
          <w:lang w:val="en-US"/>
        </w:rPr>
        <w:t xml:space="preserve"> by the States that present this instrument. In addition, the Court has indicated previously that the broad terms in which the Convention was drafted indicate that the Court </w:t>
      </w:r>
      <w:r w:rsidR="008F3B2E" w:rsidRPr="00610904">
        <w:rPr>
          <w:rFonts w:cs="Arial"/>
          <w:i/>
          <w:noProof w:val="0"/>
          <w:sz w:val="18"/>
          <w:szCs w:val="18"/>
          <w:lang w:val="en-US"/>
        </w:rPr>
        <w:t>exercises full jurisdiction over all its articles and provisions</w:t>
      </w:r>
      <w:r w:rsidR="008F3B2E" w:rsidRPr="00610904">
        <w:rPr>
          <w:rFonts w:cs="Arial"/>
          <w:noProof w:val="0"/>
          <w:sz w:val="18"/>
          <w:szCs w:val="18"/>
          <w:lang w:val="en-US"/>
        </w:rPr>
        <w:t>.”</w:t>
      </w:r>
    </w:p>
    <w:p w:rsidR="004D47AE" w:rsidRPr="00610904" w:rsidRDefault="004D47AE" w:rsidP="00610904">
      <w:pPr>
        <w:pStyle w:val="ListParagraph"/>
        <w:tabs>
          <w:tab w:val="left" w:pos="709"/>
          <w:tab w:val="left" w:pos="9356"/>
        </w:tabs>
        <w:autoSpaceDE w:val="0"/>
        <w:autoSpaceDN w:val="0"/>
        <w:adjustRightInd w:val="0"/>
        <w:ind w:left="709" w:right="270"/>
        <w:rPr>
          <w:noProof w:val="0"/>
          <w:sz w:val="18"/>
          <w:szCs w:val="18"/>
          <w:lang w:val="en-US"/>
        </w:rPr>
      </w:pPr>
      <w:r w:rsidRPr="00610904">
        <w:rPr>
          <w:noProof w:val="0"/>
          <w:sz w:val="18"/>
          <w:szCs w:val="18"/>
          <w:lang w:val="en-US"/>
        </w:rPr>
        <w:t xml:space="preserve">20. </w:t>
      </w:r>
      <w:r w:rsidR="008F3B2E" w:rsidRPr="00610904">
        <w:rPr>
          <w:rFonts w:cs="Arial"/>
          <w:noProof w:val="0"/>
          <w:sz w:val="18"/>
          <w:szCs w:val="18"/>
          <w:lang w:val="en-US"/>
        </w:rPr>
        <w:t xml:space="preserve">In this important precedent, the Inter-American Court rejected the preliminary objection of the </w:t>
      </w:r>
      <w:proofErr w:type="gramStart"/>
      <w:r w:rsidR="008F3B2E" w:rsidRPr="00610904">
        <w:rPr>
          <w:rFonts w:cs="Arial"/>
          <w:noProof w:val="0"/>
          <w:sz w:val="18"/>
          <w:szCs w:val="18"/>
          <w:lang w:val="en-US"/>
        </w:rPr>
        <w:t>defendant</w:t>
      </w:r>
      <w:proofErr w:type="gramEnd"/>
      <w:r w:rsidR="008F3B2E" w:rsidRPr="00610904">
        <w:rPr>
          <w:rFonts w:cs="Arial"/>
          <w:noProof w:val="0"/>
          <w:sz w:val="18"/>
          <w:szCs w:val="18"/>
          <w:lang w:val="en-US"/>
        </w:rPr>
        <w:t xml:space="preserve"> State </w:t>
      </w:r>
      <w:r w:rsidR="004F3AAF" w:rsidRPr="00610904">
        <w:rPr>
          <w:rFonts w:cs="Arial"/>
          <w:noProof w:val="0"/>
          <w:sz w:val="18"/>
          <w:szCs w:val="18"/>
          <w:lang w:val="en-US"/>
        </w:rPr>
        <w:t>which</w:t>
      </w:r>
      <w:r w:rsidR="008F3B2E" w:rsidRPr="00610904">
        <w:rPr>
          <w:rFonts w:cs="Arial"/>
          <w:noProof w:val="0"/>
          <w:sz w:val="18"/>
          <w:szCs w:val="18"/>
          <w:lang w:val="en-US"/>
        </w:rPr>
        <w:t xml:space="preserve"> expressly argued that this jurisdictional organ lacked competence to rule on a non-justiciable right under Article 19(6) of the Protocol of San Salvador. In other words, by rejecting this preliminary objection and examining the merits of the matter, the Inter-American Court considered that it had competence to hear and to decide (even to be able to declare violated) Article 26 of the Pact of San José. However, in that particular case, it found that there had not been a violation of this treaty-based provision. When examining the merits of the matter, the Inter-American Court considered that the economic, social and cultural rights referred to in Article 26 are subject to the general obligations contained in Articles 1(1) and 2 of the American Convention, as are the civil and political rights established in Articles 3 to 25.</w:t>
      </w:r>
    </w:p>
    <w:p w:rsidR="004D47AE" w:rsidRPr="00610904" w:rsidRDefault="004D47AE" w:rsidP="00610904">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w:t>
      </w:r>
    </w:p>
    <w:p w:rsidR="004D47AE" w:rsidRPr="00610904" w:rsidRDefault="004D47AE" w:rsidP="00610904">
      <w:pPr>
        <w:tabs>
          <w:tab w:val="left" w:pos="709"/>
          <w:tab w:val="left" w:pos="9356"/>
        </w:tabs>
        <w:ind w:left="709" w:right="270"/>
        <w:rPr>
          <w:noProof w:val="0"/>
          <w:color w:val="000000"/>
          <w:sz w:val="18"/>
          <w:szCs w:val="18"/>
          <w:lang w:val="en-US"/>
        </w:rPr>
      </w:pPr>
      <w:r w:rsidRPr="00610904">
        <w:rPr>
          <w:noProof w:val="0"/>
          <w:color w:val="000000"/>
          <w:sz w:val="18"/>
          <w:szCs w:val="18"/>
          <w:lang w:val="en-US"/>
        </w:rPr>
        <w:t xml:space="preserve">27. </w:t>
      </w:r>
      <w:r w:rsidR="00494C7E" w:rsidRPr="00610904">
        <w:rPr>
          <w:rFonts w:cs="Arial"/>
          <w:noProof w:val="0"/>
          <w:sz w:val="18"/>
          <w:szCs w:val="18"/>
          <w:lang w:val="en-US"/>
        </w:rPr>
        <w:t xml:space="preserve">From my perspective, these implications involve: (a) establishing a strong relationship, based on their equal importance, between civil and political rights, and economic, social and cultural rights; (b) making it obligatory to interpret all rights together – which, at times, results in overlapping contents – and to assess the implications of the respect, protection and guarantee of some rights for other rights, as regards their effective implementation; (c) considering economic, social and cultural rights autonomously, based on their intrinsic essence and characteristics; (d) recognizing that they can be violated autonomously, which could lead – as happens in the case of civil and political rights — to declaring the obligation to guarantee rights arising from Article 26 of the Pact of San José, in relation to the general obligations established in Articles 1 and 2 of the American Convention; (e) defining the obligations that the State must fulfill in the area of economic, social and cultural rights; (f) allowing a progressive and systematic interpretation of the inter-American </w:t>
      </w:r>
      <w:r w:rsidR="00494C7E" w:rsidRPr="00610904">
        <w:rPr>
          <w:rFonts w:cs="Arial"/>
          <w:i/>
          <w:noProof w:val="0"/>
          <w:sz w:val="18"/>
          <w:szCs w:val="18"/>
          <w:lang w:val="en-US"/>
        </w:rPr>
        <w:t>corpus juris</w:t>
      </w:r>
      <w:r w:rsidR="00494C7E" w:rsidRPr="00610904">
        <w:rPr>
          <w:rFonts w:cs="Arial"/>
          <w:noProof w:val="0"/>
          <w:sz w:val="18"/>
          <w:szCs w:val="18"/>
          <w:lang w:val="en-US"/>
        </w:rPr>
        <w:t>, especially to emphasize the implications of Article 26 of the Convention with regard to the Protocol of San Salvador, and (g) providing a further justification for using other instruments and interpretations of international organizations with regard to economic, social and cultural rights in order to endow them with content.</w:t>
      </w:r>
      <w:r w:rsidRPr="00610904">
        <w:rPr>
          <w:noProof w:val="0"/>
          <w:color w:val="000000"/>
          <w:sz w:val="18"/>
          <w:szCs w:val="18"/>
          <w:lang w:val="en-US"/>
        </w:rPr>
        <w:t>.</w:t>
      </w:r>
    </w:p>
    <w:p w:rsidR="004D47AE" w:rsidRPr="00610904" w:rsidRDefault="004D47AE" w:rsidP="00610904">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w:t>
      </w:r>
    </w:p>
    <w:p w:rsidR="004D47AE" w:rsidRPr="00610904" w:rsidRDefault="004D47AE" w:rsidP="00610904">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 xml:space="preserve">34.  </w:t>
      </w:r>
      <w:r w:rsidR="00494C7E" w:rsidRPr="00610904">
        <w:rPr>
          <w:rFonts w:cs="Arial"/>
          <w:noProof w:val="0"/>
          <w:sz w:val="18"/>
          <w:szCs w:val="18"/>
          <w:lang w:val="en-US"/>
        </w:rPr>
        <w:t>When considering the scope of the right to health, it is necessary to make an interpretative re-evaluation of Article 26 of the American Convention, the only article of this treaty that refers to “the rights implicit in the economic, social, educational, scientific and cultural standards set forth in the Charter of the Organization of American States as amended by the Protocol of Buenos Aires,” based on the fact that the Inter-American Court exercises full jurisdiction over all the articles and provisions, which include this provision of the Convention.</w:t>
      </w:r>
    </w:p>
    <w:p w:rsidR="00494C7E" w:rsidRPr="00610904" w:rsidRDefault="004D47AE" w:rsidP="00610904">
      <w:pPr>
        <w:tabs>
          <w:tab w:val="left" w:pos="709"/>
          <w:tab w:val="left" w:pos="9356"/>
        </w:tabs>
        <w:ind w:left="709" w:right="270"/>
        <w:rPr>
          <w:rFonts w:cs="Arial"/>
          <w:noProof w:val="0"/>
          <w:sz w:val="18"/>
          <w:szCs w:val="18"/>
          <w:lang w:val="en-US"/>
        </w:rPr>
      </w:pPr>
      <w:r w:rsidRPr="00610904">
        <w:rPr>
          <w:noProof w:val="0"/>
          <w:color w:val="000000"/>
          <w:sz w:val="18"/>
          <w:szCs w:val="18"/>
          <w:lang w:val="en-US"/>
        </w:rPr>
        <w:t xml:space="preserve">35.  </w:t>
      </w:r>
      <w:r w:rsidR="00494C7E" w:rsidRPr="00610904">
        <w:rPr>
          <w:rFonts w:cs="Arial"/>
          <w:noProof w:val="0"/>
          <w:sz w:val="18"/>
          <w:szCs w:val="18"/>
          <w:lang w:val="en-US"/>
        </w:rPr>
        <w:t xml:space="preserve">Furthermore, Article 26 forms part of </w:t>
      </w:r>
      <w:r w:rsidR="00856968" w:rsidRPr="00610904">
        <w:rPr>
          <w:rFonts w:cs="Arial"/>
          <w:noProof w:val="0"/>
          <w:sz w:val="18"/>
          <w:szCs w:val="18"/>
          <w:lang w:val="en-US"/>
        </w:rPr>
        <w:t>Part I</w:t>
      </w:r>
      <w:r w:rsidR="00494C7E" w:rsidRPr="00610904">
        <w:rPr>
          <w:rFonts w:cs="Arial"/>
          <w:noProof w:val="0"/>
          <w:sz w:val="18"/>
          <w:szCs w:val="18"/>
          <w:lang w:val="en-US"/>
        </w:rPr>
        <w:t xml:space="preserve"> (State Obligations and Rights Protected) of the American Convention and, therefore, the general obligations of the States established in Articles 1(1) and 2 of the Convention are applicable to it, as recognized by the Inter-American Court itself in the </w:t>
      </w:r>
      <w:r w:rsidR="00494C7E" w:rsidRPr="00610904">
        <w:rPr>
          <w:rFonts w:cs="Arial"/>
          <w:i/>
          <w:noProof w:val="0"/>
          <w:sz w:val="18"/>
          <w:szCs w:val="18"/>
          <w:lang w:val="en-US"/>
        </w:rPr>
        <w:t>case of Acevedo Buendía v. Peru</w:t>
      </w:r>
      <w:r w:rsidR="00494C7E" w:rsidRPr="00610904">
        <w:rPr>
          <w:rFonts w:cs="Arial"/>
          <w:noProof w:val="0"/>
          <w:sz w:val="18"/>
          <w:szCs w:val="18"/>
          <w:lang w:val="en-US"/>
        </w:rPr>
        <w:t>. Nevertheless, there is an apparent interpretative conflict between the scope that should be given to Article 26 of the Pact of San José, and Article 19(6) of the Protocol of San Salvador, which limits the justiciability of the economic, social and cultural rights to certain rights only.</w:t>
      </w:r>
    </w:p>
    <w:p w:rsidR="004D47AE" w:rsidRPr="00610904" w:rsidRDefault="00494C7E" w:rsidP="00610904">
      <w:pPr>
        <w:tabs>
          <w:tab w:val="left" w:pos="709"/>
          <w:tab w:val="left" w:pos="9356"/>
        </w:tabs>
        <w:ind w:left="709" w:right="270"/>
        <w:rPr>
          <w:noProof w:val="0"/>
          <w:color w:val="000000"/>
          <w:sz w:val="18"/>
          <w:szCs w:val="18"/>
          <w:lang w:val="en-US"/>
        </w:rPr>
      </w:pPr>
      <w:r w:rsidRPr="00610904">
        <w:rPr>
          <w:noProof w:val="0"/>
          <w:color w:val="000000"/>
          <w:sz w:val="18"/>
          <w:szCs w:val="18"/>
          <w:lang w:val="en-US"/>
        </w:rPr>
        <w:t xml:space="preserve"> </w:t>
      </w:r>
      <w:r w:rsidR="004D47AE" w:rsidRPr="00610904">
        <w:rPr>
          <w:noProof w:val="0"/>
          <w:color w:val="000000"/>
          <w:sz w:val="18"/>
          <w:szCs w:val="18"/>
          <w:lang w:val="en-US"/>
        </w:rPr>
        <w:t>[…]</w:t>
      </w:r>
    </w:p>
    <w:p w:rsidR="00494C7E" w:rsidRPr="00610904" w:rsidRDefault="00494C7E" w:rsidP="00610904">
      <w:pPr>
        <w:tabs>
          <w:tab w:val="left" w:pos="709"/>
          <w:tab w:val="left" w:pos="9356"/>
        </w:tabs>
        <w:ind w:left="709" w:right="270"/>
        <w:rPr>
          <w:rFonts w:cs="Arial"/>
          <w:noProof w:val="0"/>
          <w:sz w:val="18"/>
          <w:szCs w:val="18"/>
          <w:lang w:val="en-US"/>
        </w:rPr>
      </w:pPr>
    </w:p>
    <w:p w:rsidR="004D47AE" w:rsidRPr="00610904" w:rsidRDefault="004D47AE" w:rsidP="00610904">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 xml:space="preserve">36. </w:t>
      </w:r>
      <w:r w:rsidR="00494C7E" w:rsidRPr="00610904">
        <w:rPr>
          <w:rFonts w:cs="Arial"/>
          <w:noProof w:val="0"/>
          <w:sz w:val="18"/>
          <w:szCs w:val="18"/>
          <w:lang w:val="en-US"/>
        </w:rPr>
        <w:t>From my perspective, an interpretative development of Article 26 of the Pact of San José is required in the case law of the Inter-American Court, and this could open new possibilities for making economic, social and cultural rights effective, in both their individual and collective dimensions. Moreover, in the future new content could be established through evolutive interpretations that enhance the interdependent and indivisible nature of human rights</w:t>
      </w:r>
      <w:r w:rsidR="00856968" w:rsidRPr="00610904">
        <w:rPr>
          <w:rFonts w:cs="Arial"/>
          <w:noProof w:val="0"/>
          <w:sz w:val="18"/>
          <w:szCs w:val="18"/>
          <w:lang w:val="en-US"/>
        </w:rPr>
        <w:t>.</w:t>
      </w:r>
    </w:p>
    <w:p w:rsidR="004D47AE" w:rsidRPr="00610904" w:rsidRDefault="004D47AE" w:rsidP="00610904">
      <w:pPr>
        <w:ind w:left="720" w:right="270"/>
        <w:rPr>
          <w:rFonts w:cs="Arial"/>
          <w:noProof w:val="0"/>
          <w:sz w:val="18"/>
          <w:szCs w:val="18"/>
          <w:lang w:val="en-US"/>
        </w:rPr>
      </w:pPr>
      <w:r w:rsidRPr="00610904">
        <w:rPr>
          <w:noProof w:val="0"/>
          <w:color w:val="000000"/>
          <w:sz w:val="18"/>
          <w:szCs w:val="18"/>
          <w:lang w:val="en-US"/>
        </w:rPr>
        <w:t xml:space="preserve">37.  </w:t>
      </w:r>
      <w:r w:rsidR="00494C7E" w:rsidRPr="00610904">
        <w:rPr>
          <w:rFonts w:cs="Arial"/>
          <w:noProof w:val="0"/>
          <w:sz w:val="18"/>
          <w:szCs w:val="18"/>
          <w:lang w:val="en-US"/>
        </w:rPr>
        <w:t>In this regard, I consider opportune the call made some months ago by the very distinguished judge</w:t>
      </w:r>
      <w:r w:rsidR="004F3AAF" w:rsidRPr="00610904">
        <w:rPr>
          <w:rFonts w:cs="Arial"/>
          <w:noProof w:val="0"/>
          <w:sz w:val="18"/>
          <w:szCs w:val="18"/>
          <w:lang w:val="en-US"/>
        </w:rPr>
        <w:t>,</w:t>
      </w:r>
      <w:r w:rsidR="00494C7E" w:rsidRPr="00610904">
        <w:rPr>
          <w:rFonts w:cs="Arial"/>
          <w:noProof w:val="0"/>
          <w:sz w:val="18"/>
          <w:szCs w:val="18"/>
          <w:lang w:val="en-US"/>
        </w:rPr>
        <w:t xml:space="preserve"> Margarette May Macaulay — from the Inter-American Court’s previous composition — in her concurring opinion in the </w:t>
      </w:r>
      <w:r w:rsidR="00494C7E" w:rsidRPr="00610904">
        <w:rPr>
          <w:rFonts w:cs="Arial"/>
          <w:i/>
          <w:noProof w:val="0"/>
          <w:sz w:val="18"/>
          <w:szCs w:val="18"/>
          <w:lang w:val="en-US"/>
        </w:rPr>
        <w:t>case of Furlan and family members v. Argentina</w:t>
      </w:r>
      <w:r w:rsidR="00494C7E" w:rsidRPr="00610904">
        <w:rPr>
          <w:rFonts w:cs="Arial"/>
          <w:noProof w:val="0"/>
          <w:sz w:val="18"/>
          <w:szCs w:val="18"/>
          <w:lang w:val="en-US"/>
        </w:rPr>
        <w:t xml:space="preserve">, regarding the updating of the normative meaning of this treaty-based precept. The former judge indicated that the Protocol of San Salvador “does not establish any provision intended to restrict </w:t>
      </w:r>
      <w:r w:rsidR="00856968" w:rsidRPr="00610904">
        <w:rPr>
          <w:rFonts w:cs="Arial"/>
          <w:noProof w:val="0"/>
          <w:sz w:val="18"/>
          <w:szCs w:val="18"/>
          <w:lang w:val="en-US"/>
        </w:rPr>
        <w:t>the scope</w:t>
      </w:r>
      <w:r w:rsidR="00494C7E" w:rsidRPr="00610904">
        <w:rPr>
          <w:rFonts w:cs="Arial"/>
          <w:noProof w:val="0"/>
          <w:sz w:val="18"/>
          <w:szCs w:val="18"/>
          <w:lang w:val="en-US"/>
        </w:rPr>
        <w:t xml:space="preserve"> of the American Convention.” […]</w:t>
      </w:r>
    </w:p>
    <w:p w:rsidR="00494C7E" w:rsidRPr="00610904" w:rsidRDefault="00494C7E" w:rsidP="00610904">
      <w:pPr>
        <w:ind w:left="720" w:right="270"/>
        <w:rPr>
          <w:rFonts w:cs="Arial"/>
          <w:noProof w:val="0"/>
          <w:sz w:val="18"/>
          <w:szCs w:val="18"/>
          <w:lang w:val="en-US"/>
        </w:rPr>
      </w:pPr>
    </w:p>
    <w:p w:rsidR="004D47AE" w:rsidRPr="00610904" w:rsidRDefault="004D47AE" w:rsidP="00610904">
      <w:pPr>
        <w:tabs>
          <w:tab w:val="left" w:pos="709"/>
          <w:tab w:val="left" w:pos="9356"/>
        </w:tabs>
        <w:spacing w:after="240"/>
        <w:ind w:left="709" w:right="270"/>
        <w:rPr>
          <w:noProof w:val="0"/>
          <w:sz w:val="18"/>
          <w:szCs w:val="18"/>
          <w:lang w:val="en-US"/>
        </w:rPr>
      </w:pPr>
      <w:r w:rsidRPr="00610904">
        <w:rPr>
          <w:noProof w:val="0"/>
          <w:sz w:val="18"/>
          <w:szCs w:val="18"/>
          <w:lang w:val="en-US"/>
        </w:rPr>
        <w:t xml:space="preserve">38. </w:t>
      </w:r>
      <w:r w:rsidR="00494C7E" w:rsidRPr="00610904">
        <w:rPr>
          <w:noProof w:val="0"/>
          <w:sz w:val="18"/>
          <w:szCs w:val="18"/>
          <w:lang w:val="en-US"/>
        </w:rPr>
        <w:t>Judge</w:t>
      </w:r>
      <w:r w:rsidRPr="00610904">
        <w:rPr>
          <w:noProof w:val="0"/>
          <w:sz w:val="18"/>
          <w:szCs w:val="18"/>
          <w:lang w:val="en-US"/>
        </w:rPr>
        <w:t xml:space="preserve"> Macaulay </w:t>
      </w:r>
      <w:r w:rsidR="00494C7E" w:rsidRPr="00610904">
        <w:rPr>
          <w:rFonts w:cs="Arial"/>
          <w:noProof w:val="0"/>
          <w:sz w:val="18"/>
          <w:szCs w:val="18"/>
          <w:lang w:val="en-US"/>
        </w:rPr>
        <w:t>specified that it was incumbent on the Inter-American Court to update the normative meaning of Article</w:t>
      </w:r>
      <w:r w:rsidRPr="00610904">
        <w:rPr>
          <w:noProof w:val="0"/>
          <w:sz w:val="18"/>
          <w:szCs w:val="18"/>
          <w:lang w:val="en-US"/>
        </w:rPr>
        <w:t xml:space="preserve"> 26 […].</w:t>
      </w:r>
    </w:p>
    <w:p w:rsidR="00494C7E" w:rsidRPr="00610904" w:rsidRDefault="004D47AE" w:rsidP="00610904">
      <w:pPr>
        <w:ind w:left="720" w:right="270"/>
        <w:rPr>
          <w:rFonts w:cs="Arial"/>
          <w:noProof w:val="0"/>
          <w:sz w:val="18"/>
          <w:szCs w:val="18"/>
          <w:lang w:val="en-US"/>
        </w:rPr>
      </w:pPr>
      <w:r w:rsidRPr="00610904">
        <w:rPr>
          <w:noProof w:val="0"/>
          <w:sz w:val="18"/>
          <w:szCs w:val="18"/>
          <w:lang w:val="en-US"/>
        </w:rPr>
        <w:t xml:space="preserve">39. </w:t>
      </w:r>
      <w:r w:rsidR="00494C7E" w:rsidRPr="00610904">
        <w:rPr>
          <w:rFonts w:cs="Arial"/>
          <w:noProof w:val="0"/>
          <w:sz w:val="18"/>
          <w:szCs w:val="18"/>
          <w:lang w:val="en-US"/>
        </w:rPr>
        <w:t xml:space="preserve">Besides the above, some arguments additional to this interpretation of the relationship between the American Convention and the Protocol of San Salvador can be considered concerning the Court’s competence to examine direct violations of economic, social and cultural rights in light of Article 26 of the Pact of San José. </w:t>
      </w:r>
    </w:p>
    <w:p w:rsidR="00494C7E" w:rsidRPr="00610904" w:rsidRDefault="00494C7E" w:rsidP="00610904">
      <w:pPr>
        <w:ind w:left="720" w:right="270"/>
        <w:rPr>
          <w:rFonts w:cs="Arial"/>
          <w:noProof w:val="0"/>
          <w:sz w:val="18"/>
          <w:szCs w:val="18"/>
          <w:lang w:val="en-US"/>
        </w:rPr>
      </w:pPr>
    </w:p>
    <w:p w:rsidR="00494C7E" w:rsidRPr="00610904" w:rsidRDefault="00494C7E" w:rsidP="00610904">
      <w:pPr>
        <w:ind w:left="720" w:right="270"/>
        <w:rPr>
          <w:noProof w:val="0"/>
          <w:sz w:val="18"/>
          <w:szCs w:val="18"/>
          <w:lang w:val="en-US"/>
        </w:rPr>
      </w:pPr>
      <w:r w:rsidRPr="00610904">
        <w:rPr>
          <w:rFonts w:cs="Arial"/>
          <w:noProof w:val="0"/>
          <w:sz w:val="18"/>
          <w:szCs w:val="18"/>
          <w:lang w:val="en-US"/>
        </w:rPr>
        <w:t xml:space="preserve">40. First, it is essential to establish the importance of taking into account the literal interpretation of Article 26 with regard to the competence established to protect all the rights established in the Pact of San José, which include the rights established in Articles 3 through 26 (Chapter II: “Civil and political rights, and Chapter III: “Economic, social and cultural rights”). As I have already mentioned, the Inter-American Court recognized this expressly in the judgment </w:t>
      </w:r>
      <w:r w:rsidR="00856968" w:rsidRPr="00610904">
        <w:rPr>
          <w:rFonts w:cs="Arial"/>
          <w:noProof w:val="0"/>
          <w:sz w:val="18"/>
          <w:szCs w:val="18"/>
          <w:lang w:val="en-US"/>
        </w:rPr>
        <w:t>in the</w:t>
      </w:r>
      <w:r w:rsidRPr="00610904">
        <w:rPr>
          <w:rFonts w:cs="Arial"/>
          <w:noProof w:val="0"/>
          <w:sz w:val="18"/>
          <w:szCs w:val="18"/>
          <w:lang w:val="en-US"/>
        </w:rPr>
        <w:t xml:space="preserve"> </w:t>
      </w:r>
      <w:r w:rsidRPr="00610904">
        <w:rPr>
          <w:rFonts w:cs="Arial"/>
          <w:i/>
          <w:noProof w:val="0"/>
          <w:sz w:val="18"/>
          <w:szCs w:val="18"/>
          <w:lang w:val="en-US"/>
        </w:rPr>
        <w:t>case of Acevedo Buendía et al. v. Peru.</w:t>
      </w:r>
      <w:r w:rsidR="004D47AE" w:rsidRPr="00610904">
        <w:rPr>
          <w:noProof w:val="0"/>
          <w:sz w:val="18"/>
          <w:szCs w:val="18"/>
          <w:lang w:val="en-US"/>
        </w:rPr>
        <w:t xml:space="preserve"> </w:t>
      </w:r>
    </w:p>
    <w:p w:rsidR="004D47AE" w:rsidRPr="00610904" w:rsidRDefault="00494C7E" w:rsidP="00610904">
      <w:pPr>
        <w:ind w:left="720" w:right="270"/>
        <w:rPr>
          <w:rFonts w:cs="Arial"/>
          <w:noProof w:val="0"/>
          <w:sz w:val="18"/>
          <w:szCs w:val="18"/>
          <w:lang w:val="en-US"/>
        </w:rPr>
      </w:pPr>
      <w:r w:rsidRPr="00610904">
        <w:rPr>
          <w:noProof w:val="0"/>
          <w:sz w:val="18"/>
          <w:szCs w:val="18"/>
          <w:lang w:val="en-US"/>
        </w:rPr>
        <w:t>[…]</w:t>
      </w:r>
    </w:p>
    <w:p w:rsidR="004D47AE" w:rsidRPr="00610904" w:rsidRDefault="004D47AE" w:rsidP="00610904">
      <w:pPr>
        <w:tabs>
          <w:tab w:val="left" w:pos="9356"/>
        </w:tabs>
        <w:ind w:left="709" w:right="270"/>
        <w:rPr>
          <w:b/>
          <w:noProof w:val="0"/>
          <w:sz w:val="18"/>
          <w:szCs w:val="18"/>
          <w:lang w:val="en-US"/>
        </w:rPr>
      </w:pPr>
    </w:p>
    <w:p w:rsidR="00494C7E" w:rsidRPr="00610904" w:rsidRDefault="004D47AE" w:rsidP="00610904">
      <w:pPr>
        <w:ind w:left="720" w:right="270"/>
        <w:rPr>
          <w:rFonts w:cs="Arial"/>
          <w:noProof w:val="0"/>
          <w:sz w:val="18"/>
          <w:szCs w:val="18"/>
          <w:lang w:val="en-US"/>
        </w:rPr>
      </w:pPr>
      <w:r w:rsidRPr="00610904">
        <w:rPr>
          <w:noProof w:val="0"/>
          <w:sz w:val="18"/>
          <w:szCs w:val="18"/>
          <w:lang w:val="en-US"/>
        </w:rPr>
        <w:t xml:space="preserve">42. </w:t>
      </w:r>
      <w:r w:rsidR="00494C7E" w:rsidRPr="00610904">
        <w:rPr>
          <w:rFonts w:cs="Arial"/>
          <w:noProof w:val="0"/>
          <w:sz w:val="18"/>
          <w:szCs w:val="18"/>
          <w:lang w:val="en-US"/>
        </w:rPr>
        <w:t>Now, none of the articles of the Protocol of San Salvador make any reference to the scope of the general obligations referred to in Articles 1(1) and 2 of the American Convention. If the Pact of San José is not being amended expressly, the corresponding interpretation should be the least restrictive as regards its scope. In this regard, it is important to stress that the American Convention itself establishes a specific procedure for its amendment. If the Protocol of Salvador had been intended to annul or amend the scope of Article 26, this should have been established explicitly and unequivocally. The clear wording of Article 19(6) of the Protocol does not permit inferring any conclusion with regard to the literal meaning of the relationship between Article 26 and Articles 1(1) and 2 of the American Convention, as the Inter-American Court has recognized.</w:t>
      </w:r>
    </w:p>
    <w:p w:rsidR="00494C7E" w:rsidRPr="00610904" w:rsidRDefault="00494C7E" w:rsidP="00610904">
      <w:pPr>
        <w:ind w:left="720" w:right="270"/>
        <w:rPr>
          <w:rFonts w:cs="Arial"/>
          <w:noProof w:val="0"/>
          <w:sz w:val="18"/>
          <w:szCs w:val="18"/>
          <w:lang w:val="en-US"/>
        </w:rPr>
      </w:pPr>
    </w:p>
    <w:p w:rsidR="004D47AE" w:rsidRPr="00610904" w:rsidRDefault="00494C7E" w:rsidP="00610904">
      <w:pPr>
        <w:ind w:left="720" w:right="270"/>
        <w:rPr>
          <w:rFonts w:cs="Arial"/>
          <w:noProof w:val="0"/>
          <w:sz w:val="18"/>
          <w:szCs w:val="18"/>
          <w:lang w:val="en-US"/>
        </w:rPr>
      </w:pPr>
      <w:r w:rsidRPr="00610904">
        <w:rPr>
          <w:rFonts w:cs="Arial"/>
          <w:noProof w:val="0"/>
          <w:sz w:val="18"/>
          <w:szCs w:val="18"/>
          <w:lang w:val="en-US"/>
        </w:rPr>
        <w:t>43. Differing positions have arisen with regard to the interpretation of Article 26 and its relationship with the Protocol of San Salvador. In my opinion, the principle of the most favorable interpretation must be applied not only with regard to the substantive aspects of the Convention, but also as regards procedural aspects related to the attribution of competence, provided that a real and specific conflict in interpretation exists. If the Protocol of San Salvador had expressly indicated that it should be understood that Article 26 was no longer in force, the interpreter could not reach the opposite conclusion. However, no article of the Protocol refers to the reduction or limitation of the scope of the American Convention</w:t>
      </w:r>
      <w:r w:rsidR="004D47AE" w:rsidRPr="00610904">
        <w:rPr>
          <w:noProof w:val="0"/>
          <w:sz w:val="18"/>
          <w:szCs w:val="18"/>
          <w:lang w:val="en-US"/>
        </w:rPr>
        <w:t xml:space="preserve">. </w:t>
      </w:r>
    </w:p>
    <w:p w:rsidR="004D47AE" w:rsidRPr="00610904" w:rsidRDefault="004D47AE" w:rsidP="00610904">
      <w:pPr>
        <w:tabs>
          <w:tab w:val="left" w:pos="709"/>
          <w:tab w:val="left" w:pos="9356"/>
        </w:tabs>
        <w:ind w:left="709" w:right="270"/>
        <w:rPr>
          <w:noProof w:val="0"/>
          <w:sz w:val="18"/>
          <w:szCs w:val="18"/>
          <w:lang w:val="en-US"/>
        </w:rPr>
      </w:pPr>
    </w:p>
    <w:p w:rsidR="00494C7E" w:rsidRPr="00610904" w:rsidRDefault="004D47AE" w:rsidP="00610904">
      <w:pPr>
        <w:ind w:left="720" w:right="270"/>
        <w:rPr>
          <w:rFonts w:cs="Arial"/>
          <w:noProof w:val="0"/>
          <w:sz w:val="18"/>
          <w:szCs w:val="18"/>
          <w:lang w:val="en-US"/>
        </w:rPr>
      </w:pPr>
      <w:r w:rsidRPr="00610904">
        <w:rPr>
          <w:noProof w:val="0"/>
          <w:sz w:val="18"/>
          <w:szCs w:val="18"/>
          <w:lang w:val="en-US"/>
        </w:rPr>
        <w:t xml:space="preserve">44. </w:t>
      </w:r>
      <w:r w:rsidR="00494C7E" w:rsidRPr="00610904">
        <w:rPr>
          <w:rFonts w:cs="Arial"/>
          <w:noProof w:val="0"/>
          <w:sz w:val="18"/>
          <w:szCs w:val="18"/>
          <w:lang w:val="en-US"/>
        </w:rPr>
        <w:t>To the contrary, one of the articles of the Protocol indicates that this instrument should not be interpreted in order to disregard other rights in force in the States Parties, which include the rights derived from Article 26 within the framework of the American Convention. Moreover, in the terms of Article 29(b) of the American Convention, a restrictive interpretation of the rights is not permitted.</w:t>
      </w:r>
    </w:p>
    <w:p w:rsidR="00494C7E" w:rsidRPr="00610904" w:rsidRDefault="00494C7E" w:rsidP="00610904">
      <w:pPr>
        <w:ind w:left="720" w:right="270"/>
        <w:rPr>
          <w:rFonts w:cs="Arial"/>
          <w:noProof w:val="0"/>
          <w:sz w:val="18"/>
          <w:szCs w:val="18"/>
          <w:lang w:val="en-US"/>
        </w:rPr>
      </w:pPr>
    </w:p>
    <w:p w:rsidR="004D47AE" w:rsidRPr="00610904" w:rsidRDefault="00494C7E" w:rsidP="00610904">
      <w:pPr>
        <w:tabs>
          <w:tab w:val="left" w:pos="709"/>
          <w:tab w:val="left" w:pos="9356"/>
        </w:tabs>
        <w:ind w:left="709" w:right="270"/>
        <w:rPr>
          <w:rFonts w:cs="Arial"/>
          <w:noProof w:val="0"/>
          <w:sz w:val="18"/>
          <w:szCs w:val="18"/>
          <w:lang w:val="en-US"/>
        </w:rPr>
      </w:pPr>
      <w:r w:rsidRPr="00610904">
        <w:rPr>
          <w:rFonts w:cs="Arial"/>
          <w:noProof w:val="0"/>
          <w:sz w:val="18"/>
          <w:szCs w:val="18"/>
          <w:lang w:val="en-US"/>
        </w:rPr>
        <w:lastRenderedPageBreak/>
        <w:t>45. Thus, this – apparent – problem must be resolved based on a systematic, teleological and evolutive interpretation that takes into account the most favorable interpretation to ensure the best protection of the individual and the object and purpose of Article 26 of the American Convention regarding the need to truly guarantee economic, social and cultural rights. In the presence of a conflict in interpretation, prevalence should be given to a systematic interpretation of the relevant norms</w:t>
      </w:r>
      <w:r w:rsidR="004D47AE" w:rsidRPr="00610904">
        <w:rPr>
          <w:rFonts w:eastAsia="Calibri" w:cs="NewBaskerville-Roman"/>
          <w:noProof w:val="0"/>
          <w:sz w:val="18"/>
          <w:szCs w:val="18"/>
          <w:lang w:val="en-US"/>
        </w:rPr>
        <w:t xml:space="preserve">. </w:t>
      </w:r>
    </w:p>
    <w:p w:rsidR="004D47AE" w:rsidRPr="00610904" w:rsidRDefault="004D47AE" w:rsidP="00610904">
      <w:pPr>
        <w:tabs>
          <w:tab w:val="left" w:pos="9356"/>
        </w:tabs>
        <w:ind w:left="709" w:right="270"/>
        <w:rPr>
          <w:noProof w:val="0"/>
          <w:sz w:val="18"/>
          <w:szCs w:val="18"/>
          <w:lang w:val="en-US"/>
        </w:rPr>
      </w:pPr>
    </w:p>
    <w:p w:rsidR="00494C7E" w:rsidRPr="00610904" w:rsidRDefault="004D47AE" w:rsidP="00610904">
      <w:pPr>
        <w:ind w:left="720" w:right="270"/>
        <w:rPr>
          <w:rFonts w:cs="Arial"/>
          <w:noProof w:val="0"/>
          <w:sz w:val="18"/>
          <w:szCs w:val="18"/>
          <w:lang w:val="en-US"/>
        </w:rPr>
      </w:pPr>
      <w:r w:rsidRPr="00610904">
        <w:rPr>
          <w:rFonts w:eastAsia="Calibri" w:cs="NewBaskerville-Roman"/>
          <w:noProof w:val="0"/>
          <w:sz w:val="18"/>
          <w:szCs w:val="18"/>
          <w:lang w:val="en-US"/>
        </w:rPr>
        <w:t xml:space="preserve">46. </w:t>
      </w:r>
      <w:r w:rsidR="00494C7E" w:rsidRPr="00610904">
        <w:rPr>
          <w:rFonts w:cs="Arial"/>
          <w:noProof w:val="0"/>
          <w:sz w:val="18"/>
          <w:szCs w:val="18"/>
          <w:lang w:val="en-US"/>
        </w:rPr>
        <w:t>In this regard, the Inter-American Court has indicated on previous occasions that human rights treaties are living instruments, the interpretation of which must keep up with the times and current living conditions. Furthermore, it has also affirmed that this evolutive interpretation is consequent with the general rules of interpretation established in Article 29 of the American Convention, and also in the Vienna Convention on the Law of Treaties. When making an evolutive interpretation, the Court has given special relevance to comparative law, and has therefore used domestic laws or the case law of domestic courts when analyzing specific disputes in contentious cases</w:t>
      </w:r>
    </w:p>
    <w:p w:rsidR="00494C7E" w:rsidRPr="00610904" w:rsidRDefault="00494C7E" w:rsidP="00610904">
      <w:pPr>
        <w:ind w:left="720" w:right="270"/>
        <w:rPr>
          <w:rFonts w:cs="Arial"/>
          <w:noProof w:val="0"/>
          <w:sz w:val="18"/>
          <w:szCs w:val="18"/>
          <w:lang w:val="en-US"/>
        </w:rPr>
      </w:pPr>
    </w:p>
    <w:p w:rsidR="004D47AE" w:rsidRPr="00610904" w:rsidRDefault="00494C7E" w:rsidP="00610904">
      <w:pPr>
        <w:ind w:left="720" w:right="270"/>
        <w:rPr>
          <w:rFonts w:cs="Arial"/>
          <w:noProof w:val="0"/>
          <w:sz w:val="18"/>
          <w:szCs w:val="18"/>
          <w:lang w:val="en-US"/>
        </w:rPr>
      </w:pPr>
      <w:r w:rsidRPr="00610904">
        <w:rPr>
          <w:rFonts w:cs="Arial"/>
          <w:noProof w:val="0"/>
          <w:sz w:val="18"/>
          <w:szCs w:val="18"/>
          <w:lang w:val="en-US"/>
        </w:rPr>
        <w:t xml:space="preserve">47. It is clear that the Inter-American Court cannot declare the violation of the right to health under the Protocol of San Salvador, because this can be observed from the literal meaning of its Article 19(6). However, it is possible to understand the Protocol of San Salvador as one of the interpretative references concerning the scope of the right to health protected by Article 26 of the American Convention. In light of the human rights </w:t>
      </w:r>
      <w:r w:rsidRPr="00610904">
        <w:rPr>
          <w:rFonts w:cs="Arial"/>
          <w:i/>
          <w:noProof w:val="0"/>
          <w:sz w:val="18"/>
          <w:szCs w:val="18"/>
          <w:lang w:val="en-US"/>
        </w:rPr>
        <w:t>corpus juris</w:t>
      </w:r>
      <w:r w:rsidRPr="00610904">
        <w:rPr>
          <w:rFonts w:cs="Arial"/>
          <w:noProof w:val="0"/>
          <w:sz w:val="18"/>
          <w:szCs w:val="18"/>
          <w:lang w:val="en-US"/>
        </w:rPr>
        <w:t>, the Additional Protocol throws light on the content that the obligations of respect and guarantee should have in relation to this right. In other words, the Protocol of San Salvador provides guidance on the application corresponding to Article 26 together with the obligations established in Articles 1(1) and 2 of the Pact of San José</w:t>
      </w:r>
      <w:r w:rsidR="004D47AE" w:rsidRPr="00610904">
        <w:rPr>
          <w:rFonts w:eastAsia="Calibri" w:cs="NewBaskerville-Roman"/>
          <w:noProof w:val="0"/>
          <w:sz w:val="18"/>
          <w:szCs w:val="18"/>
          <w:lang w:val="en-US"/>
        </w:rPr>
        <w:t>.</w:t>
      </w:r>
    </w:p>
    <w:p w:rsidR="004D47AE" w:rsidRPr="00610904" w:rsidRDefault="004D47AE" w:rsidP="00610904">
      <w:pPr>
        <w:pStyle w:val="PlainText"/>
        <w:tabs>
          <w:tab w:val="left" w:pos="9356"/>
        </w:tabs>
        <w:ind w:left="709" w:right="270"/>
        <w:jc w:val="both"/>
        <w:rPr>
          <w:rFonts w:ascii="Verdana" w:hAnsi="Verdana"/>
          <w:noProof w:val="0"/>
          <w:sz w:val="18"/>
          <w:szCs w:val="18"/>
          <w:lang w:val="en-US"/>
        </w:rPr>
      </w:pPr>
      <w:r w:rsidRPr="00610904">
        <w:rPr>
          <w:rFonts w:ascii="Verdana" w:hAnsi="Verdana"/>
          <w:noProof w:val="0"/>
          <w:sz w:val="18"/>
          <w:szCs w:val="18"/>
          <w:lang w:val="en-US"/>
        </w:rPr>
        <w:t>[…]</w:t>
      </w:r>
    </w:p>
    <w:p w:rsidR="004D47AE" w:rsidRPr="00610904" w:rsidRDefault="004D47AE" w:rsidP="00610904">
      <w:pPr>
        <w:pStyle w:val="PlainText"/>
        <w:tabs>
          <w:tab w:val="left" w:pos="9356"/>
        </w:tabs>
        <w:ind w:left="709" w:right="270"/>
        <w:jc w:val="both"/>
        <w:rPr>
          <w:rFonts w:ascii="Verdana" w:hAnsi="Verdana"/>
          <w:noProof w:val="0"/>
          <w:sz w:val="18"/>
          <w:szCs w:val="18"/>
          <w:lang w:val="en-US"/>
        </w:rPr>
      </w:pPr>
    </w:p>
    <w:p w:rsidR="004D47AE" w:rsidRPr="00610904" w:rsidRDefault="004D47AE" w:rsidP="00610904">
      <w:pPr>
        <w:pStyle w:val="PlainText"/>
        <w:tabs>
          <w:tab w:val="left" w:pos="709"/>
          <w:tab w:val="left" w:pos="9356"/>
        </w:tabs>
        <w:spacing w:after="240"/>
        <w:ind w:left="709" w:right="270"/>
        <w:jc w:val="both"/>
        <w:rPr>
          <w:rFonts w:ascii="Verdana" w:hAnsi="Verdana"/>
          <w:noProof w:val="0"/>
          <w:sz w:val="18"/>
          <w:szCs w:val="18"/>
          <w:lang w:val="en-US"/>
        </w:rPr>
      </w:pPr>
      <w:r w:rsidRPr="00610904">
        <w:rPr>
          <w:rFonts w:ascii="Verdana" w:hAnsi="Verdana"/>
          <w:noProof w:val="0"/>
          <w:sz w:val="18"/>
          <w:szCs w:val="18"/>
          <w:lang w:val="en-US"/>
        </w:rPr>
        <w:t xml:space="preserve">57. </w:t>
      </w:r>
      <w:r w:rsidR="00494C7E" w:rsidRPr="00610904">
        <w:rPr>
          <w:rFonts w:ascii="Verdana" w:hAnsi="Verdana" w:cs="Arial"/>
          <w:noProof w:val="0"/>
          <w:sz w:val="18"/>
          <w:szCs w:val="18"/>
          <w:lang w:val="en-US"/>
        </w:rPr>
        <w:t xml:space="preserve">Up until now, the Inter-American Court has used different aspects of the </w:t>
      </w:r>
      <w:r w:rsidR="00494C7E" w:rsidRPr="00610904">
        <w:rPr>
          <w:rFonts w:ascii="Verdana" w:hAnsi="Verdana" w:cs="Arial"/>
          <w:i/>
          <w:noProof w:val="0"/>
          <w:sz w:val="18"/>
          <w:szCs w:val="18"/>
          <w:lang w:val="en-US"/>
        </w:rPr>
        <w:t>corpus juris</w:t>
      </w:r>
      <w:r w:rsidR="00494C7E" w:rsidRPr="00610904">
        <w:rPr>
          <w:rFonts w:ascii="Verdana" w:hAnsi="Verdana" w:cs="Arial"/>
          <w:noProof w:val="0"/>
          <w:sz w:val="18"/>
          <w:szCs w:val="18"/>
          <w:lang w:val="en-US"/>
        </w:rPr>
        <w:t xml:space="preserve"> on the right to health in order to found its arguments on the scope of the right to life or personal integrity, using the concept of decent life or another type of analysis based on the relationship between health and these civil rights […]. This argumentation strategy is valid and has permitted significant progress in inter-American case law. However, the main problems of this argumentation technique is that it prevents an in-depth analysis of the scope of the obligations of respect and guarantee in relation to </w:t>
      </w:r>
      <w:r w:rsidR="004F3AAF" w:rsidRPr="00610904">
        <w:rPr>
          <w:rFonts w:ascii="Verdana" w:hAnsi="Verdana" w:cs="Arial"/>
          <w:noProof w:val="0"/>
          <w:sz w:val="18"/>
          <w:szCs w:val="18"/>
          <w:lang w:val="en-US"/>
        </w:rPr>
        <w:t>the right to health, as in the j</w:t>
      </w:r>
      <w:r w:rsidR="00494C7E" w:rsidRPr="00610904">
        <w:rPr>
          <w:rFonts w:ascii="Verdana" w:hAnsi="Verdana" w:cs="Arial"/>
          <w:noProof w:val="0"/>
          <w:sz w:val="18"/>
          <w:szCs w:val="18"/>
          <w:lang w:val="en-US"/>
        </w:rPr>
        <w:t>udgment that give rise to this separate opinion. In addition, there are some components of social rights that cannot be extended to standards of civil and political rights. As I have underlined, “the specificity could be lost of both civil and political rights (that begin to cover everything) and of social rights (that are unable to project their specificities).</w:t>
      </w:r>
    </w:p>
    <w:p w:rsidR="00494C7E" w:rsidRPr="00610904" w:rsidRDefault="004D47AE" w:rsidP="00610904">
      <w:pPr>
        <w:tabs>
          <w:tab w:val="left" w:pos="709"/>
          <w:tab w:val="left" w:pos="9356"/>
        </w:tabs>
        <w:spacing w:after="240"/>
        <w:ind w:left="709" w:right="270"/>
        <w:rPr>
          <w:rFonts w:cs="Arial"/>
          <w:noProof w:val="0"/>
          <w:sz w:val="18"/>
          <w:szCs w:val="18"/>
          <w:lang w:val="en-US"/>
        </w:rPr>
      </w:pPr>
      <w:r w:rsidRPr="00610904">
        <w:rPr>
          <w:noProof w:val="0"/>
          <w:color w:val="000000"/>
          <w:sz w:val="18"/>
          <w:szCs w:val="18"/>
          <w:lang w:val="en-US"/>
        </w:rPr>
        <w:t xml:space="preserve">58. </w:t>
      </w:r>
      <w:r w:rsidR="00494C7E" w:rsidRPr="00610904">
        <w:rPr>
          <w:rFonts w:cs="Arial"/>
          <w:noProof w:val="0"/>
          <w:sz w:val="18"/>
          <w:szCs w:val="18"/>
          <w:lang w:val="en-US"/>
        </w:rPr>
        <w:t>Considering that, in its evolutive case law, the Inter-American Court has already explicitly accepted the justiciability of Article 26 […], in my opinion, the Inter-American Court now needs to resolve several aspects of this article, which poses the difficult future task of deciding three distinct questions relating to: (i) what rights does it protect; (ii) what type of obligations arise from those rights, and (iii) what are the implications of the principle of progressiveness. […]</w:t>
      </w:r>
    </w:p>
    <w:p w:rsidR="004D47AE" w:rsidRPr="00610904" w:rsidRDefault="002416BB" w:rsidP="00610904">
      <w:pPr>
        <w:pStyle w:val="ListParagraph"/>
        <w:numPr>
          <w:ilvl w:val="0"/>
          <w:numId w:val="26"/>
        </w:numPr>
        <w:tabs>
          <w:tab w:val="left" w:pos="567"/>
        </w:tabs>
        <w:rPr>
          <w:noProof w:val="0"/>
          <w:lang w:val="en-US"/>
        </w:rPr>
      </w:pPr>
      <w:r w:rsidRPr="00610904">
        <w:rPr>
          <w:noProof w:val="0"/>
          <w:lang w:val="en-US"/>
        </w:rPr>
        <w:t>In a</w:t>
      </w:r>
      <w:r w:rsidR="004F3AAF" w:rsidRPr="00610904">
        <w:rPr>
          <w:noProof w:val="0"/>
          <w:lang w:val="en-US"/>
        </w:rPr>
        <w:t>ddition, regarding the argument</w:t>
      </w:r>
      <w:r w:rsidRPr="00610904">
        <w:rPr>
          <w:noProof w:val="0"/>
          <w:lang w:val="en-US"/>
        </w:rPr>
        <w:t xml:space="preserve"> that </w:t>
      </w:r>
      <w:r w:rsidR="009F3D78" w:rsidRPr="00610904">
        <w:rPr>
          <w:noProof w:val="0"/>
          <w:lang w:val="en-US"/>
        </w:rPr>
        <w:t>the American Convention</w:t>
      </w:r>
      <w:r w:rsidR="004D47AE" w:rsidRPr="00610904">
        <w:rPr>
          <w:noProof w:val="0"/>
          <w:lang w:val="en-US"/>
        </w:rPr>
        <w:t xml:space="preserve"> </w:t>
      </w:r>
      <w:r w:rsidRPr="00610904">
        <w:rPr>
          <w:noProof w:val="0"/>
          <w:lang w:val="en-US"/>
        </w:rPr>
        <w:t>does not establish social rights because</w:t>
      </w:r>
      <w:r w:rsidR="004F3AAF" w:rsidRPr="00610904">
        <w:rPr>
          <w:noProof w:val="0"/>
          <w:lang w:val="en-US"/>
        </w:rPr>
        <w:t>,</w:t>
      </w:r>
      <w:r w:rsidRPr="00610904">
        <w:rPr>
          <w:noProof w:val="0"/>
          <w:lang w:val="en-US"/>
        </w:rPr>
        <w:t xml:space="preserve"> if those rights had already been included in that treaty, the States </w:t>
      </w:r>
      <w:r w:rsidR="00856968" w:rsidRPr="00610904">
        <w:rPr>
          <w:noProof w:val="0"/>
          <w:lang w:val="en-US"/>
        </w:rPr>
        <w:t>Parties</w:t>
      </w:r>
      <w:r w:rsidRPr="00610904">
        <w:rPr>
          <w:noProof w:val="0"/>
          <w:lang w:val="en-US"/>
        </w:rPr>
        <w:t xml:space="preserve"> would have preferred to amend it to supplement or expand the scope of those rights – rather than </w:t>
      </w:r>
      <w:r w:rsidR="004F3AAF" w:rsidRPr="00610904">
        <w:rPr>
          <w:noProof w:val="0"/>
          <w:lang w:val="en-US"/>
        </w:rPr>
        <w:t>adopt a protocol – in</w:t>
      </w:r>
      <w:r w:rsidRPr="00610904">
        <w:rPr>
          <w:noProof w:val="0"/>
          <w:lang w:val="en-US"/>
        </w:rPr>
        <w:t xml:space="preserve"> our Concurring Opinion</w:t>
      </w:r>
      <w:r w:rsidRPr="00610904">
        <w:rPr>
          <w:i/>
          <w:noProof w:val="0"/>
          <w:lang w:val="en-US"/>
        </w:rPr>
        <w:t xml:space="preserve"> </w:t>
      </w:r>
      <w:r w:rsidRPr="00610904">
        <w:rPr>
          <w:noProof w:val="0"/>
          <w:lang w:val="en-US"/>
        </w:rPr>
        <w:t xml:space="preserve">on the judgment in the recent case of </w:t>
      </w:r>
      <w:r w:rsidRPr="00610904">
        <w:rPr>
          <w:i/>
          <w:noProof w:val="0"/>
          <w:lang w:val="en-US"/>
        </w:rPr>
        <w:t xml:space="preserve">Canales Huapaya et al. v. Peru, </w:t>
      </w:r>
      <w:r w:rsidR="009F3D78" w:rsidRPr="00610904">
        <w:rPr>
          <w:noProof w:val="0"/>
          <w:lang w:val="en-US"/>
        </w:rPr>
        <w:t>Judge</w:t>
      </w:r>
      <w:r w:rsidR="004D47AE" w:rsidRPr="00610904">
        <w:rPr>
          <w:noProof w:val="0"/>
          <w:lang w:val="en-US"/>
        </w:rPr>
        <w:t xml:space="preserve"> Roberto F. Caldas</w:t>
      </w:r>
      <w:r w:rsidR="009F3D78" w:rsidRPr="00610904">
        <w:rPr>
          <w:noProof w:val="0"/>
          <w:lang w:val="en-US"/>
        </w:rPr>
        <w:t xml:space="preserve"> and </w:t>
      </w:r>
      <w:r w:rsidR="004F3AAF" w:rsidRPr="00610904">
        <w:rPr>
          <w:noProof w:val="0"/>
          <w:lang w:val="en-US"/>
        </w:rPr>
        <w:t>the undersigned</w:t>
      </w:r>
      <w:r w:rsidRPr="00610904">
        <w:rPr>
          <w:noProof w:val="0"/>
          <w:lang w:val="en-US"/>
        </w:rPr>
        <w:t xml:space="preserve"> asserted th</w:t>
      </w:r>
      <w:r w:rsidR="004F3AAF" w:rsidRPr="00610904">
        <w:rPr>
          <w:noProof w:val="0"/>
          <w:lang w:val="en-US"/>
        </w:rPr>
        <w:t>at a different interpretation of</w:t>
      </w:r>
      <w:r w:rsidRPr="00610904">
        <w:rPr>
          <w:noProof w:val="0"/>
          <w:lang w:val="en-US"/>
        </w:rPr>
        <w:t xml:space="preserve"> the relationship between “treaties” and their “protocols” was possible under international human rights law, as can be seen in several protocols additional to treaties that establish</w:t>
      </w:r>
      <w:r w:rsidR="004F3AAF" w:rsidRPr="00610904">
        <w:rPr>
          <w:noProof w:val="0"/>
          <w:lang w:val="en-US"/>
        </w:rPr>
        <w:t xml:space="preserve"> regulations that supplement the</w:t>
      </w:r>
      <w:r w:rsidRPr="00610904">
        <w:rPr>
          <w:noProof w:val="0"/>
          <w:lang w:val="en-US"/>
        </w:rPr>
        <w:t xml:space="preserve"> matters developed in the respect</w:t>
      </w:r>
      <w:r w:rsidR="004F3AAF" w:rsidRPr="00610904">
        <w:rPr>
          <w:noProof w:val="0"/>
          <w:lang w:val="en-US"/>
        </w:rPr>
        <w:t xml:space="preserve">ive treaty. In other words, the </w:t>
      </w:r>
      <w:r w:rsidRPr="00610904">
        <w:rPr>
          <w:noProof w:val="0"/>
          <w:lang w:val="en-US"/>
        </w:rPr>
        <w:t xml:space="preserve">protocols are not restricted to </w:t>
      </w:r>
      <w:r w:rsidRPr="00610904">
        <w:rPr>
          <w:noProof w:val="0"/>
          <w:lang w:val="en-US"/>
        </w:rPr>
        <w:lastRenderedPageBreak/>
        <w:t>establishing new rights</w:t>
      </w:r>
      <w:r w:rsidR="004F3AAF" w:rsidRPr="00610904">
        <w:rPr>
          <w:noProof w:val="0"/>
          <w:lang w:val="en-US"/>
        </w:rPr>
        <w:t>;</w:t>
      </w:r>
      <w:r w:rsidR="004D47AE" w:rsidRPr="00610904">
        <w:rPr>
          <w:rStyle w:val="FootnoteReference"/>
          <w:noProof w:val="0"/>
          <w:lang w:val="en-US"/>
        </w:rPr>
        <w:footnoteReference w:id="490"/>
      </w:r>
      <w:r w:rsidR="009F3D78" w:rsidRPr="00610904">
        <w:rPr>
          <w:noProof w:val="0"/>
          <w:lang w:val="en-US"/>
        </w:rPr>
        <w:t xml:space="preserve"> </w:t>
      </w:r>
      <w:r w:rsidR="004F3AAF" w:rsidRPr="00610904">
        <w:rPr>
          <w:noProof w:val="0"/>
          <w:lang w:val="en-US"/>
        </w:rPr>
        <w:t>a</w:t>
      </w:r>
      <w:r w:rsidR="009F3D78" w:rsidRPr="00610904">
        <w:rPr>
          <w:noProof w:val="0"/>
          <w:lang w:val="en-US"/>
        </w:rPr>
        <w:t>nd</w:t>
      </w:r>
      <w:r w:rsidRPr="00610904">
        <w:rPr>
          <w:noProof w:val="0"/>
          <w:lang w:val="en-US"/>
        </w:rPr>
        <w:t xml:space="preserve">, we considered this valid in light of a systematic interpretation of </w:t>
      </w:r>
      <w:r w:rsidR="009F3D78" w:rsidRPr="00610904">
        <w:rPr>
          <w:noProof w:val="0"/>
          <w:lang w:val="en-US"/>
        </w:rPr>
        <w:t>Articles</w:t>
      </w:r>
      <w:r w:rsidR="004D47AE" w:rsidRPr="00610904">
        <w:rPr>
          <w:noProof w:val="0"/>
          <w:lang w:val="en-US"/>
        </w:rPr>
        <w:t xml:space="preserve"> 26, 31</w:t>
      </w:r>
      <w:r w:rsidR="009F3D78" w:rsidRPr="00610904">
        <w:rPr>
          <w:noProof w:val="0"/>
          <w:lang w:val="en-US"/>
        </w:rPr>
        <w:t xml:space="preserve"> and </w:t>
      </w:r>
      <w:r w:rsidR="004D47AE" w:rsidRPr="00610904">
        <w:rPr>
          <w:noProof w:val="0"/>
          <w:lang w:val="en-US"/>
        </w:rPr>
        <w:t xml:space="preserve">77 </w:t>
      </w:r>
      <w:r w:rsidRPr="00610904">
        <w:rPr>
          <w:noProof w:val="0"/>
          <w:lang w:val="en-US"/>
        </w:rPr>
        <w:t>of the Pact of</w:t>
      </w:r>
      <w:r w:rsidR="004D47AE" w:rsidRPr="00610904">
        <w:rPr>
          <w:noProof w:val="0"/>
          <w:lang w:val="en-US"/>
        </w:rPr>
        <w:t xml:space="preserve"> San José.</w:t>
      </w:r>
    </w:p>
    <w:p w:rsidR="004D47AE" w:rsidRPr="00610904" w:rsidRDefault="004D47AE" w:rsidP="00610904">
      <w:pPr>
        <w:pStyle w:val="ListParagraph"/>
        <w:rPr>
          <w:noProof w:val="0"/>
          <w:highlight w:val="yellow"/>
          <w:lang w:val="en-US"/>
        </w:rPr>
      </w:pPr>
    </w:p>
    <w:p w:rsidR="004D47AE" w:rsidRPr="00610904" w:rsidRDefault="002416BB" w:rsidP="00610904">
      <w:pPr>
        <w:pStyle w:val="ListParagraph"/>
        <w:numPr>
          <w:ilvl w:val="0"/>
          <w:numId w:val="26"/>
        </w:numPr>
        <w:rPr>
          <w:noProof w:val="0"/>
          <w:lang w:val="en-US"/>
        </w:rPr>
      </w:pPr>
      <w:r w:rsidRPr="00610904">
        <w:rPr>
          <w:noProof w:val="0"/>
          <w:lang w:val="en-US"/>
        </w:rPr>
        <w:t xml:space="preserve">In this particular case, the analysis </w:t>
      </w:r>
      <w:r w:rsidR="00EF508D" w:rsidRPr="00610904">
        <w:rPr>
          <w:noProof w:val="0"/>
          <w:lang w:val="en-US"/>
        </w:rPr>
        <w:t>of the right to</w:t>
      </w:r>
      <w:r w:rsidRPr="00610904">
        <w:rPr>
          <w:noProof w:val="0"/>
          <w:lang w:val="en-US"/>
        </w:rPr>
        <w:t xml:space="preserve"> health, as an autonomous right, would have allowed the Court to assess more thoroughly issues associated with the </w:t>
      </w:r>
      <w:r w:rsidR="004F3AAF" w:rsidRPr="00610904">
        <w:rPr>
          <w:noProof w:val="0"/>
          <w:lang w:val="en-US"/>
        </w:rPr>
        <w:t>un</w:t>
      </w:r>
      <w:r w:rsidRPr="00610904">
        <w:rPr>
          <w:noProof w:val="0"/>
          <w:lang w:val="en-US"/>
        </w:rPr>
        <w:t xml:space="preserve">availability of antiretroviral drugs at certain times, </w:t>
      </w:r>
      <w:r w:rsidR="004F3AAF" w:rsidRPr="00610904">
        <w:rPr>
          <w:noProof w:val="0"/>
          <w:lang w:val="en-US"/>
        </w:rPr>
        <w:t xml:space="preserve">and </w:t>
      </w:r>
      <w:r w:rsidRPr="00610904">
        <w:rPr>
          <w:noProof w:val="0"/>
          <w:lang w:val="en-US"/>
        </w:rPr>
        <w:t xml:space="preserve">the problems of </w:t>
      </w:r>
      <w:r w:rsidR="00856968" w:rsidRPr="00610904">
        <w:rPr>
          <w:noProof w:val="0"/>
          <w:lang w:val="en-US"/>
        </w:rPr>
        <w:t>geographical</w:t>
      </w:r>
      <w:r w:rsidRPr="00610904">
        <w:rPr>
          <w:noProof w:val="0"/>
          <w:lang w:val="en-US"/>
        </w:rPr>
        <w:t xml:space="preserve"> accessibility owing to the need to travel to other towns to obtain better care, among other</w:t>
      </w:r>
      <w:r w:rsidR="004F3AAF" w:rsidRPr="00610904">
        <w:rPr>
          <w:noProof w:val="0"/>
          <w:lang w:val="en-US"/>
        </w:rPr>
        <w:t>s</w:t>
      </w:r>
      <w:r w:rsidRPr="00610904">
        <w:rPr>
          <w:noProof w:val="0"/>
          <w:lang w:val="en-US"/>
        </w:rPr>
        <w:t xml:space="preserve">. Regarding this </w:t>
      </w:r>
      <w:r w:rsidR="00856968" w:rsidRPr="00610904">
        <w:rPr>
          <w:noProof w:val="0"/>
          <w:lang w:val="en-US"/>
        </w:rPr>
        <w:t>type</w:t>
      </w:r>
      <w:r w:rsidR="004F3AAF" w:rsidRPr="00610904">
        <w:rPr>
          <w:noProof w:val="0"/>
          <w:lang w:val="en-US"/>
        </w:rPr>
        <w:t xml:space="preserve"> of issue, an</w:t>
      </w:r>
      <w:r w:rsidRPr="00610904">
        <w:rPr>
          <w:noProof w:val="0"/>
          <w:lang w:val="en-US"/>
        </w:rPr>
        <w:t xml:space="preserve"> analysis in light </w:t>
      </w:r>
      <w:r w:rsidR="00312B9E" w:rsidRPr="00610904">
        <w:rPr>
          <w:noProof w:val="0"/>
          <w:lang w:val="en-US"/>
        </w:rPr>
        <w:t xml:space="preserve">of the </w:t>
      </w:r>
      <w:r w:rsidR="00215C41" w:rsidRPr="00610904">
        <w:rPr>
          <w:noProof w:val="0"/>
          <w:lang w:val="en-US"/>
        </w:rPr>
        <w:t>right to life</w:t>
      </w:r>
      <w:r w:rsidR="009F3D78" w:rsidRPr="00610904">
        <w:rPr>
          <w:noProof w:val="0"/>
          <w:lang w:val="en-US"/>
        </w:rPr>
        <w:t xml:space="preserve"> and </w:t>
      </w:r>
      <w:r w:rsidRPr="00610904">
        <w:rPr>
          <w:noProof w:val="0"/>
          <w:lang w:val="en-US"/>
        </w:rPr>
        <w:t xml:space="preserve">the right to </w:t>
      </w:r>
      <w:r w:rsidR="008956E2" w:rsidRPr="00610904">
        <w:rPr>
          <w:noProof w:val="0"/>
          <w:lang w:val="en-US"/>
        </w:rPr>
        <w:t>personal integrity</w:t>
      </w:r>
      <w:r w:rsidR="004D47AE" w:rsidRPr="00610904">
        <w:rPr>
          <w:noProof w:val="0"/>
          <w:lang w:val="en-US"/>
        </w:rPr>
        <w:t xml:space="preserve"> </w:t>
      </w:r>
      <w:r w:rsidRPr="00610904">
        <w:rPr>
          <w:noProof w:val="0"/>
          <w:lang w:val="en-US"/>
        </w:rPr>
        <w:t xml:space="preserve">may be limited, because these rights do not directly </w:t>
      </w:r>
      <w:r w:rsidR="00856968" w:rsidRPr="00610904">
        <w:rPr>
          <w:noProof w:val="0"/>
          <w:lang w:val="en-US"/>
        </w:rPr>
        <w:t>incorporate</w:t>
      </w:r>
      <w:r w:rsidRPr="00610904">
        <w:rPr>
          <w:noProof w:val="0"/>
          <w:lang w:val="en-US"/>
        </w:rPr>
        <w:t xml:space="preserve"> any type of obligation associated specifically with the right to health. In order to understand the relationship between the right to health and the health care systems it is important to apply an adequate rights-based approach to these issues which are of special relevance and sensitivity in the region</w:t>
      </w:r>
      <w:r w:rsidR="004D47AE" w:rsidRPr="00610904">
        <w:rPr>
          <w:noProof w:val="0"/>
          <w:lang w:val="en-US"/>
        </w:rPr>
        <w:t xml:space="preserve">. </w:t>
      </w:r>
    </w:p>
    <w:p w:rsidR="004D47AE" w:rsidRPr="00610904" w:rsidRDefault="004D47AE" w:rsidP="00610904">
      <w:pPr>
        <w:pStyle w:val="Heading1"/>
        <w:spacing w:before="0" w:after="0" w:line="360" w:lineRule="auto"/>
        <w:rPr>
          <w:noProof w:val="0"/>
          <w:lang w:val="en-US"/>
        </w:rPr>
      </w:pPr>
      <w:bookmarkStart w:id="197" w:name="_Toc416164824"/>
    </w:p>
    <w:p w:rsidR="00F90EDF" w:rsidRPr="00610904" w:rsidRDefault="004D47AE" w:rsidP="00610904">
      <w:pPr>
        <w:pStyle w:val="Heading1"/>
        <w:spacing w:before="0" w:after="0"/>
        <w:rPr>
          <w:noProof w:val="0"/>
          <w:lang w:val="en-US"/>
        </w:rPr>
      </w:pPr>
      <w:bookmarkStart w:id="198" w:name="_Toc443399144"/>
      <w:r w:rsidRPr="00610904">
        <w:rPr>
          <w:noProof w:val="0"/>
          <w:lang w:val="en-US"/>
        </w:rPr>
        <w:t>III.</w:t>
      </w:r>
      <w:r w:rsidRPr="00610904">
        <w:rPr>
          <w:noProof w:val="0"/>
          <w:lang w:val="en-US"/>
        </w:rPr>
        <w:tab/>
      </w:r>
      <w:bookmarkEnd w:id="197"/>
      <w:r w:rsidR="00F90EDF" w:rsidRPr="00610904">
        <w:rPr>
          <w:noProof w:val="0"/>
          <w:lang w:val="en-US"/>
        </w:rPr>
        <w:t>THE NEED TO CONTINUE ADVANCING TOWARDS THE FULL JUSTICIABILITY OF ECONOMIC, SOCIAL, CULTURAL AND ENVIRONMENTAL RIGHTS</w:t>
      </w:r>
      <w:bookmarkEnd w:id="198"/>
    </w:p>
    <w:p w:rsidR="004D47AE" w:rsidRPr="00610904" w:rsidRDefault="00F90EDF" w:rsidP="00610904">
      <w:pPr>
        <w:pStyle w:val="Heading1"/>
        <w:spacing w:before="0" w:after="0"/>
        <w:rPr>
          <w:noProof w:val="0"/>
          <w:lang w:val="en-US"/>
        </w:rPr>
      </w:pPr>
      <w:bookmarkStart w:id="199" w:name="_Toc443399145"/>
      <w:r w:rsidRPr="00610904">
        <w:rPr>
          <w:noProof w:val="0"/>
          <w:lang w:val="en-US"/>
        </w:rPr>
        <w:t>UNDER THE INTER-AMERICAN SYSTEM</w:t>
      </w:r>
      <w:bookmarkEnd w:id="199"/>
    </w:p>
    <w:p w:rsidR="004D47AE" w:rsidRPr="00610904" w:rsidRDefault="004D47AE" w:rsidP="00610904">
      <w:pPr>
        <w:pStyle w:val="ListParagraph"/>
        <w:rPr>
          <w:noProof w:val="0"/>
          <w:lang w:val="en-US"/>
        </w:rPr>
      </w:pPr>
    </w:p>
    <w:p w:rsidR="004D47AE" w:rsidRPr="00610904" w:rsidRDefault="00880003" w:rsidP="00610904">
      <w:pPr>
        <w:pStyle w:val="ListParagraph"/>
        <w:numPr>
          <w:ilvl w:val="0"/>
          <w:numId w:val="26"/>
        </w:numPr>
        <w:rPr>
          <w:noProof w:val="0"/>
          <w:lang w:val="en-US"/>
        </w:rPr>
      </w:pPr>
      <w:r w:rsidRPr="00610904">
        <w:rPr>
          <w:noProof w:val="0"/>
          <w:lang w:val="en-US"/>
        </w:rPr>
        <w:t>S</w:t>
      </w:r>
      <w:r w:rsidR="004F3AAF" w:rsidRPr="00610904">
        <w:rPr>
          <w:noProof w:val="0"/>
          <w:lang w:val="en-US"/>
        </w:rPr>
        <w:t>tarting with the first case</w:t>
      </w:r>
      <w:r w:rsidRPr="00610904">
        <w:rPr>
          <w:noProof w:val="0"/>
          <w:lang w:val="en-US"/>
        </w:rPr>
        <w:t xml:space="preserve"> I hear</w:t>
      </w:r>
      <w:r w:rsidR="004F3AAF" w:rsidRPr="00610904">
        <w:rPr>
          <w:noProof w:val="0"/>
          <w:lang w:val="en-US"/>
        </w:rPr>
        <w:t>d</w:t>
      </w:r>
      <w:r w:rsidRPr="00610904">
        <w:rPr>
          <w:noProof w:val="0"/>
          <w:lang w:val="en-US"/>
        </w:rPr>
        <w:t xml:space="preserve"> as a judge of the Inter-American Court, I ruled in favor of the direct justiciability </w:t>
      </w:r>
      <w:r w:rsidR="00EF508D" w:rsidRPr="00610904">
        <w:rPr>
          <w:noProof w:val="0"/>
          <w:lang w:val="en-US"/>
        </w:rPr>
        <w:t>of the right to</w:t>
      </w:r>
      <w:r w:rsidR="004D47AE" w:rsidRPr="00610904">
        <w:rPr>
          <w:noProof w:val="0"/>
          <w:lang w:val="en-US"/>
        </w:rPr>
        <w:t xml:space="preserve"> </w:t>
      </w:r>
      <w:r w:rsidRPr="00610904">
        <w:rPr>
          <w:noProof w:val="0"/>
          <w:lang w:val="en-US"/>
        </w:rPr>
        <w:t xml:space="preserve">health, making an evolutive interpretation </w:t>
      </w:r>
      <w:r w:rsidR="006E502B" w:rsidRPr="00610904">
        <w:rPr>
          <w:noProof w:val="0"/>
          <w:lang w:val="en-US"/>
        </w:rPr>
        <w:t>of Article</w:t>
      </w:r>
      <w:r w:rsidR="004D47AE" w:rsidRPr="00610904">
        <w:rPr>
          <w:noProof w:val="0"/>
          <w:lang w:val="en-US"/>
        </w:rPr>
        <w:t xml:space="preserve"> 26</w:t>
      </w:r>
      <w:r w:rsidR="009F3D78" w:rsidRPr="00610904">
        <w:rPr>
          <w:noProof w:val="0"/>
          <w:lang w:val="en-US"/>
        </w:rPr>
        <w:t xml:space="preserve"> of the American Convention</w:t>
      </w:r>
      <w:r w:rsidR="004D47AE" w:rsidRPr="00610904">
        <w:rPr>
          <w:noProof w:val="0"/>
          <w:lang w:val="en-US"/>
        </w:rPr>
        <w:t xml:space="preserve"> </w:t>
      </w:r>
      <w:r w:rsidR="004A6E8B" w:rsidRPr="00610904">
        <w:rPr>
          <w:noProof w:val="0"/>
          <w:lang w:val="en-US"/>
        </w:rPr>
        <w:t>in relation to</w:t>
      </w:r>
      <w:r w:rsidR="004D47AE" w:rsidRPr="00610904">
        <w:rPr>
          <w:noProof w:val="0"/>
          <w:lang w:val="en-US"/>
        </w:rPr>
        <w:t xml:space="preserve"> </w:t>
      </w:r>
      <w:r w:rsidR="006E502B" w:rsidRPr="00610904">
        <w:rPr>
          <w:noProof w:val="0"/>
          <w:lang w:val="en-US"/>
        </w:rPr>
        <w:t>Articles 1(1)</w:t>
      </w:r>
      <w:r w:rsidR="009F3D78" w:rsidRPr="00610904">
        <w:rPr>
          <w:noProof w:val="0"/>
          <w:lang w:val="en-US"/>
        </w:rPr>
        <w:t xml:space="preserve"> and </w:t>
      </w:r>
      <w:r w:rsidR="004D47AE" w:rsidRPr="00610904">
        <w:rPr>
          <w:noProof w:val="0"/>
          <w:lang w:val="en-US"/>
        </w:rPr>
        <w:t xml:space="preserve">2, </w:t>
      </w:r>
      <w:r w:rsidRPr="00610904">
        <w:rPr>
          <w:noProof w:val="0"/>
          <w:lang w:val="en-US"/>
        </w:rPr>
        <w:t>together with</w:t>
      </w:r>
      <w:r w:rsidR="004D47AE" w:rsidRPr="00610904">
        <w:rPr>
          <w:noProof w:val="0"/>
          <w:lang w:val="en-US"/>
        </w:rPr>
        <w:t xml:space="preserve"> </w:t>
      </w:r>
      <w:r w:rsidR="009F3D78" w:rsidRPr="00610904">
        <w:rPr>
          <w:noProof w:val="0"/>
          <w:lang w:val="en-US"/>
        </w:rPr>
        <w:t>Article</w:t>
      </w:r>
      <w:r w:rsidR="004D47AE" w:rsidRPr="00610904">
        <w:rPr>
          <w:noProof w:val="0"/>
          <w:lang w:val="en-US"/>
        </w:rPr>
        <w:t xml:space="preserve"> 29 </w:t>
      </w:r>
      <w:r w:rsidRPr="00610904">
        <w:rPr>
          <w:noProof w:val="0"/>
          <w:lang w:val="en-US"/>
        </w:rPr>
        <w:t>of this instrument</w:t>
      </w:r>
      <w:r w:rsidR="009F3D78" w:rsidRPr="00610904">
        <w:rPr>
          <w:noProof w:val="0"/>
          <w:lang w:val="en-US"/>
        </w:rPr>
        <w:t xml:space="preserve"> and</w:t>
      </w:r>
      <w:r w:rsidRPr="00610904">
        <w:rPr>
          <w:noProof w:val="0"/>
          <w:lang w:val="en-US"/>
        </w:rPr>
        <w:t>,</w:t>
      </w:r>
      <w:r w:rsidR="009F3D78" w:rsidRPr="00610904">
        <w:rPr>
          <w:noProof w:val="0"/>
          <w:lang w:val="en-US"/>
        </w:rPr>
        <w:t xml:space="preserve"> </w:t>
      </w:r>
      <w:r w:rsidRPr="00610904">
        <w:rPr>
          <w:noProof w:val="0"/>
          <w:lang w:val="en-US"/>
        </w:rPr>
        <w:t xml:space="preserve">in light of a systematic interpretation, with </w:t>
      </w:r>
      <w:r w:rsidR="009F3D78" w:rsidRPr="00610904">
        <w:rPr>
          <w:noProof w:val="0"/>
          <w:lang w:val="en-US"/>
        </w:rPr>
        <w:t>Articles</w:t>
      </w:r>
      <w:r w:rsidR="004D47AE" w:rsidRPr="00610904">
        <w:rPr>
          <w:noProof w:val="0"/>
          <w:lang w:val="en-US"/>
        </w:rPr>
        <w:t xml:space="preserve"> 4</w:t>
      </w:r>
      <w:r w:rsidR="009F3D78" w:rsidRPr="00610904">
        <w:rPr>
          <w:noProof w:val="0"/>
          <w:lang w:val="en-US"/>
        </w:rPr>
        <w:t xml:space="preserve"> and </w:t>
      </w:r>
      <w:r w:rsidRPr="00610904">
        <w:rPr>
          <w:noProof w:val="0"/>
          <w:lang w:val="en-US"/>
        </w:rPr>
        <w:t>19(</w:t>
      </w:r>
      <w:r w:rsidR="004D47AE" w:rsidRPr="00610904">
        <w:rPr>
          <w:noProof w:val="0"/>
          <w:lang w:val="en-US"/>
        </w:rPr>
        <w:t>6</w:t>
      </w:r>
      <w:r w:rsidRPr="00610904">
        <w:rPr>
          <w:noProof w:val="0"/>
          <w:lang w:val="en-US"/>
        </w:rPr>
        <w:t>)</w:t>
      </w:r>
      <w:r w:rsidR="004D47AE" w:rsidRPr="00610904">
        <w:rPr>
          <w:noProof w:val="0"/>
          <w:lang w:val="en-US"/>
        </w:rPr>
        <w:t xml:space="preserve"> </w:t>
      </w:r>
      <w:r w:rsidR="00882CCC" w:rsidRPr="00610904">
        <w:rPr>
          <w:noProof w:val="0"/>
          <w:lang w:val="en-US"/>
        </w:rPr>
        <w:t>of the Protocol</w:t>
      </w:r>
      <w:r w:rsidR="00852A2E" w:rsidRPr="00610904">
        <w:rPr>
          <w:noProof w:val="0"/>
          <w:lang w:val="en-US"/>
        </w:rPr>
        <w:t xml:space="preserve"> of</w:t>
      </w:r>
      <w:r w:rsidR="004D47AE" w:rsidRPr="00610904">
        <w:rPr>
          <w:noProof w:val="0"/>
          <w:lang w:val="en-US"/>
        </w:rPr>
        <w:t xml:space="preserve"> San Salvador</w:t>
      </w:r>
      <w:r w:rsidRPr="00610904">
        <w:rPr>
          <w:noProof w:val="0"/>
          <w:lang w:val="en-US"/>
        </w:rPr>
        <w:t>.</w:t>
      </w:r>
      <w:r w:rsidR="004D47AE" w:rsidRPr="00610904">
        <w:rPr>
          <w:rStyle w:val="FootnoteReference"/>
          <w:noProof w:val="0"/>
          <w:lang w:val="en-US"/>
        </w:rPr>
        <w:footnoteReference w:id="491"/>
      </w:r>
    </w:p>
    <w:p w:rsidR="004D47AE" w:rsidRPr="00610904" w:rsidRDefault="004D47AE" w:rsidP="00610904">
      <w:pPr>
        <w:pStyle w:val="ListParagraph"/>
        <w:ind w:left="0"/>
        <w:rPr>
          <w:noProof w:val="0"/>
          <w:lang w:val="en-US"/>
        </w:rPr>
      </w:pPr>
    </w:p>
    <w:p w:rsidR="004D47AE" w:rsidRPr="00610904" w:rsidRDefault="00880003" w:rsidP="00610904">
      <w:pPr>
        <w:pStyle w:val="ListParagraph"/>
        <w:numPr>
          <w:ilvl w:val="0"/>
          <w:numId w:val="26"/>
        </w:numPr>
        <w:rPr>
          <w:noProof w:val="0"/>
          <w:lang w:val="en-US"/>
        </w:rPr>
      </w:pPr>
      <w:r w:rsidRPr="00610904">
        <w:rPr>
          <w:noProof w:val="0"/>
          <w:lang w:val="en-US"/>
        </w:rPr>
        <w:t>In this case, I would like to repeat the need to defend an interp</w:t>
      </w:r>
      <w:r w:rsidR="00C340A4" w:rsidRPr="00610904">
        <w:rPr>
          <w:noProof w:val="0"/>
          <w:lang w:val="en-US"/>
        </w:rPr>
        <w:t>r</w:t>
      </w:r>
      <w:r w:rsidRPr="00610904">
        <w:rPr>
          <w:noProof w:val="0"/>
          <w:lang w:val="en-US"/>
        </w:rPr>
        <w:t>etation that tries to assert the pre-</w:t>
      </w:r>
      <w:r w:rsidR="00856968" w:rsidRPr="00610904">
        <w:rPr>
          <w:noProof w:val="0"/>
          <w:lang w:val="en-US"/>
        </w:rPr>
        <w:t>eminence</w:t>
      </w:r>
      <w:r w:rsidRPr="00610904">
        <w:rPr>
          <w:noProof w:val="0"/>
          <w:lang w:val="en-US"/>
        </w:rPr>
        <w:t xml:space="preserve"> of the normative force </w:t>
      </w:r>
      <w:r w:rsidRPr="00610904">
        <w:rPr>
          <w:rFonts w:eastAsia="Calibri" w:cs="NewBaskerville-Roman"/>
          <w:noProof w:val="0"/>
          <w:lang w:val="en-US"/>
        </w:rPr>
        <w:t xml:space="preserve">of Article 26 of the American Convention. It is not a question of ignoring the </w:t>
      </w:r>
      <w:r w:rsidR="00852A2E" w:rsidRPr="00610904">
        <w:rPr>
          <w:rFonts w:eastAsia="Calibri" w:cs="NewBaskerville-Roman"/>
          <w:noProof w:val="0"/>
          <w:lang w:val="en-US"/>
        </w:rPr>
        <w:t>Protocol of</w:t>
      </w:r>
      <w:r w:rsidR="004D47AE" w:rsidRPr="00610904">
        <w:rPr>
          <w:rFonts w:eastAsia="Calibri" w:cs="NewBaskerville-Roman"/>
          <w:noProof w:val="0"/>
          <w:lang w:val="en-US"/>
        </w:rPr>
        <w:t xml:space="preserve"> San Salvador </w:t>
      </w:r>
      <w:r w:rsidRPr="00610904">
        <w:rPr>
          <w:rFonts w:eastAsia="Calibri" w:cs="NewBaskerville-Roman"/>
          <w:noProof w:val="0"/>
          <w:lang w:val="en-US"/>
        </w:rPr>
        <w:t xml:space="preserve">or undermining </w:t>
      </w:r>
      <w:r w:rsidR="009F3D78" w:rsidRPr="00610904">
        <w:rPr>
          <w:rFonts w:eastAsia="Calibri" w:cs="NewBaskerville-Roman"/>
          <w:noProof w:val="0"/>
          <w:lang w:val="en-US"/>
        </w:rPr>
        <w:t>Article</w:t>
      </w:r>
      <w:r w:rsidR="004D47AE" w:rsidRPr="00610904">
        <w:rPr>
          <w:rFonts w:eastAsia="Calibri" w:cs="NewBaskerville-Roman"/>
          <w:noProof w:val="0"/>
          <w:lang w:val="en-US"/>
        </w:rPr>
        <w:t xml:space="preserve"> 26 </w:t>
      </w:r>
      <w:r w:rsidRPr="00610904">
        <w:rPr>
          <w:rFonts w:eastAsia="Calibri" w:cs="NewBaskerville-Roman"/>
          <w:noProof w:val="0"/>
          <w:lang w:val="en-US"/>
        </w:rPr>
        <w:t>of the Pact of San José. The interpretation should be made in light of both instrument</w:t>
      </w:r>
      <w:r w:rsidR="004F3AAF" w:rsidRPr="00610904">
        <w:rPr>
          <w:rFonts w:eastAsia="Calibri" w:cs="NewBaskerville-Roman"/>
          <w:noProof w:val="0"/>
          <w:lang w:val="en-US"/>
        </w:rPr>
        <w:t>s</w:t>
      </w:r>
      <w:r w:rsidRPr="00610904">
        <w:rPr>
          <w:rFonts w:eastAsia="Calibri" w:cs="NewBaskerville-Roman"/>
          <w:noProof w:val="0"/>
          <w:lang w:val="en-US"/>
        </w:rPr>
        <w:t xml:space="preserve">. In this understanding, the Additional Protocol cannot take normative force away from the American Convention, if this objective is not expressly stated in that instrument in relation to the obligations </w:t>
      </w:r>
      <w:r w:rsidRPr="00610904">
        <w:rPr>
          <w:rFonts w:eastAsia="Calibri" w:cs="NewBaskerville-Roman"/>
          <w:i/>
          <w:noProof w:val="0"/>
          <w:lang w:val="en-US"/>
        </w:rPr>
        <w:t>erga omnes</w:t>
      </w:r>
      <w:r w:rsidRPr="00610904">
        <w:rPr>
          <w:rFonts w:eastAsia="Calibri" w:cs="NewBaskerville-Roman"/>
          <w:noProof w:val="0"/>
          <w:lang w:val="en-US"/>
        </w:rPr>
        <w:t xml:space="preserve"> established in Articles 1 and 2 of the American Convention, general obligations that</w:t>
      </w:r>
      <w:r w:rsidR="00856968" w:rsidRPr="00610904">
        <w:rPr>
          <w:rFonts w:eastAsia="Calibri" w:cs="NewBaskerville-Roman"/>
          <w:noProof w:val="0"/>
          <w:lang w:val="en-US"/>
        </w:rPr>
        <w:t xml:space="preserve"> apply to all the rights, even</w:t>
      </w:r>
      <w:r w:rsidRPr="00610904">
        <w:rPr>
          <w:rFonts w:eastAsia="Calibri" w:cs="NewBaskerville-Roman"/>
          <w:noProof w:val="0"/>
          <w:lang w:val="en-US"/>
        </w:rPr>
        <w:t xml:space="preserve"> to </w:t>
      </w:r>
      <w:r w:rsidR="00357398" w:rsidRPr="00610904">
        <w:rPr>
          <w:rFonts w:eastAsia="Calibri" w:cs="NewBaskerville-Roman"/>
          <w:noProof w:val="0"/>
          <w:lang w:val="en-US"/>
        </w:rPr>
        <w:t>the economic, social and cultural rights</w:t>
      </w:r>
      <w:r w:rsidR="004D47AE" w:rsidRPr="00610904">
        <w:rPr>
          <w:rFonts w:eastAsia="Calibri" w:cs="NewBaskerville-Roman"/>
          <w:noProof w:val="0"/>
          <w:lang w:val="en-US"/>
        </w:rPr>
        <w:t xml:space="preserve">, </w:t>
      </w:r>
      <w:r w:rsidRPr="00610904">
        <w:rPr>
          <w:rFonts w:eastAsia="Calibri" w:cs="NewBaskerville-Roman"/>
          <w:noProof w:val="0"/>
          <w:lang w:val="en-US"/>
        </w:rPr>
        <w:t xml:space="preserve">as </w:t>
      </w:r>
      <w:r w:rsidR="009F3D78" w:rsidRPr="00610904">
        <w:rPr>
          <w:rFonts w:eastAsia="Calibri" w:cs="NewBaskerville-Roman"/>
          <w:noProof w:val="0"/>
          <w:lang w:val="en-US"/>
        </w:rPr>
        <w:t xml:space="preserve">the </w:t>
      </w:r>
      <w:r w:rsidR="00284EDF" w:rsidRPr="00610904">
        <w:rPr>
          <w:rFonts w:eastAsia="Calibri" w:cs="NewBaskerville-Roman"/>
          <w:noProof w:val="0"/>
          <w:lang w:val="en-US"/>
        </w:rPr>
        <w:t>Inter-American Court</w:t>
      </w:r>
      <w:r w:rsidRPr="00610904">
        <w:rPr>
          <w:rFonts w:eastAsia="Calibri" w:cs="NewBaskerville-Roman"/>
          <w:noProof w:val="0"/>
          <w:lang w:val="en-US"/>
        </w:rPr>
        <w:t xml:space="preserve"> has expressly recognized.</w:t>
      </w:r>
      <w:r w:rsidR="004D47AE" w:rsidRPr="00610904">
        <w:rPr>
          <w:rStyle w:val="FootnoteReference"/>
          <w:rFonts w:eastAsia="Calibri" w:cs="NewBaskerville-Roman"/>
          <w:noProof w:val="0"/>
          <w:lang w:val="en-US"/>
        </w:rPr>
        <w:footnoteReference w:id="492"/>
      </w:r>
    </w:p>
    <w:p w:rsidR="004D47AE" w:rsidRPr="00610904" w:rsidRDefault="004D47AE" w:rsidP="00610904">
      <w:pPr>
        <w:pStyle w:val="ListParagraph"/>
        <w:rPr>
          <w:rFonts w:eastAsia="Calibri" w:cs="NewBaskerville-Roman"/>
          <w:noProof w:val="0"/>
          <w:lang w:val="en-US"/>
        </w:rPr>
      </w:pPr>
    </w:p>
    <w:p w:rsidR="00880003" w:rsidRPr="00610904" w:rsidRDefault="00880003" w:rsidP="00610904">
      <w:pPr>
        <w:pStyle w:val="ListParagraph"/>
        <w:numPr>
          <w:ilvl w:val="0"/>
          <w:numId w:val="26"/>
        </w:numPr>
        <w:rPr>
          <w:noProof w:val="0"/>
          <w:lang w:val="en-US"/>
        </w:rPr>
      </w:pPr>
      <w:r w:rsidRPr="00610904">
        <w:rPr>
          <w:rFonts w:eastAsia="Calibri" w:cs="NewBaskerville-Roman"/>
          <w:noProof w:val="0"/>
          <w:lang w:val="en-US"/>
        </w:rPr>
        <w:t>The evolutive interpretation</w:t>
      </w:r>
      <w:r w:rsidR="004D47AE" w:rsidRPr="00610904">
        <w:rPr>
          <w:rStyle w:val="FootnoteReference"/>
          <w:rFonts w:eastAsia="Calibri"/>
          <w:noProof w:val="0"/>
          <w:lang w:val="en-US"/>
        </w:rPr>
        <w:footnoteReference w:id="493"/>
      </w:r>
      <w:r w:rsidR="004D47AE" w:rsidRPr="00610904">
        <w:rPr>
          <w:rFonts w:eastAsia="Calibri" w:cs="NewBaskerville-Roman"/>
          <w:noProof w:val="0"/>
          <w:lang w:val="en-US"/>
        </w:rPr>
        <w:t xml:space="preserve"> </w:t>
      </w:r>
      <w:r w:rsidRPr="00610904">
        <w:rPr>
          <w:rFonts w:eastAsia="Calibri" w:cs="NewBaskerville-Roman"/>
          <w:noProof w:val="0"/>
          <w:lang w:val="en-US"/>
        </w:rPr>
        <w:t xml:space="preserve">referred to seeks to assign real effectiveness to inter-American protection in this matter, which, more than 25 years after the adoption of the Protocol of San Salvador, and 15 years after its entry into force, is the minimum required to ensure its effectiveness; and calls for an interpretation that is more focused on establishing </w:t>
      </w:r>
      <w:r w:rsidRPr="00610904">
        <w:rPr>
          <w:rFonts w:eastAsia="Calibri" w:cs="NewBaskerville-Roman"/>
          <w:noProof w:val="0"/>
          <w:lang w:val="en-US"/>
        </w:rPr>
        <w:lastRenderedPageBreak/>
        <w:t xml:space="preserve">the greatest practical effects possible of the inter-American norms as a whole, as has been the practice of the Inter-American Court in the case of the civil and political rights. </w:t>
      </w:r>
    </w:p>
    <w:p w:rsidR="004D47AE" w:rsidRPr="00610904" w:rsidRDefault="004D47AE" w:rsidP="00610904">
      <w:pPr>
        <w:pStyle w:val="ListParagraph"/>
        <w:rPr>
          <w:noProof w:val="0"/>
          <w:lang w:val="en-US"/>
        </w:rPr>
      </w:pPr>
    </w:p>
    <w:p w:rsidR="004D47AE" w:rsidRPr="00610904" w:rsidRDefault="00880003" w:rsidP="00610904">
      <w:pPr>
        <w:pStyle w:val="ListParagraph"/>
        <w:numPr>
          <w:ilvl w:val="0"/>
          <w:numId w:val="26"/>
        </w:numPr>
        <w:rPr>
          <w:noProof w:val="0"/>
          <w:lang w:val="en-US"/>
        </w:rPr>
      </w:pPr>
      <w:r w:rsidRPr="00610904">
        <w:rPr>
          <w:noProof w:val="0"/>
          <w:lang w:val="en-US"/>
        </w:rPr>
        <w:t xml:space="preserve">An essential element </w:t>
      </w:r>
      <w:r w:rsidR="00EF508D" w:rsidRPr="00610904">
        <w:rPr>
          <w:noProof w:val="0"/>
          <w:lang w:val="en-US"/>
        </w:rPr>
        <w:t>of the right to</w:t>
      </w:r>
      <w:r w:rsidR="004D47AE" w:rsidRPr="00610904">
        <w:rPr>
          <w:noProof w:val="0"/>
          <w:lang w:val="en-US"/>
        </w:rPr>
        <w:t xml:space="preserve"> </w:t>
      </w:r>
      <w:r w:rsidRPr="00610904">
        <w:rPr>
          <w:noProof w:val="0"/>
          <w:lang w:val="en-US"/>
        </w:rPr>
        <w:t xml:space="preserve">health is its interdependence with </w:t>
      </w:r>
      <w:r w:rsidR="00215C41" w:rsidRPr="00610904">
        <w:rPr>
          <w:noProof w:val="0"/>
          <w:lang w:val="en-US"/>
        </w:rPr>
        <w:t>the right to life</w:t>
      </w:r>
      <w:r w:rsidR="009F3D78" w:rsidRPr="00610904">
        <w:rPr>
          <w:noProof w:val="0"/>
          <w:lang w:val="en-US"/>
        </w:rPr>
        <w:t xml:space="preserve"> and </w:t>
      </w:r>
      <w:r w:rsidR="008956E2" w:rsidRPr="00610904">
        <w:rPr>
          <w:noProof w:val="0"/>
          <w:lang w:val="en-US"/>
        </w:rPr>
        <w:t xml:space="preserve">the </w:t>
      </w:r>
      <w:r w:rsidRPr="00610904">
        <w:rPr>
          <w:noProof w:val="0"/>
          <w:lang w:val="en-US"/>
        </w:rPr>
        <w:t xml:space="preserve">right to </w:t>
      </w:r>
      <w:r w:rsidR="008956E2" w:rsidRPr="00610904">
        <w:rPr>
          <w:noProof w:val="0"/>
          <w:lang w:val="en-US"/>
        </w:rPr>
        <w:t>personal integrity</w:t>
      </w:r>
      <w:r w:rsidR="004D47AE" w:rsidRPr="00610904">
        <w:rPr>
          <w:noProof w:val="0"/>
          <w:lang w:val="en-US"/>
        </w:rPr>
        <w:t xml:space="preserve">. </w:t>
      </w:r>
      <w:r w:rsidRPr="00610904">
        <w:rPr>
          <w:noProof w:val="0"/>
          <w:lang w:val="en-US"/>
        </w:rPr>
        <w:t xml:space="preserve">However, this does not justify denying </w:t>
      </w:r>
      <w:r w:rsidR="004F3AAF" w:rsidRPr="00610904">
        <w:rPr>
          <w:noProof w:val="0"/>
          <w:lang w:val="en-US"/>
        </w:rPr>
        <w:t>the autonomy of the scope of that social right</w:t>
      </w:r>
      <w:r w:rsidRPr="00610904">
        <w:rPr>
          <w:noProof w:val="0"/>
          <w:lang w:val="en-US"/>
        </w:rPr>
        <w:t xml:space="preserve"> based on </w:t>
      </w:r>
      <w:r w:rsidR="006E502B" w:rsidRPr="00610904">
        <w:rPr>
          <w:noProof w:val="0"/>
          <w:lang w:val="en-US"/>
        </w:rPr>
        <w:t>Article</w:t>
      </w:r>
      <w:r w:rsidR="004D47AE" w:rsidRPr="00610904">
        <w:rPr>
          <w:noProof w:val="0"/>
          <w:lang w:val="en-US"/>
        </w:rPr>
        <w:t xml:space="preserve"> 26</w:t>
      </w:r>
      <w:r w:rsidR="009F3D78" w:rsidRPr="00610904">
        <w:rPr>
          <w:noProof w:val="0"/>
          <w:lang w:val="en-US"/>
        </w:rPr>
        <w:t xml:space="preserve"> of the American Convention</w:t>
      </w:r>
      <w:r w:rsidR="004D47AE" w:rsidRPr="00610904">
        <w:rPr>
          <w:noProof w:val="0"/>
          <w:lang w:val="en-US"/>
        </w:rPr>
        <w:t xml:space="preserve"> </w:t>
      </w:r>
      <w:r w:rsidR="004A6E8B" w:rsidRPr="00610904">
        <w:rPr>
          <w:noProof w:val="0"/>
          <w:lang w:val="en-US"/>
        </w:rPr>
        <w:t>in relation to</w:t>
      </w:r>
      <w:r w:rsidR="004D47AE" w:rsidRPr="00610904">
        <w:rPr>
          <w:noProof w:val="0"/>
          <w:lang w:val="en-US"/>
        </w:rPr>
        <w:t xml:space="preserve"> </w:t>
      </w:r>
      <w:r w:rsidRPr="00610904">
        <w:rPr>
          <w:noProof w:val="0"/>
          <w:lang w:val="en-US"/>
        </w:rPr>
        <w:t>the obligations to respect and ensure rights contained in</w:t>
      </w:r>
      <w:r w:rsidR="004D47AE" w:rsidRPr="00610904">
        <w:rPr>
          <w:noProof w:val="0"/>
          <w:lang w:val="en-US"/>
        </w:rPr>
        <w:t xml:space="preserve"> </w:t>
      </w:r>
      <w:r w:rsidR="006E502B" w:rsidRPr="00610904">
        <w:rPr>
          <w:noProof w:val="0"/>
          <w:lang w:val="en-US"/>
        </w:rPr>
        <w:t>Article 1(1)</w:t>
      </w:r>
      <w:r w:rsidR="004D47AE" w:rsidRPr="00610904">
        <w:rPr>
          <w:noProof w:val="0"/>
          <w:lang w:val="en-US"/>
        </w:rPr>
        <w:t xml:space="preserve"> </w:t>
      </w:r>
      <w:r w:rsidRPr="00610904">
        <w:rPr>
          <w:noProof w:val="0"/>
          <w:lang w:val="en-US"/>
        </w:rPr>
        <w:t xml:space="preserve">of the Pact itself, which </w:t>
      </w:r>
      <w:r w:rsidR="00856968" w:rsidRPr="00610904">
        <w:rPr>
          <w:noProof w:val="0"/>
          <w:lang w:val="en-US"/>
        </w:rPr>
        <w:t>requires</w:t>
      </w:r>
      <w:r w:rsidRPr="00610904">
        <w:rPr>
          <w:noProof w:val="0"/>
          <w:lang w:val="en-US"/>
        </w:rPr>
        <w:t xml:space="preserve"> that the Pact of San José be interpreted in light of the </w:t>
      </w:r>
      <w:r w:rsidRPr="00610904">
        <w:rPr>
          <w:i/>
          <w:noProof w:val="0"/>
          <w:lang w:val="en-US"/>
        </w:rPr>
        <w:t>corpus iuris</w:t>
      </w:r>
      <w:r w:rsidR="004F3AAF" w:rsidRPr="00610904">
        <w:rPr>
          <w:noProof w:val="0"/>
          <w:lang w:val="en-US"/>
        </w:rPr>
        <w:t xml:space="preserve"> on the right to health – as, indeed, </w:t>
      </w:r>
      <w:r w:rsidRPr="00610904">
        <w:rPr>
          <w:noProof w:val="0"/>
          <w:lang w:val="en-US"/>
        </w:rPr>
        <w:t xml:space="preserve">the Court </w:t>
      </w:r>
      <w:r w:rsidR="004F3AAF" w:rsidRPr="00610904">
        <w:rPr>
          <w:noProof w:val="0"/>
          <w:lang w:val="en-US"/>
        </w:rPr>
        <w:t>has</w:t>
      </w:r>
      <w:r w:rsidRPr="00610904">
        <w:rPr>
          <w:noProof w:val="0"/>
          <w:lang w:val="en-US"/>
        </w:rPr>
        <w:t xml:space="preserve"> in the </w:t>
      </w:r>
      <w:r w:rsidRPr="00610904">
        <w:rPr>
          <w:i/>
          <w:noProof w:val="0"/>
          <w:lang w:val="en-US"/>
        </w:rPr>
        <w:t>Case of Gonzales Lluy et al.</w:t>
      </w:r>
      <w:r w:rsidRPr="00610904">
        <w:rPr>
          <w:noProof w:val="0"/>
          <w:lang w:val="en-US"/>
        </w:rPr>
        <w:t xml:space="preserve"> which</w:t>
      </w:r>
      <w:r w:rsidR="004F3AAF" w:rsidRPr="00610904">
        <w:rPr>
          <w:noProof w:val="0"/>
          <w:lang w:val="en-US"/>
        </w:rPr>
        <w:t xml:space="preserve"> prompts this separate opinion – even</w:t>
      </w:r>
      <w:r w:rsidRPr="00610904">
        <w:rPr>
          <w:noProof w:val="0"/>
          <w:lang w:val="en-US"/>
        </w:rPr>
        <w:t xml:space="preserve"> though it is referred to as personal integ</w:t>
      </w:r>
      <w:r w:rsidR="004F3AAF" w:rsidRPr="00610904">
        <w:rPr>
          <w:noProof w:val="0"/>
          <w:lang w:val="en-US"/>
        </w:rPr>
        <w:t>rity, limiting significantly, by</w:t>
      </w:r>
      <w:r w:rsidRPr="00610904">
        <w:rPr>
          <w:noProof w:val="0"/>
          <w:lang w:val="en-US"/>
        </w:rPr>
        <w:t xml:space="preserve"> connectivity</w:t>
      </w:r>
      <w:r w:rsidR="004F3AAF" w:rsidRPr="00610904">
        <w:rPr>
          <w:noProof w:val="0"/>
          <w:lang w:val="en-US"/>
        </w:rPr>
        <w:t>,</w:t>
      </w:r>
      <w:r w:rsidRPr="00610904">
        <w:rPr>
          <w:noProof w:val="0"/>
          <w:lang w:val="en-US"/>
        </w:rPr>
        <w:t xml:space="preserve"> the real scope of the right to health</w:t>
      </w:r>
      <w:r w:rsidR="00F90EDF" w:rsidRPr="00610904">
        <w:rPr>
          <w:noProof w:val="0"/>
          <w:lang w:val="en-US"/>
        </w:rPr>
        <w:t>.</w:t>
      </w:r>
      <w:r w:rsidR="004D47AE" w:rsidRPr="00610904">
        <w:rPr>
          <w:rStyle w:val="FootnoteReference"/>
          <w:noProof w:val="0"/>
          <w:lang w:val="en-US"/>
        </w:rPr>
        <w:footnoteReference w:id="494"/>
      </w:r>
      <w:r w:rsidR="00F90EDF" w:rsidRPr="00610904">
        <w:rPr>
          <w:noProof w:val="0"/>
          <w:lang w:val="en-US"/>
        </w:rPr>
        <w:t xml:space="preserve"> As I indicated in m Concurring Opinion</w:t>
      </w:r>
      <w:r w:rsidR="00F90EDF" w:rsidRPr="00610904">
        <w:rPr>
          <w:i/>
          <w:noProof w:val="0"/>
          <w:lang w:val="en-US"/>
        </w:rPr>
        <w:t xml:space="preserve"> </w:t>
      </w:r>
      <w:r w:rsidR="00F90EDF" w:rsidRPr="00610904">
        <w:rPr>
          <w:noProof w:val="0"/>
          <w:lang w:val="en-US"/>
        </w:rPr>
        <w:t>in the case of</w:t>
      </w:r>
      <w:r w:rsidR="004D47AE" w:rsidRPr="00610904">
        <w:rPr>
          <w:noProof w:val="0"/>
          <w:lang w:val="en-US"/>
        </w:rPr>
        <w:t xml:space="preserve"> </w:t>
      </w:r>
      <w:r w:rsidR="004D47AE" w:rsidRPr="00610904">
        <w:rPr>
          <w:i/>
          <w:noProof w:val="0"/>
          <w:lang w:val="en-US"/>
        </w:rPr>
        <w:t>Suárez Peralta:</w:t>
      </w:r>
    </w:p>
    <w:p w:rsidR="004D47AE" w:rsidRPr="00610904" w:rsidRDefault="004D47AE" w:rsidP="00610904">
      <w:pPr>
        <w:tabs>
          <w:tab w:val="left" w:pos="709"/>
          <w:tab w:val="left" w:pos="9356"/>
        </w:tabs>
        <w:autoSpaceDE w:val="0"/>
        <w:autoSpaceDN w:val="0"/>
        <w:adjustRightInd w:val="0"/>
        <w:ind w:right="4"/>
        <w:rPr>
          <w:rFonts w:eastAsia="Calibri" w:cs="NewBaskerville-Roman"/>
          <w:noProof w:val="0"/>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102. This vision of direct justiciability means that the methodology to attribute international responsibility is circumscribed to the obligations regarding the right to health. This signifies the need for more specific arguments on the reasonableness and proportionality of a certai</w:t>
      </w:r>
      <w:r w:rsidR="005A0643" w:rsidRPr="00610904">
        <w:rPr>
          <w:rFonts w:cs="Arial"/>
          <w:noProof w:val="0"/>
          <w:sz w:val="18"/>
          <w:szCs w:val="18"/>
          <w:lang w:val="en-US"/>
        </w:rPr>
        <w:t>n type of public policy measure</w:t>
      </w:r>
      <w:r w:rsidRPr="00610904">
        <w:rPr>
          <w:rFonts w:cs="Arial"/>
          <w:noProof w:val="0"/>
          <w:sz w:val="18"/>
          <w:szCs w:val="18"/>
          <w:lang w:val="en-US"/>
        </w:rPr>
        <w:t xml:space="preserve">. In view of the sensitive nature of an assessment in this sense, the Inter-American Court’s decisions acquire greater transparency and strength if the analysis is made directly in this way with regard to the obligations surrounding the right to health, instead of with regard to the sphere more closely related to the consequences of certain effects on personal integrity; that is, indirectly or by connectivity with the civil rights. Similarly, the reparations that the Court traditionally grants, and that in many cases have an impact on services related to the right to health, such as measures of rehabilitation and satisfaction, may acquire a real causal nexus between the </w:t>
      </w:r>
      <w:proofErr w:type="gramStart"/>
      <w:r w:rsidRPr="00610904">
        <w:rPr>
          <w:rFonts w:cs="Arial"/>
          <w:noProof w:val="0"/>
          <w:sz w:val="18"/>
          <w:szCs w:val="18"/>
          <w:lang w:val="en-US"/>
        </w:rPr>
        <w:t>right</w:t>
      </w:r>
      <w:proofErr w:type="gramEnd"/>
      <w:r w:rsidRPr="00610904">
        <w:rPr>
          <w:rFonts w:cs="Arial"/>
          <w:noProof w:val="0"/>
          <w:sz w:val="18"/>
          <w:szCs w:val="18"/>
          <w:lang w:val="en-US"/>
        </w:rPr>
        <w:t xml:space="preserve"> violated and the measure decided with all its implications. Furthermore, when we speak of direct justiciability, this implies changing the methodology based on which compliance with the obligations of respect and guarantee (Article 1(1) of the Pact of San José) is assessed, which is evidently different with regard to the right to life and the right to personal integrity, than it is with regard to the right to health and other social, economic and cultural rights. </w:t>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 xml:space="preserve">103. Social citizenship has made significant progress throughout the world and, evidently, in the countries of the American continent. The “direct” justiciability of economic, social and cultural rights constitutes not only a viable interpretative and argumentative option in light of the actual inter-American </w:t>
      </w:r>
      <w:r w:rsidRPr="00610904">
        <w:rPr>
          <w:rFonts w:cs="Arial"/>
          <w:i/>
          <w:noProof w:val="0"/>
          <w:sz w:val="18"/>
          <w:szCs w:val="18"/>
          <w:lang w:val="en-US"/>
        </w:rPr>
        <w:t>corpus juris</w:t>
      </w:r>
      <w:r w:rsidR="005A0643" w:rsidRPr="00610904">
        <w:rPr>
          <w:rFonts w:cs="Arial"/>
          <w:noProof w:val="0"/>
          <w:sz w:val="18"/>
          <w:szCs w:val="18"/>
          <w:lang w:val="en-US"/>
        </w:rPr>
        <w:t>. T</w:t>
      </w:r>
      <w:r w:rsidRPr="00610904">
        <w:rPr>
          <w:rFonts w:cs="Arial"/>
          <w:noProof w:val="0"/>
          <w:sz w:val="18"/>
          <w:szCs w:val="18"/>
          <w:lang w:val="en-US"/>
        </w:rPr>
        <w:t xml:space="preserve">he Inter-American Court, as the jurisdictional organ of the inter-American system, has the obligation to move in this direction of social justice, because it has competence with regard to all the provisions of the Pact of San José. The effective guarantee of economic, social and cultural rights is an alternative that would open up new possibilities in order to achieve transparency and the full realization of rights, </w:t>
      </w:r>
      <w:r w:rsidRPr="00610904">
        <w:rPr>
          <w:rFonts w:cs="Arial"/>
          <w:noProof w:val="0"/>
          <w:sz w:val="18"/>
          <w:szCs w:val="18"/>
          <w:lang w:val="en-US"/>
        </w:rPr>
        <w:lastRenderedPageBreak/>
        <w:t xml:space="preserve">without artifices and </w:t>
      </w:r>
      <w:proofErr w:type="gramStart"/>
      <w:r w:rsidRPr="00610904">
        <w:rPr>
          <w:rFonts w:cs="Arial"/>
          <w:noProof w:val="0"/>
          <w:sz w:val="18"/>
          <w:szCs w:val="18"/>
          <w:lang w:val="en-US"/>
        </w:rPr>
        <w:t>directly,</w:t>
      </w:r>
      <w:proofErr w:type="gramEnd"/>
      <w:r w:rsidRPr="00610904">
        <w:rPr>
          <w:rFonts w:cs="Arial"/>
          <w:noProof w:val="0"/>
          <w:sz w:val="18"/>
          <w:szCs w:val="18"/>
          <w:lang w:val="en-US"/>
        </w:rPr>
        <w:t xml:space="preserve"> and thus acknowledge what the Inter-American Court has been doing indirectly or in connection with the civil and political rights. </w:t>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 xml:space="preserve">104. Ultimately, the objective is to recognize what the Inter-American Court and the highest national jurisdictions are, in fact, doing, taking into account the </w:t>
      </w:r>
      <w:r w:rsidRPr="00610904">
        <w:rPr>
          <w:rFonts w:cs="Arial"/>
          <w:i/>
          <w:noProof w:val="0"/>
          <w:sz w:val="18"/>
          <w:szCs w:val="18"/>
          <w:lang w:val="en-US"/>
        </w:rPr>
        <w:t>corpus juris</w:t>
      </w:r>
      <w:r w:rsidRPr="00610904">
        <w:rPr>
          <w:rFonts w:cs="Arial"/>
          <w:noProof w:val="0"/>
          <w:sz w:val="18"/>
          <w:szCs w:val="18"/>
          <w:lang w:val="en-US"/>
        </w:rPr>
        <w:t xml:space="preserve"> on national, inter-American and universal social rights, which would also constitute a greater and more effective protection of the fundamental social rights, with clearer obligations for the States Parties. All this is in keeping with current signs of the full effectiveness of human rights (in the national and international spheres), without any categorization or distinction between them, which is particularly important in the Latin American region where, regrettably, high rates of inequality persist, significant percentages of the population live in poverty and even in extreme poverty, and there are still numerous forms of discrimination against the most vulnerable. </w:t>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105. The Inter-American Court cannot remain on the sidelines of the contemporary debate on the fundamental social rights</w:t>
      </w:r>
      <w:r w:rsidRPr="00610904">
        <w:rPr>
          <w:rStyle w:val="FootnoteReference"/>
          <w:noProof w:val="0"/>
          <w:sz w:val="18"/>
          <w:szCs w:val="18"/>
          <w:lang w:val="en-US"/>
        </w:rPr>
        <w:footnoteReference w:id="495"/>
      </w:r>
      <w:r w:rsidRPr="00610904">
        <w:rPr>
          <w:rFonts w:cs="Arial"/>
          <w:noProof w:val="0"/>
          <w:sz w:val="18"/>
          <w:szCs w:val="18"/>
          <w:lang w:val="en-US"/>
        </w:rPr>
        <w:t xml:space="preserve"> — which has a long history in the reflection on human rights – and which are the motive for continuing change in order to achieve their full realization and effectiveness in the constitutional democracies of our times. </w:t>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 xml:space="preserve">106. Given the dynamic scenario in this regard at the domestic level and within the universal system, it can be anticipated that, in the future, the Inter-American Commission, or the presumed victims or their representatives may cite more forcefully eventual violations of the guarantees of economic, social and cultural rights derived from Article 26 of the American Convention in relation to the general obligations established in Articles 1 and 2 of the Pact of San José. In particular, the presumed victims may cite the said violations owing to their new faculties of direct access to the Inter-American Court, based on the new Rules of Procedure of this jurisdictional organ, in force since 2010. </w:t>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107. As a new member of the Inter-American Court, it is not my desire to introduce sterile discussions within the inter-American system and, particularly, within its jurisdictional organ of protection. I merely wish to invite reflection on the legitimate interpretative and argumentative possibility of granting direct effectiveness to economic, social and cultural rights, especially in the specific case of the right to health, by means of Article 26 of the Pact of San José – because I am absolutely convinced of this. It represents a latent possibility of advancing towards a new stage in inter-American case law, which is no novelty if we recall that, on the one hand, the Inter-American Commission has understood this to be so on several occasions and, moreover, the Inter-American Court itself explicitly recognized the justiciability of Article 26 of the American Convention in 2009.</w:t>
      </w:r>
      <w:r w:rsidRPr="00610904">
        <w:rPr>
          <w:rStyle w:val="FootnoteReference"/>
          <w:noProof w:val="0"/>
          <w:sz w:val="18"/>
          <w:szCs w:val="18"/>
          <w:lang w:val="en-US"/>
        </w:rPr>
        <w:footnoteReference w:id="496"/>
      </w:r>
    </w:p>
    <w:p w:rsidR="005750A9" w:rsidRPr="00610904" w:rsidRDefault="005750A9" w:rsidP="00436ECD">
      <w:pPr>
        <w:ind w:left="720" w:right="270"/>
        <w:rPr>
          <w:rFonts w:cs="Arial"/>
          <w:noProof w:val="0"/>
          <w:sz w:val="18"/>
          <w:szCs w:val="18"/>
          <w:lang w:val="en-US"/>
        </w:rPr>
      </w:pPr>
    </w:p>
    <w:p w:rsidR="005750A9" w:rsidRPr="00610904" w:rsidRDefault="005750A9" w:rsidP="00436ECD">
      <w:pPr>
        <w:ind w:left="720" w:right="270"/>
        <w:rPr>
          <w:rFonts w:cs="Arial"/>
          <w:noProof w:val="0"/>
          <w:sz w:val="18"/>
          <w:szCs w:val="18"/>
          <w:lang w:val="en-US"/>
        </w:rPr>
      </w:pPr>
      <w:r w:rsidRPr="00610904">
        <w:rPr>
          <w:rFonts w:cs="Arial"/>
          <w:noProof w:val="0"/>
          <w:sz w:val="18"/>
          <w:szCs w:val="18"/>
          <w:lang w:val="en-US"/>
        </w:rPr>
        <w:t xml:space="preserve">108. In conclusion, after more than 25 years of continuing evolution of inter-American case law, it is legitimate – and reasonable using hermeneutics and treaty-based arguments – to grant full normative content to Article 26 of the Pact of San José, coherently and congruently with the whole inter-American </w:t>
      </w:r>
      <w:r w:rsidRPr="00610904">
        <w:rPr>
          <w:rFonts w:cs="Arial"/>
          <w:i/>
          <w:noProof w:val="0"/>
          <w:sz w:val="18"/>
          <w:szCs w:val="18"/>
          <w:lang w:val="en-US"/>
        </w:rPr>
        <w:t>corpus juris</w:t>
      </w:r>
      <w:r w:rsidRPr="00610904">
        <w:rPr>
          <w:rFonts w:cs="Arial"/>
          <w:noProof w:val="0"/>
          <w:sz w:val="18"/>
          <w:szCs w:val="18"/>
          <w:lang w:val="en-US"/>
        </w:rPr>
        <w:t>. This course of action would permit dynamic interpretations in keeping with the times that could lead towards a full, real, direct and transparent effectiveness of all rights, whether civil, political, economic, social or cultural, without hierarchy and categorizations that impede their realization, as revealed by the Preamble to the American Convention, the spirit and ideals of which permeate the whole inter-American system.</w:t>
      </w:r>
    </w:p>
    <w:p w:rsidR="004D47AE" w:rsidRPr="00610904" w:rsidRDefault="004D47AE" w:rsidP="00610904">
      <w:pPr>
        <w:pStyle w:val="ListParagraph"/>
        <w:ind w:left="0"/>
        <w:rPr>
          <w:noProof w:val="0"/>
          <w:lang w:val="en-US"/>
        </w:rPr>
      </w:pPr>
    </w:p>
    <w:p w:rsidR="004D47AE" w:rsidRPr="00610904" w:rsidRDefault="005750A9" w:rsidP="00610904">
      <w:pPr>
        <w:pStyle w:val="ListParagraph"/>
        <w:numPr>
          <w:ilvl w:val="0"/>
          <w:numId w:val="26"/>
        </w:numPr>
        <w:rPr>
          <w:noProof w:val="0"/>
          <w:lang w:val="en-US"/>
        </w:rPr>
      </w:pPr>
      <w:r w:rsidRPr="00610904">
        <w:rPr>
          <w:noProof w:val="0"/>
          <w:lang w:val="en-US"/>
        </w:rPr>
        <w:t>Almost 46 years after the signature</w:t>
      </w:r>
      <w:r w:rsidR="009F3D78" w:rsidRPr="00610904">
        <w:rPr>
          <w:noProof w:val="0"/>
          <w:lang w:val="en-US"/>
        </w:rPr>
        <w:t xml:space="preserve"> of the American Convention and </w:t>
      </w:r>
      <w:r w:rsidR="004D47AE" w:rsidRPr="00610904">
        <w:rPr>
          <w:noProof w:val="0"/>
          <w:lang w:val="en-US"/>
        </w:rPr>
        <w:t xml:space="preserve">27 </w:t>
      </w:r>
      <w:r w:rsidR="00436ECD">
        <w:rPr>
          <w:noProof w:val="0"/>
          <w:lang w:val="en-US"/>
        </w:rPr>
        <w:t>years after</w:t>
      </w:r>
      <w:r w:rsidRPr="00610904">
        <w:rPr>
          <w:noProof w:val="0"/>
          <w:lang w:val="en-US"/>
        </w:rPr>
        <w:t xml:space="preserve"> the adoption </w:t>
      </w:r>
      <w:r w:rsidR="00882CCC" w:rsidRPr="00610904">
        <w:rPr>
          <w:noProof w:val="0"/>
          <w:lang w:val="en-US"/>
        </w:rPr>
        <w:t>of the Protocol</w:t>
      </w:r>
      <w:r w:rsidR="00852A2E" w:rsidRPr="00610904">
        <w:rPr>
          <w:noProof w:val="0"/>
          <w:lang w:val="en-US"/>
        </w:rPr>
        <w:t xml:space="preserve"> of</w:t>
      </w:r>
      <w:r w:rsidR="004D47AE" w:rsidRPr="00610904">
        <w:rPr>
          <w:noProof w:val="0"/>
          <w:lang w:val="en-US"/>
        </w:rPr>
        <w:t xml:space="preserve"> San Salvador, </w:t>
      </w:r>
      <w:r w:rsidRPr="00610904">
        <w:rPr>
          <w:noProof w:val="0"/>
          <w:lang w:val="en-US"/>
        </w:rPr>
        <w:t xml:space="preserve">it is necessary to take </w:t>
      </w:r>
      <w:r w:rsidR="00864DEB">
        <w:rPr>
          <w:noProof w:val="0"/>
          <w:lang w:val="en-US"/>
        </w:rPr>
        <w:t>more specific</w:t>
      </w:r>
      <w:r w:rsidRPr="00610904">
        <w:rPr>
          <w:noProof w:val="0"/>
          <w:lang w:val="en-US"/>
        </w:rPr>
        <w:t xml:space="preserve"> </w:t>
      </w:r>
      <w:r w:rsidR="00864DEB">
        <w:rPr>
          <w:noProof w:val="0"/>
          <w:lang w:val="en-US"/>
        </w:rPr>
        <w:t>steps</w:t>
      </w:r>
      <w:r w:rsidRPr="00610904">
        <w:rPr>
          <w:noProof w:val="0"/>
          <w:lang w:val="en-US"/>
        </w:rPr>
        <w:t xml:space="preserve"> </w:t>
      </w:r>
      <w:r w:rsidRPr="00610904">
        <w:rPr>
          <w:noProof w:val="0"/>
          <w:lang w:val="en-US"/>
        </w:rPr>
        <w:lastRenderedPageBreak/>
        <w:t>towards t</w:t>
      </w:r>
      <w:r w:rsidR="00864DEB">
        <w:rPr>
          <w:noProof w:val="0"/>
          <w:lang w:val="en-US"/>
        </w:rPr>
        <w:t xml:space="preserve">he direct justiciability of </w:t>
      </w:r>
      <w:r w:rsidRPr="00610904">
        <w:rPr>
          <w:noProof w:val="0"/>
          <w:lang w:val="en-US"/>
        </w:rPr>
        <w:t>economic, social, cultural and environmental rights</w:t>
      </w:r>
      <w:r w:rsidR="00864DEB">
        <w:rPr>
          <w:noProof w:val="0"/>
          <w:lang w:val="en-US"/>
        </w:rPr>
        <w:t>,</w:t>
      </w:r>
      <w:r w:rsidRPr="00610904">
        <w:rPr>
          <w:noProof w:val="0"/>
          <w:lang w:val="en-US"/>
        </w:rPr>
        <w:t xml:space="preserve"> taking into account the progress made in international human rights law,</w:t>
      </w:r>
      <w:r w:rsidR="004D47AE" w:rsidRPr="00610904">
        <w:rPr>
          <w:rStyle w:val="FootnoteReference"/>
          <w:noProof w:val="0"/>
          <w:lang w:val="en-US"/>
        </w:rPr>
        <w:footnoteReference w:id="497"/>
      </w:r>
      <w:r w:rsidR="009F3D78" w:rsidRPr="00610904">
        <w:rPr>
          <w:noProof w:val="0"/>
          <w:lang w:val="en-US"/>
        </w:rPr>
        <w:t xml:space="preserve"> and </w:t>
      </w:r>
      <w:r w:rsidR="005A0643" w:rsidRPr="00610904">
        <w:rPr>
          <w:noProof w:val="0"/>
          <w:lang w:val="en-US"/>
        </w:rPr>
        <w:t>based on the evident</w:t>
      </w:r>
      <w:r w:rsidRPr="00610904">
        <w:rPr>
          <w:noProof w:val="0"/>
          <w:lang w:val="en-US"/>
        </w:rPr>
        <w:t xml:space="preserve"> progress made by the States Parties to</w:t>
      </w:r>
      <w:r w:rsidR="009F3D78" w:rsidRPr="00610904">
        <w:rPr>
          <w:noProof w:val="0"/>
          <w:lang w:val="en-US"/>
        </w:rPr>
        <w:t xml:space="preserve"> the American Convention</w:t>
      </w:r>
      <w:r w:rsidR="004D47AE" w:rsidRPr="00610904">
        <w:rPr>
          <w:noProof w:val="0"/>
          <w:lang w:val="en-US"/>
        </w:rPr>
        <w:t xml:space="preserve">. </w:t>
      </w:r>
      <w:r w:rsidRPr="00610904">
        <w:rPr>
          <w:noProof w:val="0"/>
          <w:lang w:val="en-US"/>
        </w:rPr>
        <w:t xml:space="preserve">In this regard, I would like to emphasize, in particular, the </w:t>
      </w:r>
      <w:r w:rsidR="004D47AE" w:rsidRPr="00610904">
        <w:rPr>
          <w:noProof w:val="0"/>
          <w:lang w:val="en-US"/>
        </w:rPr>
        <w:t>2012</w:t>
      </w:r>
      <w:r w:rsidRPr="00610904">
        <w:rPr>
          <w:noProof w:val="0"/>
          <w:lang w:val="en-US"/>
        </w:rPr>
        <w:t xml:space="preserve"> Social Charter of the Americas </w:t>
      </w:r>
      <w:r w:rsidR="009F3D78" w:rsidRPr="00610904">
        <w:rPr>
          <w:noProof w:val="0"/>
          <w:lang w:val="en-US"/>
        </w:rPr>
        <w:t>and</w:t>
      </w:r>
      <w:r w:rsidRPr="00610904">
        <w:rPr>
          <w:noProof w:val="0"/>
          <w:lang w:val="en-US"/>
        </w:rPr>
        <w:t xml:space="preserve">, above all, the recent Inter-American Convention on Protecting the Human Rights of Older Persons, adopted on June 15, </w:t>
      </w:r>
      <w:r w:rsidR="004D47AE" w:rsidRPr="00610904">
        <w:rPr>
          <w:noProof w:val="0"/>
          <w:lang w:val="en-US"/>
        </w:rPr>
        <w:t xml:space="preserve">2015. </w:t>
      </w:r>
      <w:r w:rsidRPr="00610904">
        <w:rPr>
          <w:noProof w:val="0"/>
          <w:lang w:val="en-US"/>
        </w:rPr>
        <w:t>Indeed</w:t>
      </w:r>
      <w:r w:rsidR="004D47AE" w:rsidRPr="00610904">
        <w:rPr>
          <w:noProof w:val="0"/>
          <w:lang w:val="en-US"/>
        </w:rPr>
        <w:t xml:space="preserve">, </w:t>
      </w:r>
      <w:r w:rsidR="009F3D78" w:rsidRPr="00610904">
        <w:rPr>
          <w:noProof w:val="0"/>
          <w:lang w:val="en-US"/>
        </w:rPr>
        <w:t>Article</w:t>
      </w:r>
      <w:r w:rsidR="004D47AE" w:rsidRPr="00610904">
        <w:rPr>
          <w:noProof w:val="0"/>
          <w:lang w:val="en-US"/>
        </w:rPr>
        <w:t xml:space="preserve"> 36</w:t>
      </w:r>
      <w:r w:rsidR="004D47AE" w:rsidRPr="00610904">
        <w:rPr>
          <w:rStyle w:val="FootnoteReference"/>
          <w:noProof w:val="0"/>
          <w:lang w:val="en-US"/>
        </w:rPr>
        <w:footnoteReference w:id="498"/>
      </w:r>
      <w:r w:rsidR="004D47AE" w:rsidRPr="00610904">
        <w:rPr>
          <w:noProof w:val="0"/>
          <w:lang w:val="en-US"/>
        </w:rPr>
        <w:t xml:space="preserve"> </w:t>
      </w:r>
      <w:r w:rsidRPr="00610904">
        <w:rPr>
          <w:noProof w:val="0"/>
          <w:lang w:val="en-US"/>
        </w:rPr>
        <w:t>of this Convention establishes the possibility that the system of individual petitions operates in relation to the rights established in this Convention, which include, among other</w:t>
      </w:r>
      <w:r w:rsidR="005A0643" w:rsidRPr="00610904">
        <w:rPr>
          <w:noProof w:val="0"/>
          <w:lang w:val="en-US"/>
        </w:rPr>
        <w:t>s the right to social security</w:t>
      </w:r>
      <w:r w:rsidR="004D47AE" w:rsidRPr="00610904">
        <w:rPr>
          <w:noProof w:val="0"/>
          <w:lang w:val="en-US"/>
        </w:rPr>
        <w:t xml:space="preserve"> (</w:t>
      </w:r>
      <w:r w:rsidR="00A8072E" w:rsidRPr="00610904">
        <w:rPr>
          <w:noProof w:val="0"/>
          <w:lang w:val="en-US"/>
        </w:rPr>
        <w:t>Article</w:t>
      </w:r>
      <w:r w:rsidR="004D47AE" w:rsidRPr="00610904">
        <w:rPr>
          <w:noProof w:val="0"/>
          <w:lang w:val="en-US"/>
        </w:rPr>
        <w:t xml:space="preserve"> 17), </w:t>
      </w:r>
      <w:r w:rsidRPr="00610904">
        <w:rPr>
          <w:noProof w:val="0"/>
          <w:lang w:val="en-US"/>
        </w:rPr>
        <w:t>the right to work</w:t>
      </w:r>
      <w:r w:rsidR="004D47AE" w:rsidRPr="00610904">
        <w:rPr>
          <w:noProof w:val="0"/>
          <w:lang w:val="en-US"/>
        </w:rPr>
        <w:t xml:space="preserve"> (</w:t>
      </w:r>
      <w:r w:rsidR="00A8072E" w:rsidRPr="00610904">
        <w:rPr>
          <w:noProof w:val="0"/>
          <w:lang w:val="en-US"/>
        </w:rPr>
        <w:t>Article</w:t>
      </w:r>
      <w:r w:rsidR="004D47AE" w:rsidRPr="00610904">
        <w:rPr>
          <w:noProof w:val="0"/>
          <w:lang w:val="en-US"/>
        </w:rPr>
        <w:t xml:space="preserve"> 18), </w:t>
      </w:r>
      <w:r w:rsidRPr="00610904">
        <w:rPr>
          <w:noProof w:val="0"/>
          <w:lang w:val="en-US"/>
        </w:rPr>
        <w:t>the right to health</w:t>
      </w:r>
      <w:r w:rsidR="004D47AE" w:rsidRPr="00610904">
        <w:rPr>
          <w:noProof w:val="0"/>
          <w:lang w:val="en-US"/>
        </w:rPr>
        <w:t xml:space="preserve"> (</w:t>
      </w:r>
      <w:r w:rsidR="00A8072E" w:rsidRPr="00610904">
        <w:rPr>
          <w:noProof w:val="0"/>
          <w:lang w:val="en-US"/>
        </w:rPr>
        <w:t>Article</w:t>
      </w:r>
      <w:r w:rsidR="004D47AE" w:rsidRPr="00610904">
        <w:rPr>
          <w:noProof w:val="0"/>
          <w:lang w:val="en-US"/>
        </w:rPr>
        <w:t xml:space="preserve"> 19),</w:t>
      </w:r>
      <w:r w:rsidR="009F3D78" w:rsidRPr="00610904">
        <w:rPr>
          <w:noProof w:val="0"/>
          <w:lang w:val="en-US"/>
        </w:rPr>
        <w:t xml:space="preserve"> and </w:t>
      </w:r>
      <w:r w:rsidRPr="00610904">
        <w:rPr>
          <w:noProof w:val="0"/>
          <w:lang w:val="en-US"/>
        </w:rPr>
        <w:t xml:space="preserve">the right to housing </w:t>
      </w:r>
      <w:r w:rsidR="004D47AE" w:rsidRPr="00610904">
        <w:rPr>
          <w:noProof w:val="0"/>
          <w:lang w:val="en-US"/>
        </w:rPr>
        <w:t>(</w:t>
      </w:r>
      <w:r w:rsidR="00A8072E" w:rsidRPr="00610904">
        <w:rPr>
          <w:noProof w:val="0"/>
          <w:lang w:val="en-US"/>
        </w:rPr>
        <w:t>Article</w:t>
      </w:r>
      <w:r w:rsidR="004D47AE" w:rsidRPr="00610904">
        <w:rPr>
          <w:noProof w:val="0"/>
          <w:lang w:val="en-US"/>
        </w:rPr>
        <w:t xml:space="preserve"> 24). </w:t>
      </w:r>
      <w:r w:rsidRPr="00610904">
        <w:rPr>
          <w:noProof w:val="0"/>
          <w:lang w:val="en-US"/>
        </w:rPr>
        <w:t xml:space="preserve">As can be seen, this step taken by several OAS Member States reveals a growing tendency </w:t>
      </w:r>
      <w:r w:rsidR="00856968" w:rsidRPr="00610904">
        <w:rPr>
          <w:noProof w:val="0"/>
          <w:lang w:val="en-US"/>
        </w:rPr>
        <w:t>towards</w:t>
      </w:r>
      <w:r w:rsidRPr="00610904">
        <w:rPr>
          <w:noProof w:val="0"/>
          <w:lang w:val="en-US"/>
        </w:rPr>
        <w:t xml:space="preserve"> the full justiciability of the </w:t>
      </w:r>
      <w:r w:rsidR="00357398" w:rsidRPr="00610904">
        <w:rPr>
          <w:noProof w:val="0"/>
          <w:lang w:val="en-US"/>
        </w:rPr>
        <w:t>economic, social and cultural rights</w:t>
      </w:r>
      <w:r w:rsidR="004D47AE" w:rsidRPr="00610904">
        <w:rPr>
          <w:noProof w:val="0"/>
          <w:lang w:val="en-US"/>
        </w:rPr>
        <w:t xml:space="preserve">. </w:t>
      </w:r>
    </w:p>
    <w:p w:rsidR="004D47AE" w:rsidRPr="00610904" w:rsidRDefault="004D47AE" w:rsidP="00610904">
      <w:pPr>
        <w:pStyle w:val="ListParagraph"/>
        <w:ind w:left="0"/>
        <w:rPr>
          <w:noProof w:val="0"/>
          <w:lang w:val="en-US"/>
        </w:rPr>
      </w:pPr>
    </w:p>
    <w:p w:rsidR="004D47AE" w:rsidRPr="00610904" w:rsidRDefault="00D617A8" w:rsidP="00610904">
      <w:pPr>
        <w:pStyle w:val="ListParagraph"/>
        <w:numPr>
          <w:ilvl w:val="0"/>
          <w:numId w:val="26"/>
        </w:numPr>
        <w:rPr>
          <w:noProof w:val="0"/>
          <w:lang w:val="en-US"/>
        </w:rPr>
      </w:pPr>
      <w:r w:rsidRPr="00610904">
        <w:rPr>
          <w:noProof w:val="0"/>
          <w:lang w:val="en-US"/>
        </w:rPr>
        <w:t>Based on all the arguments set forth in this Opinion, this hermeneutic interpretation does not undermine the legitimacy of the Court. Neither has this legitimacy been lessened by adopting case law criteria that had less normative grounds, as occurred when declaring the existence of certain rights that were not named or established in the Convention.</w:t>
      </w:r>
      <w:r w:rsidR="004D47AE" w:rsidRPr="00610904">
        <w:rPr>
          <w:rStyle w:val="FootnoteReference"/>
          <w:noProof w:val="0"/>
          <w:lang w:val="en-US"/>
        </w:rPr>
        <w:footnoteReference w:id="499"/>
      </w:r>
      <w:r w:rsidRPr="00610904">
        <w:rPr>
          <w:noProof w:val="0"/>
          <w:lang w:val="en-US"/>
        </w:rPr>
        <w:t xml:space="preserve"> To </w:t>
      </w:r>
      <w:r w:rsidRPr="00610904">
        <w:rPr>
          <w:noProof w:val="0"/>
          <w:lang w:val="en-US"/>
        </w:rPr>
        <w:lastRenderedPageBreak/>
        <w:t xml:space="preserve">the contrary, systematic, comprehensive and evolutive interpretation supported by the normative </w:t>
      </w:r>
      <w:r w:rsidR="00864DEB">
        <w:rPr>
          <w:noProof w:val="0"/>
          <w:lang w:val="en-US"/>
        </w:rPr>
        <w:t>grounds</w:t>
      </w:r>
      <w:r w:rsidRPr="00610904">
        <w:rPr>
          <w:noProof w:val="0"/>
          <w:lang w:val="en-US"/>
        </w:rPr>
        <w:t xml:space="preserve"> established in </w:t>
      </w:r>
      <w:r w:rsidR="009F3D78" w:rsidRPr="00610904">
        <w:rPr>
          <w:noProof w:val="0"/>
          <w:lang w:val="en-US"/>
        </w:rPr>
        <w:t>Article</w:t>
      </w:r>
      <w:r w:rsidR="004D47AE" w:rsidRPr="00610904">
        <w:rPr>
          <w:noProof w:val="0"/>
          <w:lang w:val="en-US"/>
        </w:rPr>
        <w:t xml:space="preserve"> 26</w:t>
      </w:r>
      <w:r w:rsidR="009F3D78" w:rsidRPr="00610904">
        <w:rPr>
          <w:noProof w:val="0"/>
          <w:lang w:val="en-US"/>
        </w:rPr>
        <w:t xml:space="preserve"> of the American Convention and </w:t>
      </w:r>
      <w:r w:rsidR="00864DEB">
        <w:rPr>
          <w:noProof w:val="0"/>
          <w:lang w:val="en-US"/>
        </w:rPr>
        <w:t>by</w:t>
      </w:r>
      <w:r w:rsidRPr="00610904">
        <w:rPr>
          <w:noProof w:val="0"/>
          <w:lang w:val="en-US"/>
        </w:rPr>
        <w:t xml:space="preserve"> its relationship </w:t>
      </w:r>
      <w:r w:rsidR="00864DEB">
        <w:rPr>
          <w:noProof w:val="0"/>
          <w:lang w:val="en-US"/>
        </w:rPr>
        <w:t>to</w:t>
      </w:r>
      <w:r w:rsidRPr="00610904">
        <w:rPr>
          <w:noProof w:val="0"/>
          <w:lang w:val="en-US"/>
        </w:rPr>
        <w:t xml:space="preserve"> </w:t>
      </w:r>
      <w:r w:rsidR="006E502B" w:rsidRPr="00610904">
        <w:rPr>
          <w:noProof w:val="0"/>
          <w:lang w:val="en-US"/>
        </w:rPr>
        <w:t>Articles 1(1)</w:t>
      </w:r>
      <w:r w:rsidR="009F3D78" w:rsidRPr="00610904">
        <w:rPr>
          <w:noProof w:val="0"/>
          <w:lang w:val="en-US"/>
        </w:rPr>
        <w:t xml:space="preserve"> and </w:t>
      </w:r>
      <w:r w:rsidR="004D47AE" w:rsidRPr="00610904">
        <w:rPr>
          <w:noProof w:val="0"/>
          <w:lang w:val="en-US"/>
        </w:rPr>
        <w:t xml:space="preserve">2 </w:t>
      </w:r>
      <w:r w:rsidRPr="00610904">
        <w:rPr>
          <w:noProof w:val="0"/>
          <w:lang w:val="en-US"/>
        </w:rPr>
        <w:t xml:space="preserve">of this instrument, based on the idea that this article should have practical effects because it has not been </w:t>
      </w:r>
      <w:r w:rsidR="0019754B">
        <w:rPr>
          <w:noProof w:val="0"/>
          <w:lang w:val="en-US"/>
        </w:rPr>
        <w:t>rescinded</w:t>
      </w:r>
      <w:r w:rsidRPr="00610904">
        <w:rPr>
          <w:noProof w:val="0"/>
          <w:lang w:val="en-US"/>
        </w:rPr>
        <w:t xml:space="preserve">, accords the Inter-American Court full legitimacy to take more decided steps towards the direct justiciability of </w:t>
      </w:r>
      <w:r w:rsidR="00357398" w:rsidRPr="00610904">
        <w:rPr>
          <w:noProof w:val="0"/>
          <w:lang w:val="en-US"/>
        </w:rPr>
        <w:t>economic, social and cultural rights</w:t>
      </w:r>
      <w:r w:rsidR="004D47AE" w:rsidRPr="00610904">
        <w:rPr>
          <w:noProof w:val="0"/>
          <w:lang w:val="en-US"/>
        </w:rPr>
        <w:t xml:space="preserve">, </w:t>
      </w:r>
      <w:r w:rsidRPr="00610904">
        <w:rPr>
          <w:noProof w:val="0"/>
          <w:lang w:val="en-US"/>
        </w:rPr>
        <w:t>especially taking into account the daily tragedy associated with the systematic denial of these rights in the countries of the Americas.</w:t>
      </w:r>
      <w:r w:rsidR="004D47AE" w:rsidRPr="00610904">
        <w:rPr>
          <w:noProof w:val="0"/>
          <w:lang w:val="en-US"/>
        </w:rPr>
        <w:t xml:space="preserve"> </w:t>
      </w:r>
    </w:p>
    <w:p w:rsidR="004D47AE" w:rsidRPr="00610904" w:rsidRDefault="004D47AE" w:rsidP="00610904">
      <w:pPr>
        <w:pStyle w:val="ListParagraph"/>
        <w:spacing w:after="240"/>
        <w:ind w:left="0" w:right="96"/>
        <w:rPr>
          <w:noProof w:val="0"/>
          <w:lang w:val="en-US"/>
        </w:rPr>
      </w:pPr>
    </w:p>
    <w:p w:rsidR="004D47AE" w:rsidRPr="00610904" w:rsidRDefault="004D47AE" w:rsidP="00610904">
      <w:pPr>
        <w:pStyle w:val="ListParagraph"/>
        <w:spacing w:after="240"/>
        <w:ind w:left="0" w:right="96"/>
        <w:rPr>
          <w:noProof w:val="0"/>
          <w:lang w:val="en-US"/>
        </w:rPr>
      </w:pPr>
    </w:p>
    <w:p w:rsidR="004D47AE" w:rsidRPr="00610904" w:rsidRDefault="004D47AE" w:rsidP="00610904">
      <w:pPr>
        <w:pStyle w:val="NormalWeb"/>
        <w:spacing w:before="0" w:beforeAutospacing="0" w:after="0" w:afterAutospacing="0"/>
        <w:ind w:left="3600" w:right="96" w:firstLine="720"/>
        <w:jc w:val="center"/>
        <w:rPr>
          <w:rFonts w:ascii="Verdana" w:eastAsia="Calibri" w:hAnsi="Verdana"/>
          <w:noProof w:val="0"/>
          <w:sz w:val="20"/>
          <w:szCs w:val="20"/>
          <w:lang w:val="en-US" w:eastAsia="en-US"/>
        </w:rPr>
      </w:pPr>
      <w:r w:rsidRPr="00610904">
        <w:rPr>
          <w:rFonts w:ascii="Verdana" w:eastAsia="Calibri" w:hAnsi="Verdana"/>
          <w:noProof w:val="0"/>
          <w:sz w:val="20"/>
          <w:szCs w:val="20"/>
          <w:lang w:val="en-US" w:eastAsia="en-US"/>
        </w:rPr>
        <w:t>Eduardo Ferrer Mac-Gregor Poisot</w:t>
      </w:r>
    </w:p>
    <w:p w:rsidR="004D47AE" w:rsidRPr="00610904" w:rsidRDefault="009F3D78" w:rsidP="00610904">
      <w:pPr>
        <w:pStyle w:val="NormalWeb"/>
        <w:spacing w:before="0" w:beforeAutospacing="0" w:after="0" w:afterAutospacing="0"/>
        <w:ind w:left="3960" w:right="96" w:firstLine="360"/>
        <w:jc w:val="center"/>
        <w:rPr>
          <w:rFonts w:ascii="Verdana" w:eastAsia="Calibri" w:hAnsi="Verdana"/>
          <w:noProof w:val="0"/>
          <w:sz w:val="20"/>
          <w:szCs w:val="20"/>
          <w:lang w:val="en-US" w:eastAsia="en-US"/>
        </w:rPr>
      </w:pPr>
      <w:r w:rsidRPr="00610904">
        <w:rPr>
          <w:rFonts w:ascii="Verdana" w:eastAsia="Calibri" w:hAnsi="Verdana"/>
          <w:noProof w:val="0"/>
          <w:sz w:val="20"/>
          <w:szCs w:val="20"/>
          <w:lang w:val="en-US" w:eastAsia="en-US"/>
        </w:rPr>
        <w:t>Judge</w:t>
      </w:r>
    </w:p>
    <w:p w:rsidR="004D47AE" w:rsidRPr="00610904" w:rsidRDefault="004D47AE" w:rsidP="00610904">
      <w:pPr>
        <w:rPr>
          <w:noProof w:val="0"/>
          <w:lang w:val="en-US"/>
        </w:rPr>
      </w:pPr>
    </w:p>
    <w:p w:rsidR="004D47AE" w:rsidRPr="00610904" w:rsidRDefault="004D47AE" w:rsidP="00610904">
      <w:pPr>
        <w:rPr>
          <w:noProof w:val="0"/>
          <w:lang w:val="en-US"/>
        </w:rPr>
      </w:pPr>
    </w:p>
    <w:p w:rsidR="004D47AE" w:rsidRPr="00610904" w:rsidRDefault="004D47AE" w:rsidP="00610904">
      <w:pPr>
        <w:rPr>
          <w:noProof w:val="0"/>
          <w:lang w:val="en-US"/>
        </w:rPr>
      </w:pPr>
      <w:r w:rsidRPr="00610904">
        <w:rPr>
          <w:noProof w:val="0"/>
          <w:lang w:val="en-US"/>
        </w:rPr>
        <w:t>Pablo Saavedra Alessandri</w:t>
      </w:r>
    </w:p>
    <w:p w:rsidR="004D47AE" w:rsidRPr="00610904" w:rsidRDefault="004D47AE" w:rsidP="00610904">
      <w:pPr>
        <w:rPr>
          <w:noProof w:val="0"/>
          <w:lang w:val="en-US"/>
        </w:rPr>
      </w:pPr>
      <w:r w:rsidRPr="00610904">
        <w:rPr>
          <w:noProof w:val="0"/>
          <w:lang w:val="en-US"/>
        </w:rPr>
        <w:tab/>
      </w:r>
      <w:r w:rsidR="009F3D78" w:rsidRPr="00610904">
        <w:rPr>
          <w:noProof w:val="0"/>
          <w:lang w:val="en-US"/>
        </w:rPr>
        <w:t>Secretary</w:t>
      </w:r>
    </w:p>
    <w:p w:rsidR="00A308F2" w:rsidRPr="00610904" w:rsidRDefault="00A308F2" w:rsidP="00610904">
      <w:pPr>
        <w:rPr>
          <w:noProof w:val="0"/>
          <w:lang w:val="en-US"/>
        </w:rPr>
      </w:pPr>
    </w:p>
    <w:p w:rsidR="00FF6802" w:rsidRPr="00610904" w:rsidRDefault="00FF6802" w:rsidP="00610904">
      <w:pPr>
        <w:rPr>
          <w:noProof w:val="0"/>
          <w:lang w:val="en-US"/>
        </w:rPr>
      </w:pPr>
    </w:p>
    <w:p w:rsidR="00FF6802" w:rsidRPr="00610904" w:rsidRDefault="00FF6802" w:rsidP="00610904">
      <w:pPr>
        <w:rPr>
          <w:noProof w:val="0"/>
          <w:lang w:val="en-US"/>
        </w:rPr>
      </w:pPr>
    </w:p>
    <w:sectPr w:rsidR="00FF6802" w:rsidRPr="00610904" w:rsidSect="004D47AE">
      <w:headerReference w:type="default" r:id="rId19"/>
      <w:footerReference w:type="default" r:id="rId20"/>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E4" w:rsidRDefault="00C812E4" w:rsidP="003040F7">
      <w:r>
        <w:separator/>
      </w:r>
    </w:p>
  </w:endnote>
  <w:endnote w:type="continuationSeparator" w:id="0">
    <w:p w:rsidR="00C812E4" w:rsidRDefault="00C812E4" w:rsidP="003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20B080403050404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KIDXT+Bembo">
    <w:altName w:val="Bemb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MinionPro-Semibold">
    <w:panose1 w:val="00000000000000000000"/>
    <w:charset w:val="00"/>
    <w:family w:val="auto"/>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Footer"/>
      <w:jc w:val="center"/>
    </w:pPr>
  </w:p>
  <w:p w:rsidR="0051351F" w:rsidRDefault="0051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Footer"/>
      <w:jc w:val="center"/>
    </w:pPr>
  </w:p>
  <w:p w:rsidR="0051351F" w:rsidRDefault="00513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E4" w:rsidRDefault="00C812E4" w:rsidP="003040F7">
      <w:r>
        <w:separator/>
      </w:r>
    </w:p>
  </w:footnote>
  <w:footnote w:type="continuationSeparator" w:id="0">
    <w:p w:rsidR="00C812E4" w:rsidRDefault="00C812E4" w:rsidP="003040F7">
      <w:r>
        <w:continuationSeparator/>
      </w:r>
    </w:p>
  </w:footnote>
  <w:footnote w:id="1">
    <w:p w:rsidR="0051351F" w:rsidRPr="00D64D5C" w:rsidRDefault="0051351F" w:rsidP="00FC14B8">
      <w:pPr>
        <w:pStyle w:val="FootnoteText"/>
        <w:tabs>
          <w:tab w:val="left" w:pos="540"/>
        </w:tabs>
        <w:spacing w:before="0" w:after="100"/>
        <w:rPr>
          <w:szCs w:val="16"/>
          <w:lang w:val="en-US"/>
        </w:rPr>
      </w:pPr>
      <w:r w:rsidRPr="00D64D5C">
        <w:rPr>
          <w:rStyle w:val="FootnoteReference"/>
          <w:lang w:val="en-US"/>
        </w:rPr>
        <w:t>*</w:t>
      </w:r>
      <w:r w:rsidRPr="00D64D5C">
        <w:rPr>
          <w:lang w:val="en-US"/>
        </w:rPr>
        <w:t xml:space="preserve"> </w:t>
      </w:r>
      <w:r w:rsidRPr="00D64D5C">
        <w:rPr>
          <w:lang w:val="en-US"/>
        </w:rPr>
        <w:tab/>
      </w:r>
      <w:r w:rsidRPr="00D64D5C">
        <w:rPr>
          <w:szCs w:val="16"/>
          <w:lang w:val="en-US"/>
        </w:rPr>
        <w:t xml:space="preserve">The Inter-American Commission on Human Rights submitted this case to the Court under the name of "TGGL and family </w:t>
      </w:r>
      <w:r w:rsidRPr="00D64D5C">
        <w:rPr>
          <w:i/>
          <w:szCs w:val="16"/>
          <w:lang w:val="en-US"/>
        </w:rPr>
        <w:t>v.</w:t>
      </w:r>
      <w:r w:rsidRPr="00D64D5C">
        <w:rPr>
          <w:szCs w:val="16"/>
          <w:lang w:val="en-US"/>
        </w:rPr>
        <w:t xml:space="preserve"> Ecuador." The Commission decided to keep the identity of the presumed victim confidential as she was a minor, and also to maintain the confidentiality of Talia’s mother and the blood donors. When presenting their pleadings and arguments brief, the representatives advised that, since Talía Gabriela Gonzales Lluy was now of age, she had decided not to maintain the confidentiality of her identity. They also indicated that the name of Talía’s mother was Teresa Lluy. Taking into account this decision by the presumed victims and the name of the case during the procedure before the Commission, the new title of this case is “Gonzales Lluy </w:t>
      </w:r>
      <w:r w:rsidRPr="00D64D5C">
        <w:rPr>
          <w:i/>
          <w:szCs w:val="16"/>
          <w:lang w:val="en-US"/>
        </w:rPr>
        <w:t>et al. v.</w:t>
      </w:r>
      <w:r w:rsidRPr="00D64D5C">
        <w:rPr>
          <w:szCs w:val="16"/>
          <w:lang w:val="en-US"/>
        </w:rPr>
        <w:t xml:space="preserve"> Ecuador.”</w:t>
      </w:r>
    </w:p>
  </w:footnote>
  <w:footnote w:id="2">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rFonts w:cs="Verdana"/>
          <w:noProof w:val="0"/>
          <w:lang w:val="en-US" w:eastAsia="es-ES"/>
        </w:rPr>
        <w:t>The Inter-American Commission appointed Commissioner Rose-Marie Belle Antoine and Executive Secretary Emilio Álvarez Icaza as delegates, and Elizabeth Abi-Mershed, Deputy Executive Secretary, and Silvia Serrano Guzmán, Executive Secretariat lawyer, as legal advisers.</w:t>
      </w:r>
    </w:p>
  </w:footnote>
  <w:footnote w:id="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representatives of the presumed victims during the processing of the case before the Court were Ramiro Ávila Santamaría and Gustavo Quito Mendieta.</w:t>
      </w:r>
    </w:p>
  </w:footnote>
  <w:footnote w:id="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 xml:space="preserve">The State appointed Erick Roberts Garcés, National Director of Human Rights of the Attorney General’s Office, as its Agent, and Alonso Fonseca Garcés and Carlos Espín Arias as deputy agents. </w:t>
      </w:r>
    </w:p>
  </w:footnote>
  <w:footnote w:id="5">
    <w:p w:rsidR="0051351F" w:rsidRPr="00D64D5C" w:rsidRDefault="0051351F" w:rsidP="00FC14B8">
      <w:pPr>
        <w:pStyle w:val="FootnoteText"/>
        <w:tabs>
          <w:tab w:val="left" w:pos="540"/>
        </w:tabs>
        <w:spacing w:before="0" w:after="100"/>
        <w:rPr>
          <w:rFonts w:cs="Verdana"/>
          <w:szCs w:val="16"/>
          <w:lang w:val="en-US"/>
        </w:rPr>
      </w:pPr>
      <w:r w:rsidRPr="00D64D5C">
        <w:rPr>
          <w:rStyle w:val="FootnoteReference"/>
          <w:szCs w:val="16"/>
          <w:lang w:val="en-US"/>
        </w:rPr>
        <w:footnoteRef/>
      </w:r>
      <w:r w:rsidRPr="00D64D5C">
        <w:rPr>
          <w:i/>
          <w:szCs w:val="16"/>
          <w:lang w:val="en-US"/>
        </w:rPr>
        <w:tab/>
        <w:t xml:space="preserve">Cf. </w:t>
      </w:r>
      <w:r w:rsidRPr="00D64D5C">
        <w:rPr>
          <w:rFonts w:cs="Verdana"/>
          <w:i/>
          <w:szCs w:val="16"/>
          <w:lang w:val="en-US"/>
        </w:rPr>
        <w:t xml:space="preserve">Case of Gonzales Lluy (TGGL) and family v. Ecuador. </w:t>
      </w:r>
      <w:r w:rsidRPr="00D64D5C">
        <w:rPr>
          <w:rFonts w:cs="Verdana"/>
          <w:szCs w:val="16"/>
          <w:lang w:val="en-US"/>
        </w:rPr>
        <w:t xml:space="preserve">Order of the President of the Inter-American Court of Human Rights of January 12, 2015. Available at: </w:t>
      </w:r>
      <w:hyperlink r:id="rId1" w:history="1">
        <w:r w:rsidRPr="00D64D5C">
          <w:rPr>
            <w:rStyle w:val="Hyperlink"/>
            <w:rFonts w:cs="Verdana"/>
            <w:szCs w:val="16"/>
            <w:lang w:val="en-US"/>
          </w:rPr>
          <w:t>http://www.corteidh.or.cr/docs/asuntos/ gonzaleslluy_12_01_15.pdf</w:t>
        </w:r>
      </w:hyperlink>
      <w:r w:rsidRPr="00D64D5C">
        <w:rPr>
          <w:rFonts w:cs="Verdana"/>
          <w:szCs w:val="16"/>
          <w:lang w:val="en-US"/>
        </w:rPr>
        <w:t xml:space="preserve"> </w:t>
      </w:r>
    </w:p>
  </w:footnote>
  <w:footnote w:id="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On January 29, 2015, the representatives advised that expert witness Jorge Vicente Paladines, summoned to testify at the public hearing, had to excuse himself for reasons beyond his control. They therefore asked the Court to allow another of their proposed expert witnesses to appear at the hearing. After the President of the Court had asked the State and the Commission to comment on this request, in an order of February 11, 2015, he decided to summon expert witness Julio César Trujillo to the public hearing, owing to the similarity between the purpose of his expert opinion and that of expert witness Paladines. </w:t>
      </w:r>
      <w:r w:rsidRPr="00D64D5C">
        <w:rPr>
          <w:i/>
          <w:szCs w:val="16"/>
          <w:lang w:val="en-US"/>
        </w:rPr>
        <w:t xml:space="preserve">Cf. Case of Gonzales Lluy (TGGL) and family v. Ecuador. </w:t>
      </w:r>
      <w:r w:rsidRPr="00D64D5C">
        <w:rPr>
          <w:szCs w:val="16"/>
          <w:lang w:val="en-US"/>
        </w:rPr>
        <w:t xml:space="preserve">Order of the President of the Inter-American Court of Human Rights of February 11, 2015. Available at: </w:t>
      </w:r>
      <w:hyperlink r:id="rId2" w:history="1">
        <w:r w:rsidRPr="00D64D5C">
          <w:rPr>
            <w:rStyle w:val="Hyperlink"/>
            <w:color w:val="auto"/>
            <w:szCs w:val="16"/>
            <w:lang w:val="en-US"/>
          </w:rPr>
          <w:t>http://www.corteidh.or.cr/docs/asuntos/gonzaleslluy_11_02_15.pdf</w:t>
        </w:r>
      </w:hyperlink>
      <w:r w:rsidRPr="00D64D5C">
        <w:rPr>
          <w:szCs w:val="16"/>
          <w:lang w:val="en-US"/>
        </w:rPr>
        <w:t xml:space="preserve">  </w:t>
      </w:r>
    </w:p>
  </w:footnote>
  <w:footnote w:id="7">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ab/>
        <w:t>The following persons attended the public hearing: (a) for the Inter-American Commission: Rose-Marie Belle Antoine, President; Silvia Serrano Guzmán, lawyer of the Executive Secretariat, and Jorge H. Meza Flores, Executive Secretariat lawyer; (b) for the representatives of the presumed victims: Ramiro Ávila Santamaría, representative, and (c) for the State of Ecuador: Erick Roberts Garcés, Agent; Alonso Fonseca Garcés, Deputy Agent; Juan Carlos Álvarez, lawyer; María Verónica Espinosa, National Assistant Secretary for Health Care Administration, and Nadia Ruiz, delegate of the Ministry of Foreign Affairs and Human Mobility.</w:t>
      </w:r>
    </w:p>
  </w:footnote>
  <w:footnote w:id="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Verdana"/>
          <w:szCs w:val="16"/>
          <w:lang w:val="en-US"/>
        </w:rPr>
        <w:t>Ximena Casas Isaza is Coordinator of the CLACAI Legal Network, Viviana Bohórquez Monsalve, is a lawyer of the CLACAI Legal Network, Ariadna Tovar Martínez is Regional Director of Wome’s Link Worldwide and member of the CLACAI Legal Network, Ma. José Barajas de la Vega is a lawyer and member of the CLACAI Legal Network, and Susana Chávez Alvarado is Executive Secretary of the CLACAI Legal Network</w:t>
      </w:r>
    </w:p>
  </w:footnote>
  <w:footnote w:id="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Signed by </w:t>
      </w:r>
      <w:r w:rsidRPr="00D64D5C">
        <w:rPr>
          <w:rFonts w:cs="Verdana"/>
          <w:szCs w:val="16"/>
          <w:lang w:val="en-US"/>
        </w:rPr>
        <w:t xml:space="preserve">César Rodríguez Garavito and Celeste Kauffman, Director and Researcher of Dejusticia. </w:t>
      </w:r>
    </w:p>
  </w:footnote>
  <w:footnote w:id="1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Verdana"/>
          <w:szCs w:val="16"/>
          <w:lang w:val="en-US"/>
        </w:rPr>
        <w:t>Brief presented by Beatriz Villarreal, President of INREDH.</w:t>
      </w:r>
    </w:p>
  </w:footnote>
  <w:footnote w:id="1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Professor of the </w:t>
      </w:r>
      <w:r w:rsidRPr="00D64D5C">
        <w:rPr>
          <w:rFonts w:cs="Verdana"/>
          <w:szCs w:val="16"/>
          <w:lang w:val="en-US"/>
        </w:rPr>
        <w:t>Universidad Andina Simón Bolívar and of the Pontificia Universidad Católica of Ecuador.</w:t>
      </w:r>
    </w:p>
  </w:footnote>
  <w:footnote w:id="1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Signed by </w:t>
      </w:r>
      <w:r w:rsidRPr="00D64D5C">
        <w:rPr>
          <w:rFonts w:cs="Verdana"/>
          <w:szCs w:val="16"/>
          <w:lang w:val="en-US"/>
        </w:rPr>
        <w:t xml:space="preserve">Andrea Parra, Director of the Equality and Social Inclusion Action Program Social (PAIIS) of the Law School of the Universidad de los Andes, Colombia; Juan David Camacho, the Program’s Legal Adviser, and Lina Rocío Cala and Paula Lorena Mora, students attached to PAIIS. </w:t>
      </w:r>
    </w:p>
  </w:footnote>
  <w:footnote w:id="1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Verdana"/>
          <w:szCs w:val="16"/>
          <w:lang w:val="en-US"/>
        </w:rPr>
        <w:t>Professors of both the Universidad de Buenos Aires (UBA) and the Universidad Nacional de Lanús (UNLa).</w:t>
      </w:r>
    </w:p>
  </w:footnote>
  <w:footnote w:id="1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Signed by Ezequiel Nino and Agustina Ramón Michel, General Coordinator and Co-coordinator respectively of the Legal Clinic of the Universidad de Palermo, and also Karina G. Carpintero, Juan Ignacio Santos and Elma Mansilla, members of the Clinic.</w:t>
      </w:r>
    </w:p>
  </w:footnote>
  <w:footnote w:id="1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Signed by Adriana Muro Polo and Manuela Piza Caballero.</w:t>
      </w:r>
    </w:p>
  </w:footnote>
  <w:footnote w:id="1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Members of the Working Group to analyze national reports, established in the Protocol of San Salvador.</w:t>
      </w:r>
    </w:p>
  </w:footnote>
  <w:footnote w:id="1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Signed by Edgar Santiago Morales Morales, María Fernanda San Lucas Solórzano and Luis Fernando Suárez Probaño, as professors of that University, and also Carolina Romero Córdova.</w:t>
      </w:r>
    </w:p>
  </w:footnote>
  <w:footnote w:id="1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Signed by Ramiro Rivadeneira Silva, Ombudsman of Ecuador; Patricio Benaleázar, Assistant for Human Rights and Nature, and José Luis Guerra Mayorgan, Director General, all from the Ombudsman’s Office. Also signed by Pablo Campa, as assistant to the Director of Rights pertaining to Well-being. </w:t>
      </w:r>
    </w:p>
  </w:footnote>
  <w:footnote w:id="19">
    <w:p w:rsidR="0051351F" w:rsidRPr="00D64D5C" w:rsidRDefault="0051351F" w:rsidP="00FC14B8">
      <w:pPr>
        <w:tabs>
          <w:tab w:val="left" w:pos="540"/>
        </w:tabs>
        <w:spacing w:after="100"/>
        <w:rPr>
          <w:rFonts w:cs="Verdana"/>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Signed also by Rolando Gialdino as Coordinator of the </w:t>
      </w:r>
      <w:r w:rsidRPr="00D64D5C">
        <w:rPr>
          <w:i/>
          <w:sz w:val="16"/>
          <w:szCs w:val="16"/>
          <w:lang w:val="en-US"/>
        </w:rPr>
        <w:t xml:space="preserve">amicus curiae and </w:t>
      </w:r>
      <w:r w:rsidRPr="00D64D5C">
        <w:rPr>
          <w:sz w:val="16"/>
          <w:szCs w:val="16"/>
          <w:lang w:val="en-US"/>
        </w:rPr>
        <w:t>Karina G. Carpintero, Belen E. Donzelli and Magdalena I. García Rossi as members and reseachers of the UCA.</w:t>
      </w:r>
    </w:p>
  </w:footnote>
  <w:footnote w:id="20">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Cf. Case of Cepeda Vargas v. Colombia. Preliminary objections, merits, reparations and costs.</w:t>
      </w:r>
      <w:r w:rsidRPr="00D64D5C">
        <w:rPr>
          <w:sz w:val="16"/>
          <w:szCs w:val="16"/>
          <w:lang w:val="en-US"/>
        </w:rPr>
        <w:t xml:space="preserve"> Judgment of May 26, 2010. Series C No. 213,</w:t>
      </w:r>
      <w:r w:rsidRPr="00D64D5C">
        <w:rPr>
          <w:i/>
          <w:sz w:val="16"/>
          <w:szCs w:val="16"/>
          <w:lang w:val="en-US"/>
        </w:rPr>
        <w:t xml:space="preserve"> </w:t>
      </w:r>
      <w:r w:rsidRPr="00D64D5C">
        <w:rPr>
          <w:sz w:val="16"/>
          <w:szCs w:val="16"/>
          <w:lang w:val="en-US"/>
        </w:rPr>
        <w:t>para. 35</w:t>
      </w:r>
      <w:r w:rsidRPr="00D64D5C">
        <w:rPr>
          <w:i/>
          <w:sz w:val="16"/>
          <w:szCs w:val="16"/>
          <w:lang w:val="en-US"/>
        </w:rPr>
        <w:t>.</w:t>
      </w:r>
    </w:p>
  </w:footnote>
  <w:footnote w:id="21">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ab/>
      </w:r>
      <w:r w:rsidRPr="00D64D5C">
        <w:rPr>
          <w:i/>
          <w:sz w:val="16"/>
          <w:szCs w:val="16"/>
          <w:lang w:val="en-US"/>
        </w:rPr>
        <w:t xml:space="preserve">Cf. </w:t>
      </w:r>
      <w:r w:rsidRPr="00D64D5C">
        <w:rPr>
          <w:i/>
          <w:iCs/>
          <w:sz w:val="16"/>
          <w:szCs w:val="16"/>
          <w:lang w:val="en-US" w:eastAsia="es-ES_tradnl"/>
        </w:rPr>
        <w:t>Case of Las Palmeras v. Colombia. Preliminary objections.</w:t>
      </w:r>
      <w:r w:rsidRPr="00D64D5C">
        <w:rPr>
          <w:iCs/>
          <w:sz w:val="16"/>
          <w:szCs w:val="16"/>
          <w:lang w:val="en-US" w:eastAsia="es-ES_tradnl"/>
        </w:rPr>
        <w:t xml:space="preserve"> </w:t>
      </w:r>
      <w:r w:rsidRPr="00D64D5C">
        <w:rPr>
          <w:sz w:val="16"/>
          <w:szCs w:val="16"/>
          <w:lang w:val="en-US" w:eastAsia="es-ES_tradnl"/>
        </w:rPr>
        <w:t xml:space="preserve">Judgment of February 4, 2000. Series C No. 67, para. 34, and </w:t>
      </w:r>
      <w:r w:rsidRPr="00D64D5C">
        <w:rPr>
          <w:i/>
          <w:iCs/>
          <w:sz w:val="16"/>
          <w:szCs w:val="16"/>
          <w:lang w:val="en-US" w:eastAsia="es-ES_tradnl"/>
        </w:rPr>
        <w:t xml:space="preserve">Case of the Human Rights Defender et al. v. Guatemala. Preliminary objections, merits, reparations and costs. </w:t>
      </w:r>
      <w:r w:rsidRPr="00D64D5C">
        <w:rPr>
          <w:sz w:val="16"/>
          <w:szCs w:val="16"/>
          <w:lang w:val="en-US" w:eastAsia="es-ES_tradnl"/>
        </w:rPr>
        <w:t>Judgment of August 28, 2014. Series C No. 283</w:t>
      </w:r>
      <w:r w:rsidRPr="00D64D5C">
        <w:rPr>
          <w:sz w:val="16"/>
          <w:szCs w:val="16"/>
          <w:lang w:val="en-US"/>
        </w:rPr>
        <w:t>, para. 15.</w:t>
      </w:r>
    </w:p>
  </w:footnote>
  <w:footnote w:id="22">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Case of Castañeda Gutman v. Mexico. Preliminary objections, merits, reparations and costs. </w:t>
      </w:r>
      <w:r w:rsidRPr="00D64D5C">
        <w:rPr>
          <w:sz w:val="16"/>
          <w:szCs w:val="16"/>
          <w:lang w:val="en-US"/>
        </w:rPr>
        <w:t xml:space="preserve">Judgment of August 6, 2008. Series C No. 184, para. 39, and </w:t>
      </w:r>
      <w:r w:rsidRPr="00D64D5C">
        <w:rPr>
          <w:i/>
          <w:iCs/>
          <w:sz w:val="16"/>
          <w:szCs w:val="16"/>
          <w:lang w:val="en-US" w:eastAsia="es-ES_tradnl"/>
        </w:rPr>
        <w:t>Case of the Human Rights Defender et al. v. Guatemala</w:t>
      </w:r>
      <w:r w:rsidRPr="00D64D5C">
        <w:rPr>
          <w:sz w:val="16"/>
          <w:szCs w:val="16"/>
          <w:lang w:val="en-US"/>
        </w:rPr>
        <w:t>, para. 15.</w:t>
      </w:r>
    </w:p>
  </w:footnote>
  <w:footnote w:id="2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 xml:space="preserve">Similarly, </w:t>
      </w:r>
      <w:r w:rsidRPr="00D64D5C">
        <w:rPr>
          <w:i/>
          <w:szCs w:val="16"/>
          <w:lang w:val="en-US"/>
        </w:rPr>
        <w:t xml:space="preserve">Case of Tarazona Arrieta et al. v. Peru. Preliminary objection, merits, reparations and costs. </w:t>
      </w:r>
      <w:r w:rsidRPr="00D64D5C">
        <w:rPr>
          <w:szCs w:val="16"/>
          <w:lang w:val="en-US"/>
        </w:rPr>
        <w:t>Judgment of October 15, 2014. Series C No. 286, para. 18.</w:t>
      </w:r>
    </w:p>
  </w:footnote>
  <w:footnote w:id="24">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Cf. Case of Mendoza et al. v. Argentina. Preliminary objections, merit and reparations</w:t>
      </w:r>
      <w:r w:rsidRPr="00D64D5C">
        <w:rPr>
          <w:sz w:val="16"/>
          <w:szCs w:val="16"/>
          <w:lang w:val="en-US"/>
        </w:rPr>
        <w:t xml:space="preserve">. Judgment of May 14, 2013 Series C No. 260, para. 25, and </w:t>
      </w:r>
      <w:r w:rsidRPr="00D64D5C">
        <w:rPr>
          <w:i/>
          <w:iCs/>
          <w:sz w:val="16"/>
          <w:szCs w:val="16"/>
          <w:lang w:val="en-US" w:eastAsia="es-ES_tradnl"/>
        </w:rPr>
        <w:t>Case of the Human Rights Defender et al. v. Guatemala</w:t>
      </w:r>
      <w:r w:rsidRPr="00D64D5C">
        <w:rPr>
          <w:sz w:val="16"/>
          <w:szCs w:val="16"/>
          <w:lang w:val="en-US" w:eastAsia="es-ES_tradnl"/>
        </w:rPr>
        <w:t>, para. 15</w:t>
      </w:r>
      <w:r w:rsidRPr="00D64D5C">
        <w:rPr>
          <w:rFonts w:eastAsia="MS ????"/>
          <w:sz w:val="16"/>
          <w:szCs w:val="16"/>
          <w:lang w:val="en-US"/>
        </w:rPr>
        <w:t>.</w:t>
      </w:r>
    </w:p>
  </w:footnote>
  <w:footnote w:id="2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Argüelles et al. v. Argentina. Preliminary objections, merits, reparations and costs. </w:t>
      </w:r>
      <w:r w:rsidRPr="00D64D5C">
        <w:rPr>
          <w:szCs w:val="16"/>
          <w:lang w:val="en-US"/>
        </w:rPr>
        <w:t>Judgment of November 20, 2014. Series C No. 288, para. 42.</w:t>
      </w:r>
    </w:p>
  </w:footnote>
  <w:footnote w:id="2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ab/>
        <w:t xml:space="preserve">Cf. Case of the Kuna Indigenous People of Madugandí and the Embera Indigenous People of Bayano and their members v. Panama. Preliminary objections, merits, reparations and costs. </w:t>
      </w:r>
      <w:r w:rsidRPr="00D64D5C">
        <w:rPr>
          <w:szCs w:val="16"/>
          <w:lang w:val="en-US"/>
        </w:rPr>
        <w:t>Judgment of October 14, 2014. Series C No. 284, para. 21.</w:t>
      </w:r>
    </w:p>
  </w:footnote>
  <w:footnote w:id="2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the Landaeta Mejías Brothers et al. v. Venezuela. Preliminary objections, merits, reparations and costs. </w:t>
      </w:r>
      <w:r w:rsidRPr="00D64D5C">
        <w:rPr>
          <w:szCs w:val="16"/>
          <w:lang w:val="en-US"/>
        </w:rPr>
        <w:t>Judgment of August 27, 2014. Series C No. 281, para. 29.</w:t>
      </w:r>
    </w:p>
  </w:footnote>
  <w:footnote w:id="2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Rodríguez Vera et al. (the Disappeared from the Palace of Justice) v. Colombia. Preliminary objections, merits, reparations and costs. </w:t>
      </w:r>
      <w:r w:rsidRPr="00D64D5C">
        <w:rPr>
          <w:szCs w:val="16"/>
          <w:lang w:val="en-US"/>
        </w:rPr>
        <w:t>Judgment of November 14, 2014. Series C No. 287, para. 47.</w:t>
      </w:r>
    </w:p>
  </w:footnote>
  <w:footnote w:id="2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Rodríguez Vera et al. (the Disappeared from the Palace of Justice) v. Colombia</w:t>
      </w:r>
      <w:r w:rsidRPr="00D64D5C">
        <w:rPr>
          <w:szCs w:val="16"/>
          <w:lang w:val="en-US"/>
        </w:rPr>
        <w:t>, para. 47.</w:t>
      </w:r>
    </w:p>
  </w:footnote>
  <w:footnote w:id="3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Rodríguez Vera et al. (the Disappeared from the Palace of Justice) v. Colombia</w:t>
      </w:r>
      <w:r w:rsidRPr="00D64D5C">
        <w:rPr>
          <w:szCs w:val="16"/>
          <w:lang w:val="en-US"/>
        </w:rPr>
        <w:t>, para. 47.</w:t>
      </w:r>
    </w:p>
  </w:footnote>
  <w:footnote w:id="31">
    <w:p w:rsidR="0051351F" w:rsidRPr="00D64D5C" w:rsidRDefault="0051351F" w:rsidP="00FC14B8">
      <w:pPr>
        <w:pStyle w:val="Footnotes"/>
        <w:tabs>
          <w:tab w:val="left" w:pos="426"/>
          <w:tab w:val="left" w:pos="540"/>
        </w:tabs>
        <w:spacing w:before="0" w:after="100"/>
        <w:rPr>
          <w:lang w:val="en-US"/>
        </w:rPr>
      </w:pPr>
      <w:r w:rsidRPr="00D64D5C">
        <w:rPr>
          <w:rStyle w:val="FootnoteReference"/>
          <w:rFonts w:eastAsia="Batang"/>
          <w:szCs w:val="16"/>
          <w:lang w:val="en-US"/>
        </w:rPr>
        <w:footnoteRef/>
      </w:r>
      <w:r w:rsidRPr="00D64D5C">
        <w:rPr>
          <w:lang w:val="en-US"/>
        </w:rPr>
        <w:t xml:space="preserve"> </w:t>
      </w:r>
      <w:r w:rsidRPr="00D64D5C">
        <w:rPr>
          <w:lang w:val="en-US"/>
        </w:rPr>
        <w:tab/>
      </w:r>
      <w:r w:rsidRPr="00D64D5C">
        <w:rPr>
          <w:lang w:val="en-US"/>
        </w:rPr>
        <w:tab/>
      </w:r>
      <w:proofErr w:type="gramStart"/>
      <w:r w:rsidRPr="00D64D5C">
        <w:rPr>
          <w:i/>
          <w:lang w:val="en-US"/>
        </w:rPr>
        <w:t>Cf. Case of Díaz Peña v. Venezuela.</w:t>
      </w:r>
      <w:proofErr w:type="gramEnd"/>
      <w:r w:rsidRPr="00D64D5C">
        <w:rPr>
          <w:i/>
          <w:lang w:val="en-US"/>
        </w:rPr>
        <w:t xml:space="preserve"> </w:t>
      </w:r>
      <w:proofErr w:type="gramStart"/>
      <w:r w:rsidRPr="00D64D5C">
        <w:rPr>
          <w:i/>
          <w:lang w:val="en-US"/>
        </w:rPr>
        <w:t>Preliminary objection, merits, reparations and costs.</w:t>
      </w:r>
      <w:proofErr w:type="gramEnd"/>
      <w:r w:rsidRPr="00D64D5C">
        <w:rPr>
          <w:lang w:val="en-US"/>
        </w:rPr>
        <w:t xml:space="preserve"> Judgment of June 26, 2012. Series C No. 244, para. </w:t>
      </w:r>
      <w:proofErr w:type="gramStart"/>
      <w:r w:rsidRPr="00D64D5C">
        <w:rPr>
          <w:lang w:val="en-US"/>
        </w:rPr>
        <w:t>34,</w:t>
      </w:r>
      <w:proofErr w:type="gramEnd"/>
      <w:r w:rsidRPr="00D64D5C">
        <w:rPr>
          <w:lang w:val="en-US"/>
        </w:rPr>
        <w:t xml:space="preserve"> and </w:t>
      </w:r>
      <w:r w:rsidRPr="00D64D5C">
        <w:rPr>
          <w:i/>
          <w:lang w:val="en-US"/>
        </w:rPr>
        <w:t>Case of Rodríguez Vera et al. (the Disappeared from the Palace of Justice) v. Colombia</w:t>
      </w:r>
      <w:r w:rsidRPr="00D64D5C">
        <w:rPr>
          <w:lang w:val="en-US"/>
        </w:rPr>
        <w:t>, para. 48.</w:t>
      </w:r>
    </w:p>
  </w:footnote>
  <w:footnote w:id="32">
    <w:p w:rsidR="0051351F" w:rsidRPr="00D64D5C" w:rsidRDefault="0051351F" w:rsidP="00FC14B8">
      <w:pPr>
        <w:pStyle w:val="Footnotes"/>
        <w:tabs>
          <w:tab w:val="left" w:pos="426"/>
          <w:tab w:val="left" w:pos="540"/>
        </w:tabs>
        <w:spacing w:before="0" w:after="100"/>
        <w:rPr>
          <w:i/>
          <w:lang w:val="en-US"/>
        </w:rPr>
      </w:pPr>
      <w:r w:rsidRPr="00D64D5C">
        <w:rPr>
          <w:rStyle w:val="FootnoteReference"/>
          <w:rFonts w:eastAsia="Batang"/>
          <w:szCs w:val="16"/>
          <w:lang w:val="en-US"/>
        </w:rPr>
        <w:footnoteRef/>
      </w:r>
      <w:r w:rsidRPr="00D64D5C">
        <w:rPr>
          <w:lang w:val="en-US"/>
        </w:rPr>
        <w:t xml:space="preserve"> </w:t>
      </w:r>
      <w:r w:rsidRPr="00D64D5C">
        <w:rPr>
          <w:lang w:val="en-US"/>
        </w:rPr>
        <w:tab/>
      </w:r>
      <w:r w:rsidRPr="00D64D5C">
        <w:rPr>
          <w:lang w:val="en-US"/>
        </w:rPr>
        <w:tab/>
      </w:r>
      <w:r w:rsidRPr="00D64D5C">
        <w:rPr>
          <w:i/>
          <w:lang w:val="en-US"/>
        </w:rPr>
        <w:t xml:space="preserve">Cf. Inter alia, Case of Fairén Garbi and Solís Corrales v. Honduras. </w:t>
      </w:r>
      <w:proofErr w:type="gramStart"/>
      <w:r w:rsidRPr="00D64D5C">
        <w:rPr>
          <w:i/>
          <w:lang w:val="en-US"/>
        </w:rPr>
        <w:t>Merits.</w:t>
      </w:r>
      <w:proofErr w:type="gramEnd"/>
      <w:r w:rsidRPr="00D64D5C">
        <w:rPr>
          <w:i/>
          <w:lang w:val="en-US"/>
        </w:rPr>
        <w:t xml:space="preserve"> </w:t>
      </w:r>
      <w:r w:rsidRPr="00D64D5C">
        <w:rPr>
          <w:lang w:val="en-US"/>
        </w:rPr>
        <w:t xml:space="preserve">Judgment of March 15, 1989. Series C No. 6, paras. 153 to </w:t>
      </w:r>
      <w:proofErr w:type="gramStart"/>
      <w:r w:rsidRPr="00D64D5C">
        <w:rPr>
          <w:lang w:val="en-US"/>
        </w:rPr>
        <w:t>161,</w:t>
      </w:r>
      <w:proofErr w:type="gramEnd"/>
      <w:r w:rsidRPr="00D64D5C">
        <w:rPr>
          <w:lang w:val="en-US"/>
        </w:rPr>
        <w:t xml:space="preserve"> and </w:t>
      </w:r>
      <w:r w:rsidRPr="00D64D5C">
        <w:rPr>
          <w:i/>
          <w:lang w:val="en-US"/>
        </w:rPr>
        <w:t>Case of Rodríguez Vera et al. (the Disappeared from the Palace of Justice) v. Colombia</w:t>
      </w:r>
      <w:r w:rsidRPr="00D64D5C">
        <w:rPr>
          <w:lang w:val="en-US"/>
        </w:rPr>
        <w:t>, para. 48.</w:t>
      </w:r>
    </w:p>
  </w:footnote>
  <w:footnote w:id="33">
    <w:p w:rsidR="0051351F" w:rsidRPr="00D64D5C" w:rsidRDefault="0051351F" w:rsidP="00FC14B8">
      <w:pPr>
        <w:pStyle w:val="Footnotes"/>
        <w:tabs>
          <w:tab w:val="left" w:pos="426"/>
          <w:tab w:val="left" w:pos="540"/>
        </w:tabs>
        <w:spacing w:before="0" w:after="100"/>
        <w:rPr>
          <w:b/>
          <w:lang w:val="en-US"/>
        </w:rPr>
      </w:pPr>
      <w:r w:rsidRPr="00D64D5C">
        <w:rPr>
          <w:rStyle w:val="FootnoteReference"/>
          <w:rFonts w:eastAsia="Batang"/>
          <w:szCs w:val="16"/>
          <w:lang w:val="en-US"/>
        </w:rPr>
        <w:footnoteRef/>
      </w:r>
      <w:r w:rsidRPr="00D64D5C">
        <w:rPr>
          <w:lang w:val="en-US"/>
        </w:rPr>
        <w:t xml:space="preserve"> </w:t>
      </w:r>
      <w:r w:rsidRPr="00D64D5C">
        <w:rPr>
          <w:lang w:val="en-US"/>
        </w:rPr>
        <w:tab/>
      </w:r>
      <w:r w:rsidRPr="00D64D5C">
        <w:rPr>
          <w:lang w:val="en-US"/>
        </w:rPr>
        <w:tab/>
      </w:r>
      <w:r w:rsidRPr="00D64D5C">
        <w:rPr>
          <w:i/>
          <w:lang w:val="en-US"/>
        </w:rPr>
        <w:t xml:space="preserve">Cf. Inter alia, Case of Yvon Neptune vs. Haiti. </w:t>
      </w:r>
      <w:proofErr w:type="gramStart"/>
      <w:r w:rsidRPr="00D64D5C">
        <w:rPr>
          <w:i/>
          <w:lang w:val="en-US"/>
        </w:rPr>
        <w:t>Merits, reparations and costs.</w:t>
      </w:r>
      <w:proofErr w:type="gramEnd"/>
      <w:r w:rsidRPr="00D64D5C">
        <w:rPr>
          <w:i/>
          <w:lang w:val="en-US"/>
        </w:rPr>
        <w:t xml:space="preserve"> </w:t>
      </w:r>
      <w:r w:rsidRPr="00D64D5C">
        <w:rPr>
          <w:lang w:val="en-US"/>
        </w:rPr>
        <w:t xml:space="preserve">Judgment of May 6, 2008. Series C No. 180, para. </w:t>
      </w:r>
      <w:proofErr w:type="gramStart"/>
      <w:r w:rsidRPr="00D64D5C">
        <w:rPr>
          <w:lang w:val="en-US"/>
        </w:rPr>
        <w:t>19,</w:t>
      </w:r>
      <w:proofErr w:type="gramEnd"/>
      <w:r w:rsidRPr="00D64D5C">
        <w:rPr>
          <w:lang w:val="en-US"/>
        </w:rPr>
        <w:t xml:space="preserve"> and </w:t>
      </w:r>
      <w:r w:rsidRPr="00D64D5C">
        <w:rPr>
          <w:i/>
          <w:lang w:val="en-US"/>
        </w:rPr>
        <w:t>Case of Rodríguez Vera et al. (the Disappeared from the Palace of Justice) v. Colombia</w:t>
      </w:r>
      <w:r w:rsidRPr="00D64D5C">
        <w:rPr>
          <w:lang w:val="en-US"/>
        </w:rPr>
        <w:t>, para. 48.</w:t>
      </w:r>
    </w:p>
  </w:footnote>
  <w:footnote w:id="3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ab/>
        <w:t xml:space="preserve">Cf. </w:t>
      </w:r>
      <w:r w:rsidRPr="00D64D5C">
        <w:rPr>
          <w:szCs w:val="16"/>
          <w:lang w:val="en-US"/>
        </w:rPr>
        <w:t>Merits Report of the Inter-American Commission, paras. 43 and 44.</w:t>
      </w:r>
    </w:p>
  </w:footnote>
  <w:footnote w:id="3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Merits Report of the Inter-American Commission, paras. 188, 192 and 222.</w:t>
      </w:r>
    </w:p>
  </w:footnote>
  <w:footnote w:id="3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ab/>
        <w:t>Cf. Case of Tarazona Arrieta et al. v. Peru</w:t>
      </w:r>
      <w:r w:rsidRPr="00D64D5C">
        <w:rPr>
          <w:szCs w:val="16"/>
          <w:lang w:val="en-US"/>
        </w:rPr>
        <w:t>, para. 17.</w:t>
      </w:r>
    </w:p>
  </w:footnote>
  <w:footnote w:id="37">
    <w:p w:rsidR="0051351F" w:rsidRPr="00D64D5C" w:rsidRDefault="0051351F" w:rsidP="00FC14B8">
      <w:pPr>
        <w:pStyle w:val="FootnoteText"/>
        <w:tabs>
          <w:tab w:val="left" w:pos="540"/>
        </w:tabs>
        <w:spacing w:before="0" w:after="100"/>
        <w:rPr>
          <w:bCs/>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St</w:t>
      </w:r>
      <w:r>
        <w:rPr>
          <w:szCs w:val="16"/>
          <w:lang w:val="en-US"/>
        </w:rPr>
        <w:t xml:space="preserve">ate affirmed that it “would officially provide </w:t>
      </w:r>
      <w:r w:rsidRPr="00D64D5C">
        <w:rPr>
          <w:szCs w:val="16"/>
          <w:lang w:val="en-US"/>
        </w:rPr>
        <w:t xml:space="preserve">decent housing in the province of Azuay to ensure the right to life” of Talía Gonzales, and indicated that, if the Court should declare the State’s responsibility, the Ministry of Public Health would continue the Comprehensive Health Care Protocol and would implement outpatient care under the protocol, with access to the necessary </w:t>
      </w:r>
      <w:r w:rsidRPr="00D64D5C">
        <w:rPr>
          <w:bCs/>
          <w:lang w:val="en-US"/>
        </w:rPr>
        <w:t>antiretroviral treatment, and provide psychological support and social assistance to Talía and her mother under the public health network. Also, if the Court should declare its responsibility, the Minister of Health would make a public apology to Talía and her mother with regard to the specific fact acknowledged by the State. It also indicated that, owing to her academic performance, Talía could apply for a scholarship based on merits.</w:t>
      </w:r>
    </w:p>
  </w:footnote>
  <w:footnote w:id="38">
    <w:p w:rsidR="0051351F" w:rsidRPr="00D64D5C" w:rsidRDefault="0051351F" w:rsidP="00FC14B8">
      <w:pPr>
        <w:pStyle w:val="FootnoteText"/>
        <w:tabs>
          <w:tab w:val="left" w:pos="540"/>
          <w:tab w:val="left" w:pos="567"/>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Article 62. Acquiescence</w:t>
      </w:r>
    </w:p>
    <w:p w:rsidR="0051351F" w:rsidRPr="00D64D5C" w:rsidRDefault="0051351F" w:rsidP="00FC14B8">
      <w:pPr>
        <w:pStyle w:val="FootnoteText"/>
        <w:tabs>
          <w:tab w:val="left" w:pos="540"/>
          <w:tab w:val="left" w:pos="567"/>
        </w:tabs>
        <w:spacing w:before="0" w:after="100"/>
        <w:ind w:left="567"/>
        <w:rPr>
          <w:szCs w:val="16"/>
          <w:lang w:val="en-US"/>
        </w:rPr>
      </w:pPr>
      <w:r w:rsidRPr="00D64D5C">
        <w:rPr>
          <w:szCs w:val="16"/>
          <w:lang w:val="en-US"/>
        </w:rPr>
        <w:t xml:space="preserve">If the respondent informs the Court of its acceptance of the facts or its total or partial acquiescence to the claims stated in the presentation of the case or the brief submitted by the alleged victims or their representatives, the Court shall decide, having heard the opinions of all those participating in the proceedings and at the appropriate procedural moment, whether to accept that acquiescence, and shall rule upon its legal effects.   </w:t>
      </w:r>
    </w:p>
  </w:footnote>
  <w:footnote w:id="39">
    <w:p w:rsidR="0051351F" w:rsidRPr="00D64D5C" w:rsidRDefault="0051351F" w:rsidP="00FC14B8">
      <w:pPr>
        <w:pStyle w:val="FootnoteText"/>
        <w:tabs>
          <w:tab w:val="left" w:pos="540"/>
          <w:tab w:val="left" w:pos="567"/>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Article 64. Continuation of a case</w:t>
      </w:r>
    </w:p>
    <w:p w:rsidR="0051351F" w:rsidRPr="00D64D5C" w:rsidRDefault="0051351F" w:rsidP="00FC14B8">
      <w:pPr>
        <w:tabs>
          <w:tab w:val="left" w:pos="540"/>
          <w:tab w:val="left" w:pos="567"/>
          <w:tab w:val="left" w:pos="720"/>
        </w:tabs>
        <w:spacing w:after="100"/>
        <w:ind w:left="567"/>
        <w:rPr>
          <w:sz w:val="16"/>
          <w:szCs w:val="16"/>
          <w:lang w:val="en-US"/>
        </w:rPr>
      </w:pPr>
      <w:r w:rsidRPr="00D64D5C">
        <w:rPr>
          <w:sz w:val="16"/>
          <w:szCs w:val="16"/>
          <w:lang w:val="en-US"/>
        </w:rPr>
        <w:t>Bearing in mind its responsibility to protect human rights, the Court may decide to continue the consideration of a case notwithstanding the existence of the conditions indicated in the preceding articles</w:t>
      </w:r>
    </w:p>
  </w:footnote>
  <w:footnote w:id="40">
    <w:p w:rsidR="0051351F" w:rsidRPr="00D64D5C" w:rsidRDefault="0051351F" w:rsidP="00FC14B8">
      <w:pPr>
        <w:pStyle w:val="FootnoteText"/>
        <w:tabs>
          <w:tab w:val="left" w:pos="540"/>
          <w:tab w:val="left" w:pos="567"/>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b/>
          <w:szCs w:val="16"/>
          <w:lang w:val="en-US"/>
        </w:rPr>
        <w:tab/>
      </w:r>
      <w:r w:rsidRPr="00D64D5C">
        <w:rPr>
          <w:i/>
          <w:szCs w:val="16"/>
          <w:lang w:val="en-US"/>
        </w:rPr>
        <w:t>Cf.</w:t>
      </w:r>
      <w:r w:rsidRPr="00D64D5C">
        <w:rPr>
          <w:b/>
          <w:i/>
          <w:szCs w:val="16"/>
          <w:lang w:val="en-US"/>
        </w:rPr>
        <w:t xml:space="preserve"> </w:t>
      </w:r>
      <w:r w:rsidRPr="00D64D5C">
        <w:rPr>
          <w:bCs/>
          <w:i/>
          <w:szCs w:val="16"/>
          <w:lang w:val="en-US"/>
        </w:rPr>
        <w:t xml:space="preserve">Case of Kimel v. Argentina. </w:t>
      </w:r>
      <w:r w:rsidRPr="00D64D5C">
        <w:rPr>
          <w:i/>
          <w:szCs w:val="16"/>
          <w:lang w:val="en-US"/>
        </w:rPr>
        <w:t>Merits, reparations and costs.</w:t>
      </w:r>
      <w:r w:rsidRPr="00D64D5C">
        <w:rPr>
          <w:szCs w:val="16"/>
          <w:lang w:val="en-US"/>
        </w:rPr>
        <w:t xml:space="preserve"> Judgment of May 2, 2008. Series C No. 177, para. 24, and </w:t>
      </w:r>
      <w:r w:rsidRPr="00D64D5C">
        <w:rPr>
          <w:i/>
          <w:szCs w:val="16"/>
          <w:lang w:val="en-US"/>
        </w:rPr>
        <w:t xml:space="preserve">Case of Gutiérrez and family v. Argentina. Merits, reparations and costs. </w:t>
      </w:r>
      <w:r w:rsidRPr="00D64D5C">
        <w:rPr>
          <w:szCs w:val="16"/>
          <w:lang w:val="en-US"/>
        </w:rPr>
        <w:t>Judgment of November 25, 2013. Series C No. 271, para. 21.</w:t>
      </w:r>
    </w:p>
  </w:footnote>
  <w:footnote w:id="41">
    <w:p w:rsidR="0051351F" w:rsidRPr="00D64D5C" w:rsidRDefault="0051351F" w:rsidP="00FC14B8">
      <w:pPr>
        <w:pStyle w:val="FootnoteText"/>
        <w:tabs>
          <w:tab w:val="left" w:pos="540"/>
          <w:tab w:val="left" w:pos="567"/>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b/>
          <w:i/>
          <w:szCs w:val="16"/>
          <w:lang w:val="en-US"/>
        </w:rPr>
        <w:t xml:space="preserve"> </w:t>
      </w:r>
      <w:r w:rsidRPr="00D64D5C">
        <w:rPr>
          <w:bCs/>
          <w:i/>
          <w:szCs w:val="16"/>
          <w:lang w:val="en-US"/>
        </w:rPr>
        <w:t>Case of Manuel Cepeda Vargas v. Colombia</w:t>
      </w:r>
      <w:r w:rsidRPr="00D64D5C">
        <w:rPr>
          <w:szCs w:val="16"/>
          <w:lang w:val="en-US"/>
        </w:rPr>
        <w:t xml:space="preserve">, para. 17, and </w:t>
      </w:r>
      <w:r w:rsidRPr="00D64D5C">
        <w:rPr>
          <w:i/>
          <w:szCs w:val="16"/>
          <w:lang w:val="en-US"/>
        </w:rPr>
        <w:t>Case of Gutiérrez and family v. Argentina</w:t>
      </w:r>
      <w:r w:rsidRPr="00D64D5C">
        <w:rPr>
          <w:szCs w:val="16"/>
          <w:lang w:val="en-US"/>
        </w:rPr>
        <w:t>, para. 21.</w:t>
      </w:r>
    </w:p>
  </w:footnote>
  <w:footnote w:id="42">
    <w:p w:rsidR="0051351F" w:rsidRPr="00D64D5C" w:rsidRDefault="0051351F" w:rsidP="00FC14B8">
      <w:pPr>
        <w:tabs>
          <w:tab w:val="left" w:pos="540"/>
          <w:tab w:val="left" w:pos="567"/>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Article 62(3) of the Convention establishes: </w:t>
      </w:r>
      <w:r w:rsidRPr="00D64D5C">
        <w:rPr>
          <w:spacing w:val="-3"/>
          <w:sz w:val="16"/>
          <w:szCs w:val="16"/>
          <w:lang w:val="en-US"/>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p>
  </w:footnote>
  <w:footnote w:id="43">
    <w:p w:rsidR="0051351F" w:rsidRPr="00D64D5C" w:rsidRDefault="0051351F" w:rsidP="00FC14B8">
      <w:pPr>
        <w:tabs>
          <w:tab w:val="left" w:pos="540"/>
          <w:tab w:val="left" w:pos="567"/>
        </w:tabs>
        <w:spacing w:after="100"/>
        <w:rPr>
          <w:spacing w:val="-3"/>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Article 63(1) of the Convention establece: </w:t>
      </w:r>
      <w:r w:rsidRPr="00D64D5C">
        <w:rPr>
          <w:spacing w:val="-3"/>
          <w:sz w:val="16"/>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D64D5C">
        <w:rPr>
          <w:sz w:val="16"/>
          <w:szCs w:val="16"/>
          <w:lang w:val="en-US"/>
        </w:rPr>
        <w:t>.</w:t>
      </w:r>
    </w:p>
  </w:footnote>
  <w:footnote w:id="4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Rodríguez Vera et al. (the Disappeared from the Palace of Justice) v. Colombia</w:t>
      </w:r>
      <w:r w:rsidRPr="00D64D5C">
        <w:rPr>
          <w:szCs w:val="16"/>
          <w:lang w:val="en-US"/>
        </w:rPr>
        <w:t>, para. 27.</w:t>
      </w:r>
    </w:p>
  </w:footnote>
  <w:footnote w:id="4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Similarly see what happened in the </w:t>
      </w:r>
      <w:r w:rsidRPr="00D64D5C">
        <w:rPr>
          <w:i/>
          <w:szCs w:val="16"/>
          <w:lang w:val="en-US"/>
        </w:rPr>
        <w:t xml:space="preserve">Case of Veliz Franco et al. v. Guatemala. Preliminary objections, merits, reparations and costs. </w:t>
      </w:r>
      <w:r w:rsidRPr="00D64D5C">
        <w:rPr>
          <w:szCs w:val="16"/>
          <w:lang w:val="en-US"/>
        </w:rPr>
        <w:t xml:space="preserve">Judgment of May 19, 2014. Series C No. 277, para. 24. </w:t>
      </w:r>
    </w:p>
  </w:footnote>
  <w:footnote w:id="46">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The State withdrew the testimony of the expert witnesses Raúl Vallejo, Sebastián González, Blanca Susana Aguilar and María Elena Béjar.</w:t>
      </w:r>
    </w:p>
  </w:footnote>
  <w:footnote w:id="4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ab/>
      </w:r>
      <w:r w:rsidRPr="0051351F">
        <w:rPr>
          <w:i/>
          <w:szCs w:val="16"/>
        </w:rPr>
        <w:t xml:space="preserve">Cf. Case of Velásquez Rodríguez v. Honduras. </w:t>
      </w:r>
      <w:r w:rsidRPr="00D64D5C">
        <w:rPr>
          <w:i/>
          <w:szCs w:val="16"/>
          <w:lang w:val="en-US"/>
        </w:rPr>
        <w:t xml:space="preserve">Merits. </w:t>
      </w:r>
      <w:r w:rsidRPr="00D64D5C">
        <w:rPr>
          <w:szCs w:val="16"/>
          <w:lang w:val="en-US"/>
        </w:rPr>
        <w:t xml:space="preserve">Judgment of July 29, 1988. Series C No. 4, para. 140, and </w:t>
      </w:r>
      <w:r w:rsidRPr="00D64D5C">
        <w:rPr>
          <w:i/>
          <w:szCs w:val="16"/>
          <w:lang w:val="en-US"/>
        </w:rPr>
        <w:t xml:space="preserve">Case of Expelled Dominicans and Haitians v. Dominican Republic. Preliminary objections, merits, reparations and costs. </w:t>
      </w:r>
      <w:r w:rsidRPr="00D64D5C">
        <w:rPr>
          <w:szCs w:val="16"/>
          <w:lang w:val="en-US"/>
        </w:rPr>
        <w:t>Judgment of August 28, 2014. Series C No. 282, para. 113.</w:t>
      </w:r>
    </w:p>
  </w:footnote>
  <w:footnote w:id="4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r>
      <w:r w:rsidRPr="00D64D5C">
        <w:rPr>
          <w:i/>
          <w:szCs w:val="16"/>
          <w:lang w:val="en-US"/>
        </w:rPr>
        <w:t>Cf. Case of Escué Zapata v. Colombia. Merits, reparations and costs</w:t>
      </w:r>
      <w:r w:rsidRPr="00D64D5C">
        <w:rPr>
          <w:szCs w:val="16"/>
          <w:lang w:val="en-US"/>
        </w:rPr>
        <w:t xml:space="preserve">. Judgment of July 4, 2007. Series C No. 165, para. 26, and </w:t>
      </w:r>
      <w:r w:rsidRPr="00D64D5C">
        <w:rPr>
          <w:i/>
          <w:szCs w:val="16"/>
          <w:lang w:val="en-US"/>
        </w:rPr>
        <w:t>Case of Rodríguez Vera et al. (the Disappeared from the Palace of Justice) v. Colombia</w:t>
      </w:r>
      <w:r w:rsidRPr="00D64D5C">
        <w:rPr>
          <w:szCs w:val="16"/>
          <w:lang w:val="en-US"/>
        </w:rPr>
        <w:t>, para. 58.</w:t>
      </w:r>
    </w:p>
  </w:footnote>
  <w:footnote w:id="4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bCs/>
          <w:szCs w:val="16"/>
          <w:lang w:val="en-US"/>
        </w:rPr>
        <w:tab/>
      </w:r>
      <w:r w:rsidRPr="00D64D5C">
        <w:rPr>
          <w:bCs/>
          <w:i/>
          <w:szCs w:val="16"/>
          <w:lang w:val="en-US"/>
        </w:rPr>
        <w:t>Case of the Human Rights Defender et al. v. Guatemala</w:t>
      </w:r>
      <w:r w:rsidRPr="00D64D5C">
        <w:rPr>
          <w:bCs/>
          <w:szCs w:val="16"/>
          <w:lang w:val="en-US"/>
        </w:rPr>
        <w:t>, para. 69</w:t>
      </w:r>
    </w:p>
  </w:footnote>
  <w:footnote w:id="5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bCs/>
          <w:szCs w:val="16"/>
          <w:lang w:val="en-US"/>
        </w:rPr>
        <w:tab/>
      </w:r>
      <w:r w:rsidRPr="00D64D5C">
        <w:rPr>
          <w:bCs/>
          <w:i/>
          <w:szCs w:val="16"/>
          <w:lang w:val="en-US"/>
        </w:rPr>
        <w:t>Case of Rodríguez Vera et al. (the Disappeared from the Palace of Justice) v. Colombia</w:t>
      </w:r>
      <w:r w:rsidRPr="00D64D5C">
        <w:rPr>
          <w:bCs/>
          <w:szCs w:val="16"/>
          <w:lang w:val="en-US"/>
        </w:rPr>
        <w:t>, para. 72</w:t>
      </w:r>
    </w:p>
  </w:footnote>
  <w:footnote w:id="5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the “White Van” (Paniagua Morales et al.) v. Guatemala. Merits. </w:t>
      </w:r>
      <w:r w:rsidRPr="00D64D5C">
        <w:rPr>
          <w:szCs w:val="16"/>
          <w:lang w:val="en-US"/>
        </w:rPr>
        <w:t xml:space="preserve">Judgment of March 8, 1998. Series C No. 37, paras. 69 to 76, and </w:t>
      </w:r>
      <w:r w:rsidRPr="00D64D5C">
        <w:rPr>
          <w:i/>
          <w:szCs w:val="16"/>
          <w:lang w:val="en-US"/>
        </w:rPr>
        <w:t>Case of Tarazona Arrieta et al. v. Peru</w:t>
      </w:r>
      <w:r w:rsidRPr="00D64D5C">
        <w:rPr>
          <w:szCs w:val="16"/>
          <w:lang w:val="en-US"/>
        </w:rPr>
        <w:t xml:space="preserve">, para. 28. </w:t>
      </w:r>
    </w:p>
  </w:footnote>
  <w:footnote w:id="52">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the “White Van” (Paniagua Morales et al.) v. Guatemala</w:t>
      </w:r>
      <w:r w:rsidRPr="00D64D5C">
        <w:rPr>
          <w:szCs w:val="16"/>
          <w:lang w:val="en-US"/>
        </w:rPr>
        <w:t xml:space="preserve">, para. 76, and </w:t>
      </w:r>
      <w:r w:rsidRPr="00D64D5C">
        <w:rPr>
          <w:i/>
          <w:szCs w:val="16"/>
          <w:lang w:val="en-US"/>
        </w:rPr>
        <w:t>Case of Tarazona Arrieta et al. v. Peru</w:t>
      </w:r>
      <w:r w:rsidRPr="00D64D5C">
        <w:rPr>
          <w:szCs w:val="16"/>
          <w:lang w:val="en-US"/>
        </w:rPr>
        <w:t>, para. 28.</w:t>
      </w:r>
    </w:p>
  </w:footnote>
  <w:footnote w:id="53">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Loayza Tamayo v. Peru. Merits. </w:t>
      </w:r>
      <w:r w:rsidRPr="00D64D5C">
        <w:rPr>
          <w:szCs w:val="16"/>
          <w:lang w:val="en-US"/>
        </w:rPr>
        <w:t xml:space="preserve">Judgment of September 17, 1997. Series C No. 33, para. 43, and </w:t>
      </w:r>
      <w:r w:rsidRPr="00D64D5C">
        <w:rPr>
          <w:i/>
          <w:szCs w:val="16"/>
          <w:lang w:val="en-US"/>
        </w:rPr>
        <w:t xml:space="preserve">Case of J. v. Peru. Preliminary objection, Merits, reparations and costs. </w:t>
      </w:r>
      <w:r w:rsidRPr="00D64D5C">
        <w:rPr>
          <w:szCs w:val="16"/>
          <w:lang w:val="en-US"/>
        </w:rPr>
        <w:t xml:space="preserve">Judgment of November 27, 2013. Series C No. 275, para. 49. </w:t>
      </w:r>
    </w:p>
  </w:footnote>
  <w:footnote w:id="5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Results of HIV tests on the mother, brother and father of Talía Gonzales Lluy of October 23 and November 24, 1998, delivered to the Fourth Criminal Judge on December 14, 1998 </w:t>
      </w:r>
      <w:r w:rsidRPr="00D64D5C">
        <w:rPr>
          <w:rFonts w:cs="Arial"/>
          <w:szCs w:val="16"/>
          <w:lang w:val="en-US"/>
        </w:rPr>
        <w:t>(</w:t>
      </w:r>
      <w:r w:rsidRPr="00D64D5C">
        <w:rPr>
          <w:szCs w:val="16"/>
          <w:lang w:val="en-US"/>
        </w:rPr>
        <w:t>evidence file, folios 46 to 48).</w:t>
      </w:r>
    </w:p>
  </w:footnote>
  <w:footnote w:id="55">
    <w:p w:rsidR="0051351F" w:rsidRPr="00D64D5C" w:rsidRDefault="0051351F" w:rsidP="00FC14B8">
      <w:pPr>
        <w:tabs>
          <w:tab w:val="left" w:pos="540"/>
        </w:tabs>
        <w:spacing w:after="100"/>
        <w:rPr>
          <w:rFonts w:eastAsia="Times New Roman" w:cs="Arial"/>
          <w:noProof w:val="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hyperlink r:id="rId3" w:history="1">
        <w:r w:rsidRPr="00D64D5C">
          <w:rPr>
            <w:rStyle w:val="Hyperlink"/>
            <w:sz w:val="16"/>
            <w:szCs w:val="16"/>
            <w:lang w:val="en-US"/>
          </w:rPr>
          <w:t>http://www.who.int/topics/hiv_aids/en/</w:t>
        </w:r>
      </w:hyperlink>
      <w:r w:rsidRPr="00D64D5C">
        <w:rPr>
          <w:sz w:val="16"/>
          <w:szCs w:val="16"/>
          <w:lang w:val="en-US"/>
        </w:rPr>
        <w:t xml:space="preserve">. </w:t>
      </w:r>
      <w:r w:rsidRPr="00D64D5C">
        <w:rPr>
          <w:rFonts w:cs="Helvetica"/>
          <w:sz w:val="16"/>
          <w:szCs w:val="16"/>
          <w:shd w:val="clear" w:color="auto" w:fill="FFFFFF"/>
          <w:lang w:val="en-US"/>
        </w:rPr>
        <w:t>UNAIDS has indicated that</w:t>
      </w:r>
      <w:r w:rsidRPr="00D64D5C">
        <w:rPr>
          <w:sz w:val="16"/>
          <w:szCs w:val="16"/>
          <w:lang w:val="en-US"/>
        </w:rPr>
        <w:t xml:space="preserve"> HIV is a “</w:t>
      </w:r>
      <w:r w:rsidRPr="00D64D5C">
        <w:rPr>
          <w:rFonts w:eastAsia="Times New Roman" w:cs="Arial"/>
          <w:noProof w:val="0"/>
          <w:sz w:val="16"/>
          <w:szCs w:val="16"/>
          <w:lang w:val="en-US"/>
        </w:rPr>
        <w:t>retrovirus that infects cells of the human immune system (mainly CD4 positive T cells and macrophages — key components of the cellular immune system), and destroys or impairs their function. Infection with this virus results in the progressive deterioration of the immune system, leading to 'immune deficiency'.</w:t>
      </w:r>
      <w:r w:rsidRPr="00D64D5C">
        <w:rPr>
          <w:sz w:val="16"/>
          <w:szCs w:val="16"/>
          <w:lang w:val="en-US"/>
        </w:rPr>
        <w:t xml:space="preserve">” </w:t>
      </w:r>
      <w:hyperlink r:id="rId4" w:history="1">
        <w:r w:rsidRPr="00D64D5C">
          <w:rPr>
            <w:rStyle w:val="Hyperlink"/>
            <w:sz w:val="16"/>
            <w:szCs w:val="16"/>
            <w:lang w:val="en-US"/>
          </w:rPr>
          <w:t>http://data.unaids.org/pub/FactSheet/2008/20080519_ fastfacts_hiv_en.pdf</w:t>
        </w:r>
      </w:hyperlink>
    </w:p>
  </w:footnote>
  <w:footnote w:id="56">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United Nations, General Assembly, “Political Declaration on HIV and AIDS: Intensifying Our Efforts to Eliminate HIV and AIDS, A/RES/65/277, 8 July 2011 (hereinafter UN Resolution HIV/AIDS 2011), at </w:t>
      </w:r>
      <w:hyperlink r:id="rId5" w:history="1">
        <w:r w:rsidRPr="00D64D5C">
          <w:rPr>
            <w:rStyle w:val="Hyperlink"/>
            <w:szCs w:val="16"/>
            <w:lang w:val="en-US"/>
          </w:rPr>
          <w:t>http://daccess-dds-ny.un.org/doc/UNDOC/GEN/N10/529/16/PDF/N1052916.pdf?OpenElement</w:t>
        </w:r>
      </w:hyperlink>
      <w:r w:rsidRPr="00D64D5C">
        <w:rPr>
          <w:szCs w:val="16"/>
          <w:lang w:val="en-US"/>
        </w:rPr>
        <w:t xml:space="preserve">, para. </w:t>
      </w:r>
      <w:r w:rsidRPr="0051351F">
        <w:rPr>
          <w:szCs w:val="16"/>
        </w:rPr>
        <w:t>7.</w:t>
      </w:r>
    </w:p>
  </w:footnote>
  <w:footnote w:id="57">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t xml:space="preserve">See: </w:t>
      </w:r>
      <w:r w:rsidRPr="0051351F">
        <w:rPr>
          <w:i/>
          <w:szCs w:val="16"/>
        </w:rPr>
        <w:t>Reseña Histórica de la Cruz Roja en Ecuador</w:t>
      </w:r>
      <w:r w:rsidRPr="0051351F">
        <w:rPr>
          <w:szCs w:val="16"/>
        </w:rPr>
        <w:t xml:space="preserve">. Available at:  </w:t>
      </w:r>
      <w:hyperlink r:id="rId6" w:history="1">
        <w:r w:rsidRPr="0051351F">
          <w:rPr>
            <w:rStyle w:val="Hyperlink"/>
            <w:color w:val="auto"/>
            <w:szCs w:val="16"/>
          </w:rPr>
          <w:t>http://www.cruzroja.org.ec/index.php/quienes-somos/resena-historica</w:t>
        </w:r>
      </w:hyperlink>
      <w:r w:rsidRPr="0051351F">
        <w:t>.</w:t>
      </w:r>
      <w:r w:rsidRPr="0051351F">
        <w:rPr>
          <w:szCs w:val="16"/>
        </w:rPr>
        <w:t xml:space="preserve"> </w:t>
      </w:r>
    </w:p>
  </w:footnote>
  <w:footnote w:id="5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t xml:space="preserve">Ver </w:t>
      </w:r>
      <w:r w:rsidRPr="0051351F">
        <w:rPr>
          <w:i/>
          <w:szCs w:val="16"/>
        </w:rPr>
        <w:t>Reseña Histórica de la Cruz Roja en Ecuador</w:t>
      </w:r>
      <w:r w:rsidRPr="0051351F">
        <w:rPr>
          <w:szCs w:val="16"/>
        </w:rPr>
        <w:t>.</w:t>
      </w:r>
      <w:r w:rsidRPr="0051351F">
        <w:rPr>
          <w:b/>
          <w:szCs w:val="16"/>
        </w:rPr>
        <w:t xml:space="preserve"> </w:t>
      </w:r>
      <w:r w:rsidRPr="00D64D5C">
        <w:rPr>
          <w:rStyle w:val="Strong"/>
          <w:b w:val="0"/>
          <w:szCs w:val="16"/>
          <w:shd w:val="clear" w:color="auto" w:fill="FFFFFF"/>
          <w:lang w:val="en-US"/>
        </w:rPr>
        <w:t>Formalization of the Ecuadorian Red Cross</w:t>
      </w:r>
      <w:r w:rsidRPr="00D64D5C">
        <w:rPr>
          <w:szCs w:val="16"/>
          <w:lang w:val="en-US"/>
        </w:rPr>
        <w:t xml:space="preserve">, Available at: </w:t>
      </w:r>
      <w:hyperlink r:id="rId7" w:history="1">
        <w:r w:rsidRPr="00D64D5C">
          <w:rPr>
            <w:rStyle w:val="Hyperlink"/>
            <w:color w:val="auto"/>
            <w:szCs w:val="16"/>
            <w:lang w:val="en-US"/>
          </w:rPr>
          <w:t>http://www.cruzroja.org.ec/plantilla_texto.php?id_submenu1=2&amp;id_menu=2</w:t>
        </w:r>
      </w:hyperlink>
      <w:r w:rsidRPr="00D64D5C">
        <w:rPr>
          <w:lang w:val="en-US"/>
        </w:rPr>
        <w:t>.</w:t>
      </w:r>
    </w:p>
  </w:footnote>
  <w:footnote w:id="5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Ecuadorian Red Cross</w:t>
      </w:r>
      <w:r w:rsidRPr="00D64D5C">
        <w:rPr>
          <w:rFonts w:cs="ArialMT"/>
          <w:szCs w:val="16"/>
          <w:lang w:val="en-US"/>
        </w:rPr>
        <w:t xml:space="preserve"> is composed of national agencies and provincial, cantonal and parish committees, in accordance with the decisions of the 1863 International Conference of Geneva and the Principles of the 1906 Geneva Convention.</w:t>
      </w:r>
    </w:p>
  </w:footnote>
  <w:footnote w:id="6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Inter-American Commission cited as a source to determine this fact the electronic link: </w:t>
      </w:r>
      <w:hyperlink r:id="rId8" w:history="1">
        <w:r w:rsidRPr="00D64D5C">
          <w:rPr>
            <w:rStyle w:val="Hyperlink"/>
            <w:color w:val="auto"/>
            <w:szCs w:val="16"/>
            <w:lang w:val="en-US"/>
          </w:rPr>
          <w:t>http://www.cruzroja.org.ec/plantilla_texto.php?id_submenu1=2&amp;id_menu=2</w:t>
        </w:r>
      </w:hyperlink>
      <w:r w:rsidRPr="00D64D5C">
        <w:rPr>
          <w:szCs w:val="16"/>
          <w:lang w:val="en-US"/>
        </w:rPr>
        <w:t xml:space="preserve">. This fact has not been contested by the parties. Nevertheless, the Court notes that this webpage was not available when this Judgment was delivered. In this regard, the Court notes that it is possible to access an inter-institutional framework cooperation agreement which mentions the statutes of the Ecuadorian Red Cross and its nature as a private corporation governed by the Civil Code at: </w:t>
      </w:r>
      <w:hyperlink r:id="rId9" w:history="1">
        <w:r w:rsidRPr="00D64D5C">
          <w:rPr>
            <w:rStyle w:val="Hyperlink"/>
            <w:szCs w:val="16"/>
            <w:lang w:val="en-US"/>
          </w:rPr>
          <w:t>http://www.gazzettaamministrativa.it/opencms/export/sites/default/_gazzetta_amministrativa/amministrazione_ trasparente/_agenzie_enti_stato/_croce_rossa_iTalíana/090_prov/010_pro_org_ind_pol/2013/Documenti_1383666871662/1383666873832_accordo_con_croce_rossa_ecuador.pdf</w:t>
        </w:r>
      </w:hyperlink>
      <w:r w:rsidRPr="00D64D5C">
        <w:rPr>
          <w:szCs w:val="16"/>
          <w:lang w:val="en-US"/>
        </w:rPr>
        <w:t>.</w:t>
      </w:r>
    </w:p>
  </w:footnote>
  <w:footnote w:id="6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See Ecuadorian Red Cross, Azuay Provincial Committee. Red Cross Blood Bank </w:t>
      </w:r>
      <w:hyperlink r:id="rId10" w:anchor="!banco-de-sangre/cyjt" w:history="1">
        <w:r w:rsidRPr="00D64D5C">
          <w:rPr>
            <w:rStyle w:val="Hyperlink"/>
            <w:color w:val="auto"/>
            <w:szCs w:val="16"/>
            <w:lang w:val="en-US"/>
          </w:rPr>
          <w:t>http://www.cruzrojazuay.org/#!banco-de-sangre/cyjt</w:t>
        </w:r>
      </w:hyperlink>
      <w:r w:rsidRPr="00D64D5C">
        <w:rPr>
          <w:lang w:val="en-US"/>
        </w:rPr>
        <w:t>.</w:t>
      </w:r>
      <w:r w:rsidRPr="00D64D5C">
        <w:rPr>
          <w:szCs w:val="16"/>
          <w:lang w:val="en-US"/>
        </w:rPr>
        <w:t xml:space="preserve">   </w:t>
      </w:r>
    </w:p>
  </w:footnote>
  <w:footnote w:id="6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Health Code of Ecuador (evidence file, folios 2643 to 2658).</w:t>
      </w:r>
    </w:p>
  </w:footnote>
  <w:footnote w:id="6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Official Gazette No. 794. Regulation 8001. Decison on the compulsory nature of performing HIV testing on all blood units and products of October 20, 1987 (evidence file, folios 2680 to 2704). </w:t>
      </w:r>
    </w:p>
  </w:footnote>
  <w:footnote w:id="6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Official Gazette No. 882. Regulations of the National System for the supply and use of blood and blood products of February 25, 1992 (evidence file, folios 2713 to 2716). According to these regulations, the Ecuadorian Red Cross, the entity that headed and regulated the National System for the supply and use of blood and blood, had the following auxiliary bodies: the National Blood Committee, the National Blood Secretariat, Blood Banks and Blood Deposits and, with regard to the blood banks, these were responsible for the registration, obtaining, donation, conservation, processing, distribution and supply of human blood and blood products. </w:t>
      </w:r>
    </w:p>
  </w:footnote>
  <w:footnote w:id="6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Manual of </w:t>
      </w:r>
      <w:r w:rsidRPr="00D64D5C">
        <w:rPr>
          <w:lang w:val="en-US"/>
        </w:rPr>
        <w:t xml:space="preserve">of Standards for Blood Banks and Deposits, and Transfusion Services </w:t>
      </w:r>
      <w:r w:rsidRPr="00D64D5C">
        <w:rPr>
          <w:szCs w:val="16"/>
          <w:lang w:val="en-US"/>
        </w:rPr>
        <w:t xml:space="preserve">of August 31, 1998 (evidence file, folios 2730 to 2759). Helpful evidence that was received on July 21, 2015. </w:t>
      </w:r>
    </w:p>
  </w:footnote>
  <w:footnote w:id="6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Constitution of the Republic of Ecuador of August 11, 1998</w:t>
      </w:r>
      <w:r w:rsidRPr="00D64D5C">
        <w:rPr>
          <w:szCs w:val="16"/>
          <w:lang w:val="en-US"/>
        </w:rPr>
        <w:t xml:space="preserve">, Article 22.15. </w:t>
      </w:r>
    </w:p>
  </w:footnote>
  <w:footnote w:id="6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supply and use of blood and blood products in Ecuador shall be the exclusive responsibility of the Ecuadorian Red Cross, the institutions that shall organize, to this end, a system of blood banks and storage facilities, in the cities and medical services that require them […]. The Ministry of Public Health, the Ecuadorian Social Security Institute, the Armed Forces and the Guayaquil Welfare Board, shall continue to manage the blood banks and storage facilities attached to their medical organizations, under the regulatory control and coordination of the Ecuadorian Red Cross. Official Gazette No. 559. Law on the supply and use of blood and blood products of November 7, 1986 (evidence file, folio 2661). </w:t>
      </w:r>
    </w:p>
  </w:footnote>
  <w:footnote w:id="6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Official Gazette No. 774. Regulation 170. Law on voluntary blood donors of June 29, 1984.</w:t>
      </w:r>
    </w:p>
  </w:footnote>
  <w:footnote w:id="6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State did not contest the facts relating to Talía’s hospitalization and blood transfusion. These facts were also established in the context of the domestic criminal proceedings.</w:t>
      </w:r>
    </w:p>
  </w:footnote>
  <w:footnote w:id="7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w:t>
      </w:r>
      <w:r w:rsidRPr="00D64D5C">
        <w:rPr>
          <w:lang w:val="en-US"/>
        </w:rPr>
        <w:t xml:space="preserve">Immune thrombocytopenic purpura (ITP), also called idiopathic thrombocytopenic purpura (ITP) is a hemorrhagic disorder characaterized by the premature destruction of platelets owing to the union of an antibody, usually of the IgG type, to the </w:t>
      </w:r>
      <w:r w:rsidRPr="00D64D5C">
        <w:rPr>
          <w:bCs/>
          <w:lang w:val="en-US"/>
        </w:rPr>
        <w:t xml:space="preserve">glycoprotein platelets and the subsequent elimination through </w:t>
      </w:r>
      <w:r w:rsidRPr="00D64D5C">
        <w:rPr>
          <w:lang w:val="en-US"/>
        </w:rPr>
        <w:t>the mononuclear phagocyte system</w:t>
      </w:r>
      <w:r w:rsidRPr="00D64D5C">
        <w:rPr>
          <w:szCs w:val="16"/>
          <w:lang w:val="en-US"/>
        </w:rPr>
        <w:t>.</w:t>
      </w:r>
      <w:r w:rsidRPr="00D64D5C">
        <w:rPr>
          <w:rFonts w:cs="Arial"/>
          <w:szCs w:val="16"/>
          <w:lang w:val="en-US"/>
        </w:rPr>
        <w:t>”</w:t>
      </w:r>
      <w:r w:rsidRPr="00D64D5C">
        <w:rPr>
          <w:szCs w:val="16"/>
          <w:lang w:val="en-US"/>
        </w:rPr>
        <w:t xml:space="preserve"> </w:t>
      </w:r>
      <w:r w:rsidRPr="0051351F">
        <w:rPr>
          <w:i/>
          <w:szCs w:val="16"/>
        </w:rPr>
        <w:t>Guía de Práctica Clínica, Diagnóstico and Tratamiento de Púrpura</w:t>
      </w:r>
      <w:r w:rsidRPr="0051351F">
        <w:rPr>
          <w:rFonts w:cs="Arial"/>
          <w:i/>
          <w:szCs w:val="16"/>
        </w:rPr>
        <w:t xml:space="preserve"> Trombocitopénica Inmunológica</w:t>
      </w:r>
      <w:r w:rsidRPr="0051351F">
        <w:rPr>
          <w:rFonts w:cs="Arial"/>
          <w:szCs w:val="16"/>
        </w:rPr>
        <w:t xml:space="preserve">, Mexico, Health Secretariat, 2009. </w:t>
      </w:r>
      <w:r w:rsidRPr="00D64D5C">
        <w:rPr>
          <w:rFonts w:cs="Arial"/>
          <w:szCs w:val="16"/>
          <w:lang w:val="en-US"/>
        </w:rPr>
        <w:t xml:space="preserve">Available at </w:t>
      </w:r>
      <w:hyperlink r:id="rId11" w:history="1">
        <w:r w:rsidRPr="00D64D5C">
          <w:rPr>
            <w:rStyle w:val="Hyperlink"/>
            <w:rFonts w:cs="Arial"/>
            <w:szCs w:val="16"/>
            <w:lang w:val="en-US"/>
          </w:rPr>
          <w:t>http://www.cenetec.salud.gob.mx/descargas/gpc/CatalogoMaestro/ 143_GPC_PURPURA_TROMBOCITOP/Imss_ER.pdf</w:t>
        </w:r>
      </w:hyperlink>
      <w:r w:rsidRPr="00D64D5C">
        <w:rPr>
          <w:rStyle w:val="Hyperlink"/>
          <w:rFonts w:cs="Arial"/>
          <w:color w:val="auto"/>
          <w:szCs w:val="16"/>
          <w:lang w:val="en-US"/>
        </w:rPr>
        <w:t>.</w:t>
      </w:r>
      <w:r w:rsidRPr="00D64D5C">
        <w:rPr>
          <w:rFonts w:cs="Arial"/>
          <w:szCs w:val="16"/>
          <w:lang w:val="en-US"/>
        </w:rPr>
        <w:t xml:space="preserve"> </w:t>
      </w:r>
      <w:r w:rsidRPr="00D64D5C">
        <w:rPr>
          <w:szCs w:val="16"/>
          <w:lang w:val="en-US"/>
        </w:rPr>
        <w:t xml:space="preserve">The Court considers that the said document is useful for the analysis of this case; it therefore incorporates it </w:t>
      </w:r>
      <w:r w:rsidRPr="00D64D5C">
        <w:rPr>
          <w:i/>
          <w:szCs w:val="16"/>
          <w:lang w:val="en-US"/>
        </w:rPr>
        <w:t>ex officio</w:t>
      </w:r>
      <w:r w:rsidRPr="00D64D5C">
        <w:rPr>
          <w:szCs w:val="16"/>
          <w:lang w:val="en-US"/>
        </w:rPr>
        <w:t xml:space="preserve"> into the body of evidence under Article 58(a) of its Rules of Procedure.</w:t>
      </w:r>
    </w:p>
  </w:footnote>
  <w:footnote w:id="7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Regarding Talía’s medical condition when she was admitted to the Humanitarian Clinic, Dr. PMT indicated that “her clinical condition was characterized by hemorrhages in different places, both nasal and of the skin and mucous membranes; as a result of this, when she was examined she was extremely pale […] and her vital signs were on the point of failing, […] the general situation of the child was extremely precarious and she was at death’s door […].” Testimony of PMT of November 30, 1998, before the Fourth Criminal Judge of Azuay </w:t>
      </w:r>
      <w:r w:rsidRPr="00D64D5C">
        <w:rPr>
          <w:rFonts w:cs="Arial"/>
          <w:szCs w:val="16"/>
          <w:lang w:val="en-US"/>
        </w:rPr>
        <w:t>(</w:t>
      </w:r>
      <w:r w:rsidRPr="00D64D5C">
        <w:rPr>
          <w:szCs w:val="16"/>
          <w:lang w:val="en-US"/>
        </w:rPr>
        <w:t>evidence file, folio 442).</w:t>
      </w:r>
    </w:p>
  </w:footnote>
  <w:footnote w:id="7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expert opinion provided to </w:t>
      </w:r>
      <w:r w:rsidRPr="00D64D5C">
        <w:rPr>
          <w:rFonts w:cs="Arial"/>
          <w:szCs w:val="16"/>
          <w:lang w:val="en-US"/>
        </w:rPr>
        <w:t>the Fourth Criminal Judge of Azuay, PMT and MRR told the expert witnesses that tests performed on an emergency basis after 6 p.m. were not recorded in a ledger or log; but rather carried out by the staff on the evening shift and verified the following day. Expert opinion provided by JPR and NVI before the Fourth Criminal Judge of Azuay on August 17, 1999 (</w:t>
      </w:r>
      <w:r w:rsidRPr="00D64D5C">
        <w:rPr>
          <w:szCs w:val="16"/>
          <w:lang w:val="en-US"/>
        </w:rPr>
        <w:t>evidence file, folio 97).</w:t>
      </w:r>
    </w:p>
  </w:footnote>
  <w:footnote w:id="7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State did not contest the facts relating to the infection.</w:t>
      </w:r>
    </w:p>
  </w:footnote>
  <w:footnote w:id="7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Complaint filed before the Criminal Judge on September 29, 1998,  (evidence file, folio 382).</w:t>
      </w:r>
    </w:p>
  </w:footnote>
  <w:footnote w:id="7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Order to investigate the alleged offense issued by the Fourth Criminal Judge of Azuay on October 19, 1998 (evidence file, folio 385).</w:t>
      </w:r>
    </w:p>
  </w:footnote>
  <w:footnote w:id="7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In the context of the criminal case instituted by Teresa Lluy, three inspections were made of the Azuay Red Cross Blood Bank. The first one was made on December 11, 1998, when the experts, CCC and GCVR, accompanied by the Fourth Criminal Judge of Azuay and his secretary inspected the premises and the logbook. On May 18, 2000, a second visit was made to the Blood Bank. This time Ms. KA and Ms. MB were designated as experts, and they accompanied the Fourth Judge and his secretary, and inspected the Blood Bank’s files. During the inspection of May 18, 2000, it was noted that each donor had a code that was entered into the computer database, and that Mr. HSA and another five persons were identified with the numbers 43137, 43144, 43141, 43149, 43146 and 43142, respectively. In the record of the inspection it was noted that donor 43137 had tested positive for HIV; and it was recorded that “from the documents seen, it was verified that no tests on the donors in question were performed on June 22, 1998, but rather on June 23, 1999. In addition, the dates on which the tests were performed are smudged and other dates are also smudged.” It was also recorded that EOQ had stated that, prior to December 1998, donations received after 6 p.m. and at weekends were not recorded. The last inspection took place on June 22, 2001, by the experts, RRC and GTS, and the Fourth Judge. During this inspection, it was concluded that the qualitative methods used were not reliable, because the tests should have been corroborated by reference methods such as the “Western Blot and Micro – ELISA” which the Red Cross did not have. Record of the inspection in the offices of the Red Cross in the presence of the Fourth Criminal Judge of Azuay on December 11, 1998 (evidence file, folios 42 and 13); record of the inspection in the offices of the Red Cross in the presence of the Fourth Criminal Judge of Azuay on May 18, 2000 (evidence file, folios 145 and 146), and record of the inspection in the offices of the Red Cross in the presence of the Fourth Criminal Judge of Azuay on June 22, 2001 (evidence file, folios 221 and 222).</w:t>
      </w:r>
    </w:p>
  </w:footnote>
  <w:footnote w:id="77">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Cf.</w:t>
      </w:r>
      <w:r w:rsidRPr="00D64D5C">
        <w:rPr>
          <w:i/>
          <w:szCs w:val="16"/>
          <w:lang w:val="en-US"/>
        </w:rPr>
        <w:t xml:space="preserve"> </w:t>
      </w:r>
      <w:r w:rsidRPr="00D64D5C">
        <w:rPr>
          <w:sz w:val="16"/>
          <w:szCs w:val="16"/>
          <w:lang w:val="en-US"/>
        </w:rPr>
        <w:t>Testimony of PMT before Investigator No. 30 of the Ecuadorian National Police of October 19, 1998 (evidence file, folios 403 to 405).</w:t>
      </w:r>
    </w:p>
  </w:footnote>
  <w:footnote w:id="78">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 xml:space="preserve">Testimony of EOQ before Investigator No. 30 of the Ecuadorian National Police of October 19, 1998 (evidence file, folio 407). </w:t>
      </w:r>
    </w:p>
  </w:footnote>
  <w:footnote w:id="79">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 xml:space="preserve">Testimony of HSA before Investigator No. 30 of the Ecuadorian National Police of October 20, 1998 (evidence file, folio 409).  </w:t>
      </w:r>
    </w:p>
  </w:footnote>
  <w:footnote w:id="80">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 xml:space="preserve">Testimony of Teresa Lluy before Investigator No. 30 of the Ecuadorian National Police of November 15, 1998 (evidence file, folio 411). </w:t>
      </w:r>
    </w:p>
  </w:footnote>
  <w:footnote w:id="81">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t xml:space="preserve"> </w:t>
      </w:r>
      <w:r w:rsidRPr="00D64D5C">
        <w:rPr>
          <w:i/>
          <w:sz w:val="16"/>
          <w:szCs w:val="16"/>
          <w:lang w:val="en-US"/>
        </w:rPr>
        <w:t xml:space="preserve">Cf. </w:t>
      </w:r>
      <w:r w:rsidRPr="00D64D5C">
        <w:rPr>
          <w:sz w:val="16"/>
          <w:szCs w:val="16"/>
          <w:lang w:val="en-US"/>
        </w:rPr>
        <w:t xml:space="preserve">Testimony of HSA before the Fourth Criminal Judge of Azuay of November 18, 1998 (evidence file, folio 392). </w:t>
      </w:r>
    </w:p>
  </w:footnote>
  <w:footnote w:id="82">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Testimony of MRR before the Fourth Criminal Judge of Azuay of December 14, 1998 (evidence file, folio 44).</w:t>
      </w:r>
    </w:p>
  </w:footnote>
  <w:footnote w:id="8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Brief of Teresa Lluy submitted to the Fourth Criminal Prosecutor, presenting the results of the HIV tests performed on Teresa and Iván Lluy at the National Health Institute; and on SGO in the General Hospital of the Armed Forces No. 1, of December 14, 1998 (evidence file, folios 46 to 49).</w:t>
      </w:r>
    </w:p>
  </w:footnote>
  <w:footnote w:id="8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Gynecological certificate of Talía Gonzales Lluy, issued by the Ministry of Public Health, Cuenca, Pumapungo, on October 27, 1998 </w:t>
      </w:r>
      <w:r w:rsidRPr="00D64D5C">
        <w:rPr>
          <w:rFonts w:cs="Arial"/>
          <w:szCs w:val="16"/>
          <w:lang w:val="en-US"/>
        </w:rPr>
        <w:t>(</w:t>
      </w:r>
      <w:r w:rsidRPr="00D64D5C">
        <w:rPr>
          <w:szCs w:val="16"/>
          <w:lang w:val="en-US"/>
        </w:rPr>
        <w:t>evidence file, folio 45).</w:t>
      </w:r>
    </w:p>
  </w:footnote>
  <w:footnote w:id="8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Fourth Criminal Court of June 5, 1999 (evidence file, folio 83).</w:t>
      </w:r>
    </w:p>
  </w:footnote>
  <w:footnote w:id="8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Record of assumption of functions of JPR and NVI before the Fourth Criminal Court of July 28, 1999 (evidence file, folio 84).</w:t>
      </w:r>
    </w:p>
  </w:footnote>
  <w:footnote w:id="8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provided to the Fourth Criminal Court by Drs. JPR and NVI dated August 16, 1999 (evidence file, folios 91 to 98).</w:t>
      </w:r>
    </w:p>
  </w:footnote>
  <w:footnote w:id="8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Expert opinion provided to the Fourth Criminal Court by Drs. JPR and NVI dated August 16, 1999 (evidence file, folios 91 to 98). On this point, the experts clarified that “recently extracted whole blood is used, or blood that has been extracted within six hours at most.” Following procedures describd by the experts, the result is that “from one unit of fresh whole blood initially extracted from a donor we have obtain three fractions distributed in three different blood bags: one bag of red blood cells (concentrate of red blood cells), one of platelet-poor plasma, and one with the platelet concentrate.” They added that “centrifuge time is exact, but the time required for the Blood Bank to deliver the platelets varies (but, in any case, this should be within six hours of the extraction of the blood from the donor), because it will depend on working conditions and, at least, the following situations should be taken into consideration: first, have available (as in the case that is being investigated) two donor with the same blood group as the receiver, because two concentrates of platelets had been requested […] [illegible], this time all the tests should be performed […] [illegible] of the donor (antibody for HIV/AIDS, antibody for Hepatitis C, </w:t>
      </w:r>
      <w:r w:rsidRPr="00D64D5C">
        <w:rPr>
          <w:lang w:val="en-US"/>
        </w:rPr>
        <w:t>Hep</w:t>
      </w:r>
      <w:r w:rsidRPr="00D64D5C">
        <w:rPr>
          <w:bCs/>
          <w:lang w:val="en-US"/>
        </w:rPr>
        <w:t xml:space="preserve">atitis B surface antigen, testing for syphilis, etc.), and all this in addition to the other work </w:t>
      </w:r>
      <w:r w:rsidRPr="00D64D5C">
        <w:rPr>
          <w:szCs w:val="16"/>
          <w:lang w:val="en-US"/>
        </w:rPr>
        <w:t>of the Blood Bank.” The experts described this additional work, concluding that all the foregoing would depend on the staffl available at the Blood Bank.</w:t>
      </w:r>
    </w:p>
  </w:footnote>
  <w:footnote w:id="89">
    <w:p w:rsidR="0051351F" w:rsidRPr="00D64D5C" w:rsidRDefault="0051351F" w:rsidP="00FC14B8">
      <w:pPr>
        <w:tabs>
          <w:tab w:val="left" w:pos="540"/>
        </w:tabs>
        <w:spacing w:after="100"/>
        <w:ind w:hanging="540"/>
        <w:rPr>
          <w:sz w:val="16"/>
          <w:szCs w:val="16"/>
          <w:lang w:val="en-US"/>
        </w:rPr>
      </w:pPr>
      <w:r w:rsidRPr="00D64D5C">
        <w:rPr>
          <w:sz w:val="16"/>
          <w:szCs w:val="16"/>
          <w:lang w:val="en-US"/>
        </w:rPr>
        <w:tab/>
      </w: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Expert opinion of Drs. JPR and NVI dated August 16 1999 (evidence file, folios 91 to 98). On this point, they indicated that this information was taken from the computer print-out of the Transfusion Records of the Azuay Red Cross and from photocopies of the forms completed by the donors, because, the Blood Bank told them that it “did not have a notebook.”</w:t>
      </w:r>
    </w:p>
  </w:footnote>
  <w:footnote w:id="9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Drs. JPR and NVI of August 16 1999 (evidence file, folios 91 to 98). On this point, they indicated that these contradictions are based on a situation described that was impossible in scientific terms, and on the name of the employee who had presumably taken one of the samples and who, according to the testimony, was not working there at the time indicated. They added that, “the Blood Bank does not have a record of the times at which the units were extracted from the donors.”</w:t>
      </w:r>
    </w:p>
  </w:footnote>
  <w:footnote w:id="9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opinions of Drs. JPR and NVI of August 16 1999 (evidence file, folios 91 to 98). On this point, the experts indicated that, “according to information provided verbally by Dr. PMT and Ms. [MR], the tests performed urgently after 6 p.m. […] were not recorded in any ledger or log; rather, they state that the tests are performed by the staff on duty and are verified the following day.”</w:t>
      </w:r>
    </w:p>
  </w:footnote>
  <w:footnote w:id="9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Similarly, regarding the time within which it is possible to detect the presece of HIV following a blood transfusion with contaminated platelets, the experts indicated that this can be done using “viral quantification techniques within a relatively short time (from 1 to 3 weeks following exposure) in the case of the so-called acute HIV infection. But seroconversion […] generally ranges from 6 to 12 weeks after transmission.” They added that this varies from one person to another and that, in the case of a blood transfusion, the antibodies can be detected within a shorter period than in the case of sexual transmission. Expert opinion of Drs. JPR and NVI of August 16, 1999 (evidence file, folios 91 to 98). </w:t>
      </w:r>
    </w:p>
  </w:footnote>
  <w:footnote w:id="9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Drs. JPR and NVI of August 16 1999 (evidence file, folios 91 to 98).</w:t>
      </w:r>
    </w:p>
  </w:footnote>
  <w:footnote w:id="9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Decision to conclude the preliminary investigation taken by the Fourth Criminal Court on September 8, 1999 (evidence file, folio 100). </w:t>
      </w:r>
    </w:p>
  </w:footnote>
  <w:footnote w:id="9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Request to re-open the preliminary investigation presented by Teresa Lluy to the Fourth Criminal Judge on September 14, 1999 (evidence file, folios 100 to 104).</w:t>
      </w:r>
    </w:p>
  </w:footnote>
  <w:footnote w:id="9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Fourth Criminal Court of November 4, 1999, to re-open the preliminary investigation (evidence file, folio 111).</w:t>
      </w:r>
    </w:p>
  </w:footnote>
  <w:footnote w:id="9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Communication of November 26, 1999, sent by the experts, JPR and NVI, to the Fourth Criminal Judge (evidence file, folio 113). </w:t>
      </w:r>
    </w:p>
  </w:footnote>
  <w:footnote w:id="9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Art. 57 of the Code of Criminal Procedure of Ecuador, “private charges” are those filed in order to denounce offenses warranting either a public or private action. Available at: </w:t>
      </w:r>
      <w:hyperlink r:id="rId12" w:history="1">
        <w:r w:rsidRPr="00D64D5C">
          <w:rPr>
            <w:rStyle w:val="Hyperlink"/>
            <w:color w:val="auto"/>
            <w:szCs w:val="16"/>
            <w:lang w:val="en-US"/>
          </w:rPr>
          <w:t>https://www.oas.org/juridico/mla/sp/ecu/sp_ecu-int-text-cpp.pdf</w:t>
        </w:r>
      </w:hyperlink>
      <w:r w:rsidRPr="00D64D5C">
        <w:rPr>
          <w:lang w:val="en-US"/>
        </w:rPr>
        <w:t>.</w:t>
      </w:r>
      <w:r w:rsidRPr="00D64D5C">
        <w:rPr>
          <w:szCs w:val="16"/>
          <w:lang w:val="en-US"/>
        </w:rPr>
        <w:t xml:space="preserve"> </w:t>
      </w:r>
    </w:p>
  </w:footnote>
  <w:footnote w:id="9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Private charges filed by Teresa Lluy against PMT, EOQ and MRR before the Fourth Criminal Judge of December 22, 1999 (evidence file, folios 116 and 117).</w:t>
      </w:r>
    </w:p>
  </w:footnote>
  <w:footnote w:id="10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Fourth Criminal Court rejecting the private charges on January 5, 2000 (evidence file, folio 118).</w:t>
      </w:r>
    </w:p>
  </w:footnote>
  <w:footnote w:id="10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Decision of the Fourth Criminal Court deciding to conclude the preliminary investigation on March 22, 2000 (evidence file, folio 134). </w:t>
      </w:r>
    </w:p>
  </w:footnote>
  <w:footnote w:id="10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Request of Teresa Lluy to the Agente Fourth Criminal Prosecutor of May 5, 2000 (evidence file, folio 135).  </w:t>
      </w:r>
    </w:p>
  </w:footnote>
  <w:footnote w:id="10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Decision of the Fourth Criminal Court of July 18, 2000 (evidence file, folio 156).  </w:t>
      </w:r>
    </w:p>
  </w:footnote>
  <w:footnote w:id="10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Fourth Criminal Judge declaring that the preliminary investigation had concluded, of August 31, 2000 (evidence file, folio 162).</w:t>
      </w:r>
    </w:p>
  </w:footnote>
  <w:footnote w:id="10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Report of the Fourth Criminal Prosecutor of October 11, 2000 (evidence file, folio 165).</w:t>
      </w:r>
    </w:p>
  </w:footnote>
  <w:footnote w:id="10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Report of the Fourth Criminal Prosecutor of October 11, 2000 (evidence file, folios 163 to 165).</w:t>
      </w:r>
    </w:p>
  </w:footnote>
  <w:footnote w:id="10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Report issued by the laboratory of the </w:t>
      </w:r>
      <w:r w:rsidRPr="00D64D5C">
        <w:rPr>
          <w:rStyle w:val="st"/>
          <w:i/>
          <w:lang w:val="en-US"/>
        </w:rPr>
        <w:t>Université catholique de Louvain,</w:t>
      </w:r>
      <w:r w:rsidRPr="00D64D5C">
        <w:rPr>
          <w:szCs w:val="16"/>
          <w:lang w:val="en-US"/>
        </w:rPr>
        <w:t xml:space="preserve"> Belgium, dated January 8, 2001 (evidence file, folios 177 and 178). Translated into Spanish by the Secretariat of the Court.</w:t>
      </w:r>
    </w:p>
  </w:footnote>
  <w:footnote w:id="108">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szCs w:val="16"/>
          <w:lang w:val="en-US"/>
        </w:rPr>
        <w:t xml:space="preserve">Cf. </w:t>
      </w:r>
      <w:r w:rsidRPr="00D64D5C">
        <w:rPr>
          <w:szCs w:val="16"/>
          <w:lang w:val="en-US"/>
        </w:rPr>
        <w:t>Decision of the Fourth Criminal Judge of January 15, 2001 (evidence file, folio 174).</w:t>
      </w:r>
    </w:p>
  </w:footnote>
  <w:footnote w:id="10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Decision of the Fourth Criminal Judge to forward the report to the experts, of February 19, 2001 (evidence file, folio 191).</w:t>
      </w:r>
    </w:p>
  </w:footnote>
  <w:footnote w:id="11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Report of the experts JPR and NVI of March 9, 2001 (evidence file, folio 194).</w:t>
      </w:r>
    </w:p>
  </w:footnote>
  <w:footnote w:id="11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Decision of the Fourth Criminal Judge of March 26, 2001, declaring the preliminary investigation concluded (evidence file, folio 196).</w:t>
      </w:r>
    </w:p>
  </w:footnote>
  <w:footnote w:id="11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Request of the Fourth Criminal Prosecutor to the Fourth Criminal Court of April 9, 2001 (evidence file, folio 197).</w:t>
      </w:r>
    </w:p>
  </w:footnote>
  <w:footnote w:id="113">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Decision of the Fourth Criminal Judge of April 10, 2001 (evidence file, folio 198).</w:t>
      </w:r>
    </w:p>
  </w:footnote>
  <w:footnote w:id="11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Private charges filed by Teresa Lluy on May 16, 2001 (evidence file, folios 208 to 210).</w:t>
      </w:r>
    </w:p>
  </w:footnote>
  <w:footnote w:id="11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Decision of the Fourth Criminal Judge of May 16, 2001 (evidence file, folio 211).</w:t>
      </w:r>
    </w:p>
  </w:footnote>
  <w:footnote w:id="11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Request of PMT and BRR of July 16, 2001, addressed to the Fourth Criminal Court (evidence file, folio 263).</w:t>
      </w:r>
    </w:p>
  </w:footnote>
  <w:footnote w:id="11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Fourth Criminal Court declaring the private charges abandoned on July 25, 2001 (evidence file, folio 274).</w:t>
      </w:r>
    </w:p>
  </w:footnote>
  <w:footnote w:id="11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Request of Teresa Lluy of July 29, 2001, and decision of the Fourth Criminal Court of July 31, 2001 (evidence file, folio 276).</w:t>
      </w:r>
    </w:p>
  </w:footnote>
  <w:footnote w:id="119">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D64D5C">
        <w:rPr>
          <w:sz w:val="16"/>
          <w:szCs w:val="16"/>
          <w:lang w:val="en-US"/>
        </w:rPr>
        <w:t xml:space="preserve"> </w:t>
      </w:r>
      <w:r w:rsidRPr="00D64D5C">
        <w:rPr>
          <w:sz w:val="16"/>
          <w:szCs w:val="16"/>
          <w:lang w:val="en-US"/>
        </w:rPr>
        <w:tab/>
        <w:t xml:space="preserve">Communication of the District Prosecutor to the Fourth Criminal Court of August 22, 2001 (evidence file, folio 284). </w:t>
      </w:r>
    </w:p>
  </w:footnote>
  <w:footnote w:id="120">
    <w:p w:rsidR="0051351F" w:rsidRPr="00D64D5C" w:rsidRDefault="0051351F" w:rsidP="00FC14B8">
      <w:pPr>
        <w:pStyle w:val="FootnoteText"/>
        <w:tabs>
          <w:tab w:val="left" w:pos="540"/>
        </w:tabs>
        <w:spacing w:before="0" w:after="100"/>
        <w:rPr>
          <w:bCs/>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Criminal Code of Ecuador Article 436: Doctors, </w:t>
      </w:r>
      <w:r w:rsidRPr="00D64D5C">
        <w:rPr>
          <w:bCs/>
          <w:lang w:val="en-US"/>
        </w:rPr>
        <w:t xml:space="preserve">pharmacists, or anyone who, through lack of precaution or care, shall prescribe, dispense or provide medicines that seriously affect health shall be penalized with six months’ to one year’s imprisonment; if they have caused an illness that appears to be or is incurable, the prison term shall be from one to three years; and if it has resulted in death, the prison term shall be from three to five years. </w:t>
      </w:r>
      <w:r w:rsidRPr="00D64D5C">
        <w:rPr>
          <w:szCs w:val="16"/>
          <w:lang w:val="en-US"/>
        </w:rPr>
        <w:t xml:space="preserve">Available at: </w:t>
      </w:r>
      <w:hyperlink r:id="rId13" w:history="1">
        <w:r w:rsidRPr="00D64D5C">
          <w:rPr>
            <w:rStyle w:val="Hyperlink"/>
            <w:color w:val="auto"/>
            <w:szCs w:val="16"/>
            <w:lang w:val="en-US"/>
          </w:rPr>
          <w:t>http://www.cepal.org/oig/doc/EcuArt5511Codigopenal.pdf</w:t>
        </w:r>
      </w:hyperlink>
      <w:r w:rsidRPr="00D64D5C">
        <w:rPr>
          <w:lang w:val="en-US"/>
        </w:rPr>
        <w:t xml:space="preserve">. </w:t>
      </w:r>
      <w:r w:rsidRPr="00D64D5C">
        <w:rPr>
          <w:szCs w:val="16"/>
          <w:lang w:val="en-US"/>
        </w:rPr>
        <w:t xml:space="preserve"> </w:t>
      </w:r>
    </w:p>
  </w:footnote>
  <w:footnote w:id="12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Report of the Azuay District Prosecutor of September 23, 2001 (evidence file, folios 454 to 463).</w:t>
      </w:r>
    </w:p>
  </w:footnote>
  <w:footnote w:id="12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Decision of the Second Criminal Court of October 29, 2001 (evidence file, folio 489). </w:t>
      </w:r>
    </w:p>
  </w:footnote>
  <w:footnote w:id="12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Second Criminal Court of October 29, 2001 (evidence file, folio 489).</w:t>
      </w:r>
    </w:p>
  </w:footnote>
  <w:footnote w:id="12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First Chamber of the Superior Court of December 18, 2001 (evidence file, folios 362 to 370).</w:t>
      </w:r>
    </w:p>
  </w:footnote>
  <w:footnote w:id="12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Order of the Second Criminal Court of December 13, 2001 (evidence file, folio 1860). </w:t>
      </w:r>
    </w:p>
  </w:footnote>
  <w:footnote w:id="12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Record of the Second Criminal Court of Azuay of February 22, 2005 (evidence file, folio 1861).</w:t>
      </w:r>
    </w:p>
  </w:footnote>
  <w:footnote w:id="12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Decision of the Second Criminal Court of Azuay of February 22, 2005 (evidence file, folio 1862).</w:t>
      </w:r>
    </w:p>
  </w:footnote>
  <w:footnote w:id="12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Final decision, Second Criminal Court of Azuay of February 25, 2005 (evidence file, folio 1876).</w:t>
      </w:r>
    </w:p>
  </w:footnote>
  <w:footnote w:id="12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Final decision, Second Criminal Chamber of the former Superior Court of Justice of Azuay on April 22, 2005 (evidence file, folio 1878).</w:t>
      </w:r>
    </w:p>
  </w:footnote>
  <w:footnote w:id="13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Application for waiver of court costs of September 26, 2001, before the Civil Judge of Cuenca (evidence file, folios 313 and 314).</w:t>
      </w:r>
    </w:p>
  </w:footnote>
  <w:footnote w:id="13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Decision on waiver of court costs of the Third Civil Court of Cuenca of December 5, 2001 (evidence file, folio 328).</w:t>
      </w:r>
    </w:p>
  </w:footnote>
  <w:footnote w:id="132">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Claim for damages filed by Teresa Lluy before the Third Civil Judge of Cuenca on March 4, 2002 (evidence file, folios 331 to 334). The proceeding was assigned to the Sixth Civil Court of Cuenca on March 4, 2002 (evidence file, folio 335).</w:t>
      </w:r>
    </w:p>
  </w:footnote>
  <w:footnote w:id="13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Answer to the claim presented by CAA to the Sixth Civil Judge of Cuenca on April 8, 2002 (evidence file, folio 338 to 340).  </w:t>
      </w:r>
    </w:p>
  </w:footnote>
  <w:footnote w:id="13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Sixth Civil Court of Cuenca of May 6, 2002 (evidence file, folio 347).</w:t>
      </w:r>
    </w:p>
  </w:footnote>
  <w:footnote w:id="13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Brief presented by Teresa Lluy to the Sixth Civil Judge of Azuay on July 1, 2002 (evidence file, folios 525 and 526).</w:t>
      </w:r>
    </w:p>
  </w:footnote>
  <w:footnote w:id="13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Brief presented by Teresa Lluy to the Sixth Civil Judge of Azuay dated July 3, 2002 (evidence file, folios 530 to 532).</w:t>
      </w:r>
    </w:p>
  </w:footnote>
  <w:footnote w:id="13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Sixth Civil Court of Cuenca of July 5, 2002 (evidence file, folio 533).</w:t>
      </w:r>
    </w:p>
  </w:footnote>
  <w:footnote w:id="13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Sixth Civil Court of Cuenca of July 10, 2002 (evidence file, folio 535).</w:t>
      </w:r>
    </w:p>
  </w:footnote>
  <w:footnote w:id="13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Medical report of experts GT and GP dated August 20, 2002 (evidence file, folio 542).</w:t>
      </w:r>
    </w:p>
  </w:footnote>
  <w:footnote w:id="14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Record of inspection of the Azuay Red Cross Blood Bank of August 20, 2002 (evidence file, folio 540).</w:t>
      </w:r>
    </w:p>
  </w:footnote>
  <w:footnote w:id="14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Brief presented by Teresa Lluy to the Sixth Civil Judge of Azuay dated September 25, 2004 (evidence file, folio 550).</w:t>
      </w:r>
    </w:p>
  </w:footnote>
  <w:footnote w:id="14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Brief presented by Claudio Arias to the Sixth Civil Judge of Azuay dated September 6, 2004 (evidence file, folio 552).</w:t>
      </w:r>
    </w:p>
  </w:footnote>
  <w:footnote w:id="14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Brief presented by Teresa Lluy to the Sixth Civil Judge of Azuay dated October 27, 2004 (evidence file, folio 555).</w:t>
      </w:r>
    </w:p>
  </w:footnote>
  <w:footnote w:id="14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Decision of the Sixth Civil Court of Cuenca of November 4, 2004. (evidence file, folio 556).</w:t>
      </w:r>
    </w:p>
  </w:footnote>
  <w:footnote w:id="14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Record of assumption of functions by expert JS on November 24, 2004 (evidence file, folio 561).</w:t>
      </w:r>
    </w:p>
  </w:footnote>
  <w:footnote w:id="14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Report of expert JS of January 10, 2005 (evidence file, folios 564 to 566).</w:t>
      </w:r>
    </w:p>
  </w:footnote>
  <w:footnote w:id="14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Brief presented by Teresa Lluy to the Sixth Civil Judge of Azuay dated January 19, 2005 (evidence file, folio 568).</w:t>
      </w:r>
    </w:p>
  </w:footnote>
  <w:footnote w:id="148">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Judgment of the Sixth Civil Judge of Azuay of July 12, 2005. (evidence file, folios 593 to 595).</w:t>
      </w:r>
    </w:p>
  </w:footnote>
  <w:footnote w:id="14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Appeal against Judgment No. 323-05 dated May 18, 2006 (evidence file, folio 597).</w:t>
      </w:r>
    </w:p>
  </w:footnote>
  <w:footnote w:id="150">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Grounds for the appeal against Judgment No. 323-05 dated September 2, 2005 (evidence file, folio 16).</w:t>
      </w:r>
    </w:p>
  </w:footnote>
  <w:footnote w:id="151">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Answer to the appeal by CA and his legal counsel JM of September 12, 2005 (evidence file, folios 18 and 19).</w:t>
      </w:r>
    </w:p>
  </w:footnote>
  <w:footnote w:id="152">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sz w:val="16"/>
          <w:szCs w:val="16"/>
          <w:lang w:val="en-US"/>
        </w:rPr>
        <w:t>Brief presented by Teresa Lluy to the Chamber’s judges on September 25, 2004 (evidence file, folio 21).</w:t>
      </w:r>
    </w:p>
  </w:footnote>
  <w:footnote w:id="15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Appeal against Judgment No. 323-05 filed by Teresa Lluy on May 18, 2006. (evidence file, folio 599-605).</w:t>
      </w:r>
    </w:p>
  </w:footnote>
  <w:footnote w:id="15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Application for constitutional protection, </w:t>
      </w:r>
      <w:r w:rsidRPr="00D64D5C">
        <w:rPr>
          <w:rFonts w:cs="Arial"/>
          <w:lang w:val="en-US"/>
        </w:rPr>
        <w:t>Third District Contentious-Administrative Court of Cuenca, of</w:t>
      </w:r>
      <w:r w:rsidRPr="00D64D5C">
        <w:rPr>
          <w:szCs w:val="16"/>
          <w:lang w:val="en-US"/>
        </w:rPr>
        <w:t xml:space="preserve"> February 8, 2000 (evidence file, folio 1122). </w:t>
      </w:r>
      <w:r w:rsidRPr="00D64D5C">
        <w:rPr>
          <w:rFonts w:cs="Arial"/>
          <w:szCs w:val="16"/>
          <w:lang w:val="en-US"/>
        </w:rPr>
        <w:t xml:space="preserve">Talía testified that: “[w]hen I was three years old, I attended the Zoila Aurora Palacios Public School. I was happy becasue I made a lot of friends. When Christmas came, one day my teacher […] told my mother not to take me to school, to take me back home. My mother went to see the Director and came out crying and we never went back. […] The first day of classes they told my mother that my enrolment had been annulled without any explanation.” </w:t>
      </w:r>
      <w:r w:rsidRPr="00D64D5C">
        <w:rPr>
          <w:szCs w:val="16"/>
          <w:lang w:val="en-US"/>
        </w:rPr>
        <w:t>Affidavit made by Talía Gonzales Lluy on April 22, 2014 (evidence file, folios 1097 and 1099).</w:t>
      </w:r>
    </w:p>
  </w:footnote>
  <w:footnote w:id="15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Application for constitutional protection of February 8, 2000 (evidence file, folio 1122).</w:t>
      </w:r>
    </w:p>
  </w:footnote>
  <w:footnote w:id="15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Application for constitutional protection of February 8, 2000 (evidence file, folio 1122).</w:t>
      </w:r>
    </w:p>
  </w:footnote>
  <w:footnote w:id="15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by the Third Contentious Administrative Court of Cuenca of February 9, 2000 (evidence file, folio 1132).</w:t>
      </w:r>
    </w:p>
  </w:footnote>
  <w:footnote w:id="15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by the Third Contentious Administrative Court of Cuenca of February 9, 2000 (evidence file, folio 1132).</w:t>
      </w:r>
    </w:p>
  </w:footnote>
  <w:footnote w:id="15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by the Third Contentious Administrative Court of Cuenca of February 9, 2000 (evidence file, folio 1134).</w:t>
      </w:r>
    </w:p>
  </w:footnote>
  <w:footnote w:id="16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by the Third Contentious Administrative Court of Cuenca of February 9, 2000 (evidence file, folio 1135).</w:t>
      </w:r>
    </w:p>
  </w:footnote>
  <w:footnote w:id="16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Note of the Azuay Ombudsman of February 10, 2000 (evidence file, folio 1145).</w:t>
      </w:r>
    </w:p>
  </w:footnote>
  <w:footnote w:id="16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Judgment of February 11, 2000, delivered by the Third Contentious Administrative District Court (evidence file, folio 1148).</w:t>
      </w:r>
    </w:p>
  </w:footnote>
  <w:footnote w:id="16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Judgment of February 11, 2000 (evidence file, folio 1148).</w:t>
      </w:r>
    </w:p>
  </w:footnote>
  <w:footnote w:id="16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Judgment of February 11, 2000 (evidence file, folio 1149).</w:t>
      </w:r>
    </w:p>
  </w:footnote>
  <w:footnote w:id="16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Judgment of February 11, 2000 (evidence file, folio 1149).</w:t>
      </w:r>
    </w:p>
  </w:footnote>
  <w:footnote w:id="166">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r>
      <w:r w:rsidRPr="00D64D5C">
        <w:rPr>
          <w:lang w:val="en-US"/>
        </w:rPr>
        <w:t>Constitution of the Republic of Ecuador of August 11, 1998</w:t>
      </w:r>
      <w:r w:rsidRPr="00D64D5C">
        <w:rPr>
          <w:szCs w:val="16"/>
          <w:lang w:val="en-US"/>
        </w:rPr>
        <w:t>, Article 43.</w:t>
      </w:r>
    </w:p>
  </w:footnote>
  <w:footnote w:id="16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Article 5: “The right is recognized of every patient to information with regard to the diagnosis of his or her health, the prognosis, the treatment, and the risks to which he or she is exposed, in terms that the patient can understand so as to be able to take decisions on the procedure to follow,” Law on Patients’ </w:t>
      </w:r>
      <w:r w:rsidRPr="00D64D5C">
        <w:rPr>
          <w:lang w:val="en-US"/>
        </w:rPr>
        <w:t>Rights and Protection,</w:t>
      </w:r>
      <w:r w:rsidRPr="00D64D5C">
        <w:rPr>
          <w:szCs w:val="16"/>
          <w:lang w:val="en-US"/>
        </w:rPr>
        <w:t xml:space="preserve"> Official Gazette Supplement 626 of February 3, 1995 (evidence file, folio 2764).</w:t>
      </w:r>
    </w:p>
  </w:footnote>
  <w:footnote w:id="168">
    <w:p w:rsidR="0051351F" w:rsidRPr="00D64D5C" w:rsidRDefault="0051351F" w:rsidP="00B53B66">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Article 27: “The Ministry of Education and Culture, in coordination with the national health authorities, with the State agency specialized in gender, and other competent agencies, shall formulate educational policies and programs, the implementation of which shall be mandatory in educational establishments throughout the nation to disseminate and provide guidance on sexual and reproductive health, in order to prevent adolescent pregnancies, HIV/AIDS, and other sexually transmitted diseases, to promote responsibility paternity and maternity, and to eliminate sexual exploitation; and shall allocate sufficient resources to this.” </w:t>
      </w:r>
    </w:p>
  </w:footnote>
  <w:footnote w:id="169">
    <w:p w:rsidR="0051351F" w:rsidRPr="00D64D5C" w:rsidRDefault="0051351F" w:rsidP="00B53B66">
      <w:pPr>
        <w:pStyle w:val="FootnoteText"/>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Law for the Prevention and Comprehensive Treatment of HIV/AIDS of April 14, 2000 (evidence file, folios 2119 to 2121).</w:t>
      </w:r>
    </w:p>
  </w:footnote>
  <w:footnote w:id="170">
    <w:p w:rsidR="0051351F" w:rsidRPr="00D64D5C" w:rsidRDefault="0051351F" w:rsidP="00B53B66">
      <w:pPr>
        <w:pStyle w:val="FootnoteText"/>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Regulations for treatment of persons with AIDS of December 20, 2002, amended on December 22, 2006 (evidence file, folios 2113 to 2118).</w:t>
      </w:r>
    </w:p>
  </w:footnote>
  <w:footnote w:id="171">
    <w:p w:rsidR="0051351F" w:rsidRPr="00D64D5C" w:rsidRDefault="0051351F" w:rsidP="00B53B66">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National Public Health Strategy for HIV/AIDS-STD (evidence file, folios 3229 to 3233).</w:t>
      </w:r>
    </w:p>
  </w:footnote>
  <w:footnote w:id="172">
    <w:p w:rsidR="0051351F" w:rsidRPr="00D64D5C" w:rsidRDefault="0051351F" w:rsidP="00B53B66">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Nilda Estela Villacrés and María Yerovi Naranjo of February 27, 2015 (evidence file, folios 3875 to 3895).</w:t>
      </w:r>
    </w:p>
  </w:footnote>
  <w:footnote w:id="17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Diana Molina of February 26, 2015 (evidence file, folios 3901 to 3951).</w:t>
      </w:r>
    </w:p>
  </w:footnote>
  <w:footnote w:id="17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Carmen Carrasco and Juan Sánchez of February 26, 2015 (evidence file, folios 3952 to 4013).</w:t>
      </w:r>
    </w:p>
  </w:footnote>
  <w:footnote w:id="17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Expert opinion of </w:t>
      </w:r>
      <w:r w:rsidRPr="00D64D5C">
        <w:rPr>
          <w:rFonts w:cs="Bookman Old Style"/>
          <w:bCs/>
          <w:szCs w:val="16"/>
          <w:lang w:val="en-US"/>
        </w:rPr>
        <w:t>Aimée Dubois Sánchez of February 26, 2015 (evidence file, folios 4014 to 4027).</w:t>
      </w:r>
    </w:p>
  </w:footnote>
  <w:footnote w:id="176">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t>ELISA test on Talía Gonzales Lluy of July 27, 1998 (evidence file, folio 413).</w:t>
      </w:r>
    </w:p>
  </w:footnote>
  <w:footnote w:id="177">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t>Western Blot test on Talía Gonzales Lluy (evidence file, folio 414).</w:t>
      </w:r>
    </w:p>
  </w:footnote>
  <w:footnote w:id="17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Carmen Carrasco of February 13, 2015 (evidence file, folio 4976).</w:t>
      </w:r>
    </w:p>
  </w:footnote>
  <w:footnote w:id="179">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t>Certification of NV dated April 10, 2014 (evidence file, folio 1350).</w:t>
      </w:r>
    </w:p>
  </w:footnote>
  <w:footnote w:id="180">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Medical Record of Talía Gonzales Lluy of June 20, 2005 (evidence file, folios </w:t>
      </w:r>
      <w:r w:rsidRPr="00D64D5C">
        <w:rPr>
          <w:rFonts w:eastAsia="Times New Roman" w:cs="Times New Roman"/>
          <w:color w:val="000000"/>
          <w:sz w:val="16"/>
          <w:szCs w:val="16"/>
          <w:lang w:val="en-US"/>
        </w:rPr>
        <w:t xml:space="preserve">1289 to 1334). </w:t>
      </w:r>
      <w:r w:rsidRPr="00D64D5C">
        <w:rPr>
          <w:sz w:val="16"/>
          <w:szCs w:val="16"/>
          <w:lang w:val="en-US"/>
        </w:rPr>
        <w:t xml:space="preserve">Talía Gonzales Lluy visited the internist, according to the affidavits, on September </w:t>
      </w:r>
      <w:r w:rsidRPr="00D64D5C">
        <w:rPr>
          <w:rFonts w:eastAsia="Times New Roman" w:cs="Times New Roman"/>
          <w:color w:val="000000"/>
          <w:sz w:val="16"/>
          <w:szCs w:val="16"/>
          <w:lang w:val="en-US"/>
        </w:rPr>
        <w:t>23, 2004 (</w:t>
      </w:r>
      <w:r w:rsidRPr="00D64D5C">
        <w:rPr>
          <w:sz w:val="16"/>
          <w:szCs w:val="16"/>
          <w:lang w:val="en-US"/>
        </w:rPr>
        <w:t xml:space="preserve">evidence file, folio </w:t>
      </w:r>
      <w:r w:rsidRPr="00D64D5C">
        <w:rPr>
          <w:rFonts w:eastAsia="Times New Roman" w:cs="Times New Roman"/>
          <w:color w:val="000000"/>
          <w:sz w:val="16"/>
          <w:szCs w:val="16"/>
          <w:lang w:val="en-US"/>
        </w:rPr>
        <w:t>1258), July 24, 2006 (</w:t>
      </w:r>
      <w:r w:rsidRPr="00D64D5C">
        <w:rPr>
          <w:sz w:val="16"/>
          <w:szCs w:val="16"/>
          <w:lang w:val="en-US"/>
        </w:rPr>
        <w:t>evidence file, folio</w:t>
      </w:r>
      <w:r w:rsidRPr="00D64D5C">
        <w:rPr>
          <w:rFonts w:eastAsia="Times New Roman" w:cs="Times New Roman"/>
          <w:color w:val="000000"/>
          <w:sz w:val="16"/>
          <w:szCs w:val="16"/>
          <w:lang w:val="en-US"/>
        </w:rPr>
        <w:t>.</w:t>
      </w:r>
      <w:r w:rsidRPr="00D64D5C">
        <w:rPr>
          <w:color w:val="000000"/>
          <w:sz w:val="16"/>
          <w:szCs w:val="16"/>
          <w:lang w:val="en-US"/>
        </w:rPr>
        <w:t xml:space="preserve"> </w:t>
      </w:r>
      <w:r w:rsidRPr="00D64D5C">
        <w:rPr>
          <w:rFonts w:eastAsia="Times New Roman" w:cs="Times New Roman"/>
          <w:color w:val="000000"/>
          <w:sz w:val="16"/>
          <w:szCs w:val="16"/>
          <w:lang w:val="en-US"/>
        </w:rPr>
        <w:t>1294), May 20, 2008 (</w:t>
      </w:r>
      <w:r w:rsidRPr="00D64D5C">
        <w:rPr>
          <w:sz w:val="16"/>
          <w:szCs w:val="16"/>
          <w:lang w:val="en-US"/>
        </w:rPr>
        <w:t>evidence file, folio</w:t>
      </w:r>
      <w:r w:rsidRPr="00D64D5C">
        <w:rPr>
          <w:rFonts w:eastAsia="Times New Roman" w:cs="Times New Roman"/>
          <w:color w:val="000000"/>
          <w:sz w:val="16"/>
          <w:szCs w:val="16"/>
          <w:lang w:val="en-US"/>
        </w:rPr>
        <w:t>. 1252), June 17, 2008 (</w:t>
      </w:r>
      <w:r w:rsidRPr="00D64D5C">
        <w:rPr>
          <w:sz w:val="16"/>
          <w:szCs w:val="16"/>
          <w:lang w:val="en-US"/>
        </w:rPr>
        <w:t>evidence file, folio</w:t>
      </w:r>
      <w:r w:rsidRPr="00D64D5C">
        <w:rPr>
          <w:rFonts w:eastAsia="Times New Roman" w:cs="Times New Roman"/>
          <w:color w:val="000000"/>
          <w:sz w:val="16"/>
          <w:szCs w:val="16"/>
          <w:lang w:val="en-US"/>
        </w:rPr>
        <w:t>. 1253), June 15, 2011 (</w:t>
      </w:r>
      <w:r w:rsidRPr="00D64D5C">
        <w:rPr>
          <w:sz w:val="16"/>
          <w:szCs w:val="16"/>
          <w:lang w:val="en-US"/>
        </w:rPr>
        <w:t>evidence file, folio</w:t>
      </w:r>
      <w:r w:rsidRPr="00D64D5C">
        <w:rPr>
          <w:rFonts w:eastAsia="Times New Roman" w:cs="Times New Roman"/>
          <w:color w:val="000000"/>
          <w:sz w:val="16"/>
          <w:szCs w:val="16"/>
          <w:lang w:val="en-US"/>
        </w:rPr>
        <w:t>. 1252) and January 26, 2012 (</w:t>
      </w:r>
      <w:r w:rsidRPr="00D64D5C">
        <w:rPr>
          <w:sz w:val="16"/>
          <w:szCs w:val="16"/>
          <w:lang w:val="en-US"/>
        </w:rPr>
        <w:t>evidence file, folio</w:t>
      </w:r>
      <w:r w:rsidRPr="00D64D5C">
        <w:rPr>
          <w:rFonts w:eastAsia="Times New Roman" w:cs="Times New Roman"/>
          <w:color w:val="000000"/>
          <w:sz w:val="16"/>
          <w:szCs w:val="16"/>
          <w:lang w:val="en-US"/>
        </w:rPr>
        <w:t xml:space="preserve">. 1234). </w:t>
      </w:r>
      <w:r w:rsidRPr="00D64D5C">
        <w:rPr>
          <w:sz w:val="16"/>
          <w:szCs w:val="16"/>
          <w:lang w:val="en-US"/>
        </w:rPr>
        <w:t xml:space="preserve">Visit made on June 20,  2005 (evidence file, folio. 1294). Last </w:t>
      </w:r>
      <w:r w:rsidRPr="00D64D5C">
        <w:rPr>
          <w:rFonts w:eastAsia="Times New Roman" w:cs="Times New Roman"/>
          <w:color w:val="000000"/>
          <w:sz w:val="16"/>
          <w:szCs w:val="16"/>
          <w:lang w:val="en-US"/>
        </w:rPr>
        <w:t>visit made on July 27, 2012 (</w:t>
      </w:r>
      <w:r w:rsidRPr="00D64D5C">
        <w:rPr>
          <w:sz w:val="16"/>
          <w:szCs w:val="16"/>
          <w:lang w:val="en-US"/>
        </w:rPr>
        <w:t>evidence file, folio</w:t>
      </w:r>
      <w:r w:rsidRPr="00D64D5C">
        <w:rPr>
          <w:rFonts w:eastAsia="Times New Roman" w:cs="Times New Roman"/>
          <w:color w:val="000000"/>
          <w:sz w:val="16"/>
          <w:szCs w:val="16"/>
          <w:lang w:val="en-US"/>
        </w:rPr>
        <w:t>. 1234).</w:t>
      </w:r>
    </w:p>
  </w:footnote>
  <w:footnote w:id="18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Carmen Carrasco of February 13, 2015 (evidence file, folio 4978).</w:t>
      </w:r>
    </w:p>
  </w:footnote>
  <w:footnote w:id="18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Note of </w:t>
      </w:r>
      <w:r w:rsidRPr="00D64D5C">
        <w:rPr>
          <w:rFonts w:cs="Arial"/>
          <w:szCs w:val="16"/>
          <w:lang w:val="en-US"/>
        </w:rPr>
        <w:t xml:space="preserve">Talía Gonzales Lluy </w:t>
      </w:r>
      <w:r w:rsidRPr="00D64D5C">
        <w:rPr>
          <w:szCs w:val="16"/>
          <w:lang w:val="en-US"/>
        </w:rPr>
        <w:t xml:space="preserve">to Ramiro Ávila of May 26, 2014 (evidence file, folio 1184 to 1186); Note of </w:t>
      </w:r>
      <w:r w:rsidRPr="00D64D5C">
        <w:rPr>
          <w:rFonts w:cs="Arial"/>
          <w:szCs w:val="16"/>
          <w:lang w:val="en-US"/>
        </w:rPr>
        <w:t xml:space="preserve">Talía Gonzales Lluy to the authorities </w:t>
      </w:r>
      <w:r w:rsidRPr="00D64D5C">
        <w:rPr>
          <w:szCs w:val="16"/>
          <w:lang w:val="en-US"/>
        </w:rPr>
        <w:t xml:space="preserve">of the Ministry of Public Health of Ecuador of May 26, 2014 (evidence file, folio 1187 and 1188).  </w:t>
      </w:r>
    </w:p>
  </w:footnote>
  <w:footnote w:id="18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Expert opinion of Diana Molina dated February 26, 2015 (evidence file, folio 3921). The expert witness cited Note No. ISSFA-DSS-2015-329-OF as proof of this. </w:t>
      </w:r>
    </w:p>
  </w:footnote>
  <w:footnote w:id="18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On this point, expert witness Diana Molina cited “HVCM Epidemiology Note, Cuenca, February 9, 2015” (evidence file, folio 3922). Meanwhile, expert witness Carrasco indicated that “since 1999, she has received comprehensive care from the Vicente Corral Moscoso Hospital, with professioals from the following areas who intervened at different times: infectology, dermatology, hematology, social work, psychology.”</w:t>
      </w:r>
    </w:p>
  </w:footnote>
  <w:footnote w:id="18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expert witness cited the untitled report of the Head of the Infectology Service, HG-February 1, 2015, on this point (evidence file, folio 3922).</w:t>
      </w:r>
    </w:p>
  </w:footnote>
  <w:footnote w:id="18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Expert witness Carrasco substantiates these assertions on the basis of the HIV/AIDS record in the unsigned report of February 9, 2015, of the MSP-Vicente Corral Moscoso Hospital, Epidemiology-HVCM-2015, issued by the head of the UAIPVVS-HVCM. </w:t>
      </w:r>
    </w:p>
  </w:footnote>
  <w:footnote w:id="18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Expert witness Carrasco cited this information on the HIV/AIDS record textually from the unsigned report of February 9, 2015, of the Joint Command of the Armed Forces Hospital No. 1. Dr. Paulina Cell, Head of the Infectology Service (evidence file, folios 3978 and 3979).</w:t>
      </w:r>
    </w:p>
  </w:footnote>
  <w:footnote w:id="18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Application for waiver of court costs to the Civil Judge of Cuenca of September 26, 2001 (evidence file, folio 314). </w:t>
      </w:r>
    </w:p>
  </w:footnote>
  <w:footnote w:id="189">
    <w:p w:rsidR="0051351F" w:rsidRPr="00D64D5C" w:rsidRDefault="0051351F" w:rsidP="00FC14B8">
      <w:pPr>
        <w:pStyle w:val="FootnoteText"/>
        <w:tabs>
          <w:tab w:val="left" w:pos="540"/>
        </w:tabs>
        <w:spacing w:before="0" w:after="100"/>
        <w:rPr>
          <w:rFonts w:cs="Arial"/>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testimony of </w:t>
      </w:r>
      <w:r w:rsidRPr="00D64D5C">
        <w:rPr>
          <w:lang w:val="en-US"/>
        </w:rPr>
        <w:t>Talía</w:t>
      </w:r>
      <w:r w:rsidRPr="00D64D5C">
        <w:rPr>
          <w:rFonts w:cs="Arial"/>
          <w:lang w:val="en-US"/>
        </w:rPr>
        <w:t xml:space="preserve"> and her family, when the owners of the places they rented found out about Talía’s illness, “using any excuse, they threw [them] out.” </w:t>
      </w:r>
      <w:r w:rsidRPr="00D64D5C">
        <w:rPr>
          <w:szCs w:val="16"/>
          <w:lang w:val="en-US"/>
        </w:rPr>
        <w:t xml:space="preserve">Application for waiver of court costs to the Civil Judge of Cuenca of September 26, 2001 (evidence file, folios 313 and 314). Similarly, </w:t>
      </w:r>
      <w:r w:rsidRPr="00D64D5C">
        <w:rPr>
          <w:lang w:val="en-US"/>
        </w:rPr>
        <w:t>Talía</w:t>
      </w:r>
      <w:r w:rsidRPr="00D64D5C">
        <w:rPr>
          <w:rFonts w:cs="Arial"/>
          <w:lang w:val="en-US"/>
        </w:rPr>
        <w:t xml:space="preserve"> testified that  they “had to leave the place where [they] were living” and that they “were always thrown out of the places where [they] lived.” When they were unable to find a place that people were willing to lease them, “one day, [they] went out of town to live in a very ugly room; it was like a hole, it was dirty, the floor was just earth, it was very cold and, when it rained, the rain came in; [her] mother and brother covered [her] so that [she] would not get ill and fed [her]; they wer trembling with cold and did not eat.” </w:t>
      </w:r>
      <w:r w:rsidRPr="00D64D5C">
        <w:rPr>
          <w:szCs w:val="16"/>
          <w:lang w:val="en-US"/>
        </w:rPr>
        <w:t>Affidavit made by Talía Gonzales Lluy on April 22, 2014 (evidence file, folio 1096).</w:t>
      </w:r>
    </w:p>
  </w:footnote>
  <w:footnote w:id="190">
    <w:p w:rsidR="0051351F" w:rsidRPr="00D64D5C" w:rsidRDefault="0051351F" w:rsidP="00FC14B8">
      <w:pPr>
        <w:pStyle w:val="FootnoteText"/>
        <w:tabs>
          <w:tab w:val="left" w:pos="540"/>
          <w:tab w:val="left" w:pos="709"/>
        </w:tabs>
        <w:spacing w:before="0" w:after="100"/>
        <w:rPr>
          <w:rFonts w:cs="Arial"/>
          <w:spacing w:val="-2"/>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“in the context of the presentation of the 2012 [Periodic Universal Review] before the </w:t>
      </w:r>
      <w:r w:rsidRPr="00D64D5C">
        <w:rPr>
          <w:rFonts w:cs="Arial"/>
          <w:spacing w:val="-2"/>
          <w:szCs w:val="16"/>
          <w:lang w:val="en-US"/>
        </w:rPr>
        <w:t xml:space="preserve">Human Rights Council of the United Nations, in 94% of the interventions by 72 States, in addition to congratulating Ecuador for its social policy, they expressed their interest in having more detailed information on the methods and programs implemented by Ecuador, which had resulted in its greatest achievements with regard to the rights of the disabled, the elderly, children and adolescents, </w:t>
      </w:r>
      <w:r w:rsidRPr="00D64D5C">
        <w:rPr>
          <w:bCs/>
          <w:lang w:val="en-US"/>
        </w:rPr>
        <w:t xml:space="preserve">interculturality and plurinationality, and the right to health and the </w:t>
      </w:r>
      <w:r w:rsidRPr="00D64D5C">
        <w:rPr>
          <w:rFonts w:cs="Arial"/>
          <w:spacing w:val="-2"/>
          <w:szCs w:val="16"/>
          <w:lang w:val="en-US"/>
        </w:rPr>
        <w:t xml:space="preserve">right to education.” The State also underlined the notion of the </w:t>
      </w:r>
      <w:r w:rsidRPr="00D64D5C">
        <w:rPr>
          <w:rFonts w:cs="Arial"/>
          <w:i/>
          <w:spacing w:val="-2"/>
          <w:szCs w:val="16"/>
          <w:lang w:val="en-US"/>
        </w:rPr>
        <w:t xml:space="preserve">rights pertaining to a decent life </w:t>
      </w:r>
      <w:r w:rsidRPr="00D64D5C">
        <w:rPr>
          <w:rFonts w:cs="Arial"/>
          <w:spacing w:val="-2"/>
          <w:szCs w:val="16"/>
          <w:lang w:val="en-US"/>
        </w:rPr>
        <w:t xml:space="preserve">developed in the 2008 Constitution, which recognized the interdependence and integral nature of rights, such as the rights to education, health and work, among others. Regarding the right to health, the State indicated that “when the 2012 </w:t>
      </w:r>
      <w:r w:rsidRPr="00D64D5C">
        <w:rPr>
          <w:szCs w:val="16"/>
          <w:lang w:val="en-US"/>
        </w:rPr>
        <w:t xml:space="preserve">[Periodic Universal Review] was presented and evaluated, </w:t>
      </w:r>
      <w:r w:rsidRPr="00D64D5C">
        <w:rPr>
          <w:rFonts w:cs="Arial"/>
          <w:spacing w:val="-2"/>
          <w:szCs w:val="16"/>
          <w:lang w:val="en-US"/>
        </w:rPr>
        <w:t>the current Government had invested 3,539 million dollars in health between 2007 and 2010; more than double the total investment in the three pre-2007 governments,” and that Ecuador destined “184 million dollars a year for free medicines, under the concept that medicines are social rather than commercial commodities.”</w:t>
      </w:r>
    </w:p>
  </w:footnote>
  <w:footnote w:id="191">
    <w:p w:rsidR="0051351F" w:rsidRPr="00D64D5C" w:rsidRDefault="0051351F" w:rsidP="00FC14B8">
      <w:pPr>
        <w:pStyle w:val="FootnoteText"/>
        <w:tabs>
          <w:tab w:val="left" w:pos="540"/>
          <w:tab w:val="left" w:pos="709"/>
        </w:tabs>
        <w:spacing w:before="0" w:after="100"/>
        <w:rPr>
          <w:i/>
          <w:iCs/>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the “Mapiripán Massacre” v. Colombia</w:t>
      </w:r>
      <w:r w:rsidRPr="00D64D5C">
        <w:rPr>
          <w:szCs w:val="16"/>
          <w:lang w:val="en-US"/>
        </w:rPr>
        <w:t xml:space="preserve">. Judgment of September 15, 2005. Series C No. 134, para. 111, and </w:t>
      </w:r>
      <w:r w:rsidRPr="00D64D5C">
        <w:rPr>
          <w:bCs/>
          <w:i/>
          <w:szCs w:val="16"/>
          <w:lang w:val="en-US"/>
        </w:rPr>
        <w:t xml:space="preserve">Case of Suárez Peralta v. Ecuador. Preliminary objections, merits, reparations and costs. </w:t>
      </w:r>
      <w:r w:rsidRPr="00D64D5C">
        <w:rPr>
          <w:bCs/>
          <w:szCs w:val="16"/>
          <w:lang w:val="en-US"/>
        </w:rPr>
        <w:t>Judgment of May 21, 2013. Series C No. 261, para. 127.</w:t>
      </w:r>
      <w:r w:rsidRPr="00D64D5C">
        <w:rPr>
          <w:b/>
          <w:bCs/>
          <w:szCs w:val="16"/>
          <w:lang w:val="en-US"/>
        </w:rPr>
        <w:t xml:space="preserve"> </w:t>
      </w:r>
      <w:r w:rsidRPr="00D64D5C">
        <w:rPr>
          <w:lang w:val="en-US"/>
        </w:rPr>
        <w:t xml:space="preserve">Similarly, </w:t>
      </w:r>
      <w:r w:rsidRPr="00D64D5C">
        <w:rPr>
          <w:i/>
          <w:lang w:val="en-US"/>
        </w:rPr>
        <w:t xml:space="preserve">Juridical Status and Rights of Undocumented Migrants. </w:t>
      </w:r>
      <w:r w:rsidRPr="00D64D5C">
        <w:rPr>
          <w:lang w:val="en-US"/>
        </w:rPr>
        <w:t>Advisory Opinion OC-18/03 of September 17, 2003. Series A No. 18, para. 140.</w:t>
      </w:r>
    </w:p>
  </w:footnote>
  <w:footnote w:id="192">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i/>
          <w:iCs/>
          <w:szCs w:val="16"/>
          <w:lang w:val="en-US"/>
        </w:rPr>
        <w:t xml:space="preserve"> </w:t>
      </w:r>
      <w:r w:rsidRPr="00D64D5C">
        <w:rPr>
          <w:rStyle w:val="Strong"/>
          <w:b w:val="0"/>
          <w:i/>
          <w:color w:val="000000"/>
          <w:shd w:val="clear" w:color="auto" w:fill="FFFFFF"/>
          <w:lang w:val="en-US"/>
        </w:rPr>
        <w:t>Case of Velásquez Rodríguez v. Honduras</w:t>
      </w:r>
      <w:r w:rsidRPr="00D64D5C">
        <w:rPr>
          <w:szCs w:val="16"/>
          <w:lang w:val="en-US"/>
        </w:rPr>
        <w:t>, paras. 165 and 166</w:t>
      </w:r>
      <w:r w:rsidRPr="00D64D5C">
        <w:rPr>
          <w:i/>
          <w:szCs w:val="16"/>
          <w:lang w:val="en-US"/>
        </w:rPr>
        <w:t>,</w:t>
      </w:r>
      <w:r w:rsidRPr="00D64D5C">
        <w:rPr>
          <w:color w:val="000000"/>
          <w:szCs w:val="16"/>
          <w:lang w:val="en-US"/>
        </w:rPr>
        <w:t xml:space="preserve"> and </w:t>
      </w:r>
      <w:r w:rsidRPr="00D64D5C">
        <w:rPr>
          <w:bCs/>
          <w:i/>
          <w:szCs w:val="16"/>
          <w:lang w:val="en-US"/>
        </w:rPr>
        <w:t>Case of Suárez Peralta v. Ecuador</w:t>
      </w:r>
      <w:r w:rsidRPr="00D64D5C">
        <w:rPr>
          <w:bCs/>
          <w:szCs w:val="16"/>
          <w:lang w:val="en-US"/>
        </w:rPr>
        <w:t>, para. 127</w:t>
      </w:r>
      <w:r w:rsidRPr="00D64D5C">
        <w:rPr>
          <w:szCs w:val="16"/>
          <w:lang w:val="en-US"/>
        </w:rPr>
        <w:t>.</w:t>
      </w:r>
    </w:p>
  </w:footnote>
  <w:footnote w:id="193">
    <w:p w:rsidR="0051351F" w:rsidRPr="00D64D5C" w:rsidRDefault="0051351F" w:rsidP="00FC14B8">
      <w:pPr>
        <w:pStyle w:val="FootnoteText"/>
        <w:tabs>
          <w:tab w:val="left" w:pos="540"/>
        </w:tabs>
        <w:spacing w:before="0" w:after="100"/>
        <w:rPr>
          <w:color w:val="000000"/>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i/>
          <w:iCs/>
          <w:szCs w:val="16"/>
          <w:lang w:val="en-US"/>
        </w:rPr>
        <w:t xml:space="preserve"> </w:t>
      </w:r>
      <w:r w:rsidRPr="00D64D5C">
        <w:rPr>
          <w:bCs/>
          <w:i/>
          <w:color w:val="000000"/>
          <w:szCs w:val="16"/>
          <w:lang w:val="en-US"/>
        </w:rPr>
        <w:t>Case of González et al. (“Cotton Field”) v. Mexico</w:t>
      </w:r>
      <w:r w:rsidRPr="00D64D5C">
        <w:rPr>
          <w:i/>
          <w:color w:val="000000"/>
          <w:szCs w:val="16"/>
          <w:lang w:val="en-US"/>
        </w:rPr>
        <w:t xml:space="preserve">. Preliminary objection, merits, reparations and costs. </w:t>
      </w:r>
      <w:r w:rsidRPr="00D64D5C">
        <w:rPr>
          <w:color w:val="000000"/>
          <w:szCs w:val="16"/>
          <w:lang w:val="en-US"/>
        </w:rPr>
        <w:t>Judgment of November 16, 2009. Series C No. 205, para. 243</w:t>
      </w:r>
      <w:r w:rsidRPr="00D64D5C">
        <w:rPr>
          <w:i/>
          <w:szCs w:val="16"/>
          <w:lang w:val="en-US"/>
        </w:rPr>
        <w:t>,</w:t>
      </w:r>
      <w:r w:rsidRPr="00D64D5C">
        <w:rPr>
          <w:color w:val="000000"/>
          <w:szCs w:val="16"/>
          <w:lang w:val="en-US"/>
        </w:rPr>
        <w:t xml:space="preserve"> and </w:t>
      </w:r>
      <w:r w:rsidRPr="00D64D5C">
        <w:rPr>
          <w:bCs/>
          <w:i/>
          <w:szCs w:val="16"/>
          <w:lang w:val="en-US"/>
        </w:rPr>
        <w:t>Case of Suárez Peralta v. Ecuador</w:t>
      </w:r>
      <w:r w:rsidRPr="00D64D5C">
        <w:rPr>
          <w:bCs/>
          <w:szCs w:val="16"/>
          <w:lang w:val="en-US"/>
        </w:rPr>
        <w:t>, para. 127</w:t>
      </w:r>
      <w:r w:rsidRPr="00D64D5C">
        <w:rPr>
          <w:szCs w:val="16"/>
          <w:lang w:val="en-US"/>
        </w:rPr>
        <w:t>.</w:t>
      </w:r>
    </w:p>
  </w:footnote>
  <w:footnote w:id="194">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szCs w:val="16"/>
          <w:lang w:val="en-US"/>
        </w:rPr>
        <w:t>Cf.</w:t>
      </w:r>
      <w:r w:rsidRPr="00D64D5C">
        <w:rPr>
          <w:i/>
          <w:iCs/>
          <w:szCs w:val="16"/>
          <w:lang w:val="en-US"/>
        </w:rPr>
        <w:t xml:space="preserve"> </w:t>
      </w:r>
      <w:r w:rsidRPr="00D64D5C">
        <w:rPr>
          <w:rStyle w:val="Strong"/>
          <w:b w:val="0"/>
          <w:i/>
          <w:color w:val="000000"/>
          <w:shd w:val="clear" w:color="auto" w:fill="FFFFFF"/>
          <w:lang w:val="en-US"/>
        </w:rPr>
        <w:t xml:space="preserve">Case of Ximenes Lopes v. Brazil. Merits, reparations and costs. </w:t>
      </w:r>
      <w:r w:rsidRPr="00D64D5C">
        <w:rPr>
          <w:rStyle w:val="Strong"/>
          <w:b w:val="0"/>
          <w:color w:val="000000"/>
          <w:shd w:val="clear" w:color="auto" w:fill="FFFFFF"/>
          <w:lang w:val="en-US"/>
        </w:rPr>
        <w:t>Judgment of July 4, 2006. Series C No. 149, paras. 99 and 125</w:t>
      </w:r>
      <w:r w:rsidRPr="00D64D5C">
        <w:rPr>
          <w:i/>
          <w:szCs w:val="16"/>
          <w:lang w:val="en-US"/>
        </w:rPr>
        <w:t>,</w:t>
      </w:r>
      <w:r w:rsidRPr="00D64D5C">
        <w:rPr>
          <w:color w:val="000000"/>
          <w:szCs w:val="16"/>
          <w:lang w:val="en-US"/>
        </w:rPr>
        <w:t xml:space="preserve"> and </w:t>
      </w:r>
      <w:r w:rsidRPr="00D64D5C">
        <w:rPr>
          <w:bCs/>
          <w:i/>
          <w:szCs w:val="16"/>
          <w:lang w:val="en-US"/>
        </w:rPr>
        <w:t>Case of Suárez Peralta v. Ecuador</w:t>
      </w:r>
      <w:r w:rsidRPr="00D64D5C">
        <w:rPr>
          <w:bCs/>
          <w:szCs w:val="16"/>
          <w:lang w:val="en-US"/>
        </w:rPr>
        <w:t>, para. 134</w:t>
      </w:r>
      <w:r w:rsidRPr="00D64D5C">
        <w:rPr>
          <w:szCs w:val="16"/>
          <w:lang w:val="en-US"/>
        </w:rPr>
        <w:t>.</w:t>
      </w:r>
    </w:p>
  </w:footnote>
  <w:footnote w:id="195">
    <w:p w:rsidR="0051351F" w:rsidRPr="00D64D5C" w:rsidRDefault="0051351F" w:rsidP="00FC14B8">
      <w:pPr>
        <w:pStyle w:val="FootnoteText"/>
        <w:tabs>
          <w:tab w:val="left" w:pos="540"/>
        </w:tabs>
        <w:spacing w:before="0" w:after="100"/>
        <w:rPr>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the “Mapiripán Massacre” v. Colombia</w:t>
      </w:r>
      <w:r w:rsidRPr="00D64D5C">
        <w:rPr>
          <w:szCs w:val="16"/>
          <w:lang w:val="en-US"/>
        </w:rPr>
        <w:t xml:space="preserve">, para. 111, and </w:t>
      </w:r>
      <w:r w:rsidRPr="00D64D5C">
        <w:rPr>
          <w:bCs/>
          <w:i/>
          <w:szCs w:val="16"/>
          <w:lang w:val="en-US"/>
        </w:rPr>
        <w:t>Case of Suárez Peralta v. Ecuador</w:t>
      </w:r>
      <w:r w:rsidRPr="00D64D5C">
        <w:rPr>
          <w:bCs/>
          <w:szCs w:val="16"/>
          <w:lang w:val="en-US"/>
        </w:rPr>
        <w:t>, para. 129.</w:t>
      </w:r>
      <w:r w:rsidRPr="00D64D5C">
        <w:rPr>
          <w:b/>
          <w:bCs/>
          <w:szCs w:val="16"/>
          <w:lang w:val="en-US"/>
        </w:rPr>
        <w:t xml:space="preserve"> </w:t>
      </w:r>
      <w:r w:rsidRPr="00D64D5C">
        <w:rPr>
          <w:lang w:val="en-US"/>
        </w:rPr>
        <w:t xml:space="preserve">Similarly, </w:t>
      </w:r>
      <w:r w:rsidRPr="00D64D5C">
        <w:rPr>
          <w:i/>
          <w:lang w:val="en-US"/>
        </w:rPr>
        <w:t>Juridical Status and Rights of Undocumented Migrants</w:t>
      </w:r>
      <w:r w:rsidRPr="00D64D5C">
        <w:rPr>
          <w:lang w:val="en-US"/>
        </w:rPr>
        <w:t>, para. 140.</w:t>
      </w:r>
    </w:p>
  </w:footnote>
  <w:footnote w:id="19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i/>
          <w:szCs w:val="16"/>
          <w:lang w:val="en-US"/>
        </w:rPr>
        <w:t xml:space="preserve"> </w:t>
      </w:r>
      <w:r w:rsidRPr="00D64D5C">
        <w:rPr>
          <w:i/>
          <w:szCs w:val="16"/>
          <w:lang w:val="en-US"/>
        </w:rPr>
        <w:tab/>
        <w:t xml:space="preserve">Cf. </w:t>
      </w:r>
      <w:r w:rsidRPr="00D64D5C">
        <w:rPr>
          <w:bCs/>
          <w:i/>
          <w:szCs w:val="16"/>
          <w:lang w:val="en-US"/>
        </w:rPr>
        <w:t>Case of the Pueblo Bello Massacre v. Colombia</w:t>
      </w:r>
      <w:r w:rsidRPr="00D64D5C">
        <w:rPr>
          <w:bCs/>
          <w:szCs w:val="16"/>
          <w:lang w:val="en-US"/>
        </w:rPr>
        <w:t xml:space="preserve">. Judgment of January 31, 2006. </w:t>
      </w:r>
      <w:r w:rsidRPr="0051351F">
        <w:rPr>
          <w:bCs/>
          <w:szCs w:val="16"/>
        </w:rPr>
        <w:t>Series C No. 140,</w:t>
      </w:r>
      <w:r w:rsidRPr="0051351F">
        <w:rPr>
          <w:szCs w:val="16"/>
        </w:rPr>
        <w:t xml:space="preserve"> para. 123, and </w:t>
      </w:r>
      <w:r w:rsidRPr="0051351F">
        <w:rPr>
          <w:bCs/>
          <w:i/>
          <w:szCs w:val="16"/>
        </w:rPr>
        <w:t>Case of Suárez Peralta v. Ecuador</w:t>
      </w:r>
      <w:r w:rsidRPr="0051351F">
        <w:rPr>
          <w:bCs/>
          <w:szCs w:val="16"/>
        </w:rPr>
        <w:t xml:space="preserve">, para. </w:t>
      </w:r>
      <w:r w:rsidRPr="00D64D5C">
        <w:rPr>
          <w:bCs/>
          <w:szCs w:val="16"/>
          <w:lang w:val="en-US"/>
        </w:rPr>
        <w:t>129.</w:t>
      </w:r>
    </w:p>
  </w:footnote>
  <w:footnote w:id="19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hd w:val="clear" w:color="auto" w:fill="FFFFFF"/>
          <w:lang w:val="en-US"/>
        </w:rPr>
        <w:t>Case of Albán Cornejo et al. v. Ecuador. Merits, reparations and costs</w:t>
      </w:r>
      <w:r w:rsidRPr="00D64D5C">
        <w:rPr>
          <w:rStyle w:val="Strong"/>
          <w:b w:val="0"/>
          <w:color w:val="000000"/>
          <w:shd w:val="clear" w:color="auto" w:fill="FFFFFF"/>
          <w:lang w:val="en-US"/>
        </w:rPr>
        <w:t>. Judgment of November 22, 2007. Series C No. 171,</w:t>
      </w:r>
      <w:r w:rsidRPr="00D64D5C">
        <w:rPr>
          <w:rStyle w:val="Strong"/>
          <w:color w:val="000000"/>
          <w:shd w:val="clear" w:color="auto" w:fill="FFFFFF"/>
          <w:lang w:val="en-US"/>
        </w:rPr>
        <w:t xml:space="preserve"> </w:t>
      </w:r>
      <w:r w:rsidRPr="00D64D5C">
        <w:rPr>
          <w:szCs w:val="16"/>
          <w:lang w:val="en-US"/>
        </w:rPr>
        <w:t>para. 117</w:t>
      </w:r>
      <w:r w:rsidRPr="00D64D5C">
        <w:rPr>
          <w:i/>
          <w:szCs w:val="16"/>
          <w:lang w:val="en-US"/>
        </w:rPr>
        <w:t xml:space="preserve">, and </w:t>
      </w:r>
      <w:r w:rsidRPr="00D64D5C">
        <w:rPr>
          <w:bCs/>
          <w:i/>
          <w:szCs w:val="16"/>
          <w:lang w:val="en-US"/>
        </w:rPr>
        <w:t>Case of Suárez Peralta v. Ecuador</w:t>
      </w:r>
      <w:r w:rsidRPr="00D64D5C">
        <w:rPr>
          <w:bCs/>
          <w:szCs w:val="16"/>
          <w:lang w:val="en-US"/>
        </w:rPr>
        <w:t>, para. 130.</w:t>
      </w:r>
    </w:p>
  </w:footnote>
  <w:footnote w:id="19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Tibi v. Ecuador. Preliminary objections, merits, reparations and costs. </w:t>
      </w:r>
      <w:r w:rsidRPr="00D64D5C">
        <w:rPr>
          <w:szCs w:val="16"/>
          <w:lang w:val="en-US"/>
        </w:rPr>
        <w:t xml:space="preserve">Judgment of September 7, 2004. Series C No. 114, para. 157, and </w:t>
      </w:r>
      <w:r w:rsidRPr="00D64D5C">
        <w:rPr>
          <w:bCs/>
          <w:i/>
          <w:szCs w:val="16"/>
          <w:lang w:val="en-US"/>
        </w:rPr>
        <w:t>Case of Suárez Peralta v. Ecuador</w:t>
      </w:r>
      <w:r w:rsidRPr="00D64D5C">
        <w:rPr>
          <w:bCs/>
          <w:szCs w:val="16"/>
          <w:lang w:val="en-US"/>
        </w:rPr>
        <w:t>, para. 130.</w:t>
      </w:r>
    </w:p>
  </w:footnote>
  <w:footnote w:id="19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hd w:val="clear" w:color="auto" w:fill="FFFFFF"/>
          <w:lang w:val="en-US"/>
        </w:rPr>
        <w:t>Case of Ximenes Lopes v. Brazil</w:t>
      </w:r>
      <w:r w:rsidRPr="00D64D5C">
        <w:rPr>
          <w:rStyle w:val="Strong"/>
          <w:b w:val="0"/>
          <w:color w:val="000000"/>
          <w:shd w:val="clear" w:color="auto" w:fill="FFFFFF"/>
          <w:lang w:val="en-US"/>
        </w:rPr>
        <w:t xml:space="preserve">, </w:t>
      </w:r>
      <w:r w:rsidRPr="00D64D5C">
        <w:rPr>
          <w:iCs/>
          <w:szCs w:val="16"/>
          <w:lang w:val="en-US"/>
        </w:rPr>
        <w:t xml:space="preserve">paras. 89 and 90, and </w:t>
      </w:r>
      <w:r w:rsidRPr="00D64D5C">
        <w:rPr>
          <w:bCs/>
          <w:i/>
          <w:szCs w:val="16"/>
          <w:lang w:val="en-US"/>
        </w:rPr>
        <w:t>Case of Suárez Peralta v. Ecuador</w:t>
      </w:r>
      <w:r w:rsidRPr="00D64D5C">
        <w:rPr>
          <w:bCs/>
          <w:szCs w:val="16"/>
          <w:lang w:val="en-US"/>
        </w:rPr>
        <w:t xml:space="preserve">, para. 130. </w:t>
      </w:r>
      <w:r w:rsidRPr="00D64D5C">
        <w:rPr>
          <w:szCs w:val="16"/>
          <w:lang w:val="en-US"/>
        </w:rPr>
        <w:t xml:space="preserve">See also: European Court of Human Rights (hereinafter “ECHR”), </w:t>
      </w:r>
      <w:r w:rsidRPr="00D64D5C">
        <w:rPr>
          <w:i/>
          <w:szCs w:val="16"/>
          <w:lang w:val="en-US"/>
        </w:rPr>
        <w:t xml:space="preserve">Case of Lazar v. Romania, </w:t>
      </w:r>
      <w:r w:rsidRPr="00D64D5C">
        <w:rPr>
          <w:szCs w:val="16"/>
          <w:lang w:val="en-US"/>
        </w:rPr>
        <w:t xml:space="preserve">No. 32146/05. Third Section. Judgment of 16 May 2010, para. 66; </w:t>
      </w:r>
      <w:r w:rsidRPr="00D64D5C">
        <w:rPr>
          <w:i/>
          <w:szCs w:val="16"/>
          <w:lang w:val="en-US"/>
        </w:rPr>
        <w:t>Case of Z v. Poland</w:t>
      </w:r>
      <w:r w:rsidRPr="00D64D5C">
        <w:rPr>
          <w:szCs w:val="16"/>
          <w:lang w:val="en-US"/>
        </w:rPr>
        <w:t xml:space="preserve">, No. 46132/08. Fourth Section. Judgment of 13 November 2012, </w:t>
      </w:r>
      <w:r w:rsidRPr="00D64D5C">
        <w:rPr>
          <w:rFonts w:cs="Lucida Grande"/>
          <w:szCs w:val="16"/>
          <w:lang w:val="en-US"/>
        </w:rPr>
        <w:t>para.</w:t>
      </w:r>
      <w:r w:rsidRPr="00D64D5C">
        <w:rPr>
          <w:szCs w:val="16"/>
          <w:lang w:val="en-US"/>
        </w:rPr>
        <w:t xml:space="preserve"> 76, and United Nations, Economic and Social Council, Committee on Economic, Social and Cultural Rights. General comment No. 14, E/C.12/2000/4, 11 August 2000, paras. 12, 33, 35, 36 and 51. </w:t>
      </w:r>
    </w:p>
  </w:footnote>
  <w:footnote w:id="200">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 xml:space="preserve">Cf. </w:t>
      </w:r>
      <w:r w:rsidRPr="00D64D5C">
        <w:rPr>
          <w:bCs/>
          <w:i/>
          <w:sz w:val="16"/>
          <w:szCs w:val="16"/>
          <w:lang w:val="en-US"/>
        </w:rPr>
        <w:t xml:space="preserve">Case of Acevedo Buendía et al. (“Discharged and Retired Employees of the Comptroller’s Office”) v. Peru. </w:t>
      </w:r>
      <w:r w:rsidRPr="00D64D5C">
        <w:rPr>
          <w:i/>
          <w:sz w:val="16"/>
          <w:szCs w:val="16"/>
          <w:lang w:val="en-US"/>
        </w:rPr>
        <w:t xml:space="preserve">Preliminary objection, merits, reparations and costs. </w:t>
      </w:r>
      <w:r w:rsidRPr="00D64D5C">
        <w:rPr>
          <w:sz w:val="16"/>
          <w:szCs w:val="16"/>
          <w:lang w:val="en-US"/>
        </w:rPr>
        <w:t xml:space="preserve">Judgment of July 1, 2009. Series C No. 198, para. 101, and </w:t>
      </w:r>
      <w:r w:rsidRPr="00D64D5C">
        <w:rPr>
          <w:bCs/>
          <w:i/>
          <w:sz w:val="16"/>
          <w:szCs w:val="16"/>
          <w:lang w:val="en-US"/>
        </w:rPr>
        <w:t>Case of Suárez Peralta v. Ecuador</w:t>
      </w:r>
      <w:r w:rsidRPr="00D64D5C">
        <w:rPr>
          <w:bCs/>
          <w:sz w:val="16"/>
          <w:szCs w:val="16"/>
          <w:lang w:val="en-US"/>
        </w:rPr>
        <w:t>, para. 131</w:t>
      </w:r>
      <w:r w:rsidRPr="00D64D5C">
        <w:rPr>
          <w:sz w:val="16"/>
          <w:szCs w:val="16"/>
          <w:lang w:val="en-US"/>
        </w:rPr>
        <w:t xml:space="preserve">. Similarly: </w:t>
      </w:r>
      <w:r w:rsidRPr="00D64D5C">
        <w:rPr>
          <w:i/>
          <w:sz w:val="16"/>
          <w:szCs w:val="16"/>
          <w:lang w:val="en-US"/>
        </w:rPr>
        <w:t>Cf.</w:t>
      </w:r>
      <w:r w:rsidRPr="00D64D5C">
        <w:rPr>
          <w:sz w:val="16"/>
          <w:szCs w:val="16"/>
          <w:lang w:val="en-US"/>
        </w:rPr>
        <w:t xml:space="preserve"> United Nations, Economic and Social Council, Committee on Economic, Social and Cultural Rights. General comment No. 9, E/C.12/1998/24, 3 December 1998, para. 10. See also: ECHR,  </w:t>
      </w:r>
      <w:r w:rsidRPr="00D64D5C">
        <w:rPr>
          <w:i/>
          <w:sz w:val="16"/>
          <w:szCs w:val="16"/>
          <w:lang w:val="en-US"/>
        </w:rPr>
        <w:t>Case of Airey v. Ireland</w:t>
      </w:r>
      <w:r w:rsidRPr="00D64D5C">
        <w:rPr>
          <w:sz w:val="16"/>
          <w:szCs w:val="16"/>
          <w:lang w:val="en-US"/>
        </w:rPr>
        <w:t>, N</w:t>
      </w:r>
      <w:r w:rsidRPr="00D64D5C">
        <w:rPr>
          <w:rStyle w:val="s6b621b36"/>
          <w:sz w:val="16"/>
          <w:szCs w:val="16"/>
          <w:lang w:val="en-US"/>
        </w:rPr>
        <w:t xml:space="preserve">o. 6289/73. Judgment of 9 October 1979, para. 26 and </w:t>
      </w:r>
      <w:r w:rsidRPr="00D64D5C">
        <w:rPr>
          <w:i/>
          <w:sz w:val="16"/>
          <w:szCs w:val="16"/>
          <w:lang w:val="en-US"/>
        </w:rPr>
        <w:t>Case of Sidabras and Dziautas v. Lithuania</w:t>
      </w:r>
      <w:r w:rsidRPr="00D64D5C">
        <w:rPr>
          <w:sz w:val="16"/>
          <w:szCs w:val="16"/>
          <w:lang w:val="en-US"/>
        </w:rPr>
        <w:t xml:space="preserve">, </w:t>
      </w:r>
      <w:r w:rsidRPr="00D64D5C">
        <w:rPr>
          <w:rStyle w:val="s6b621b36"/>
          <w:sz w:val="16"/>
          <w:szCs w:val="16"/>
          <w:lang w:val="en-US"/>
        </w:rPr>
        <w:t xml:space="preserve">Nos. </w:t>
      </w:r>
      <w:r w:rsidRPr="00D64D5C">
        <w:rPr>
          <w:rStyle w:val="skypepnhprintcontainer"/>
          <w:sz w:val="16"/>
          <w:szCs w:val="16"/>
          <w:lang w:val="en-US"/>
        </w:rPr>
        <w:t xml:space="preserve">55480/00 and 59330/00. Second Section. Judgment of 27 July 2004, para. </w:t>
      </w:r>
      <w:r w:rsidRPr="00D64D5C">
        <w:rPr>
          <w:rStyle w:val="skypepnhcontainer"/>
          <w:sz w:val="16"/>
          <w:szCs w:val="16"/>
          <w:lang w:val="en-US"/>
        </w:rPr>
        <w:t>47.</w:t>
      </w:r>
      <w:r w:rsidRPr="00D64D5C">
        <w:rPr>
          <w:sz w:val="16"/>
          <w:szCs w:val="16"/>
          <w:lang w:val="en-US"/>
        </w:rPr>
        <w:t xml:space="preserve"> In the Case of </w:t>
      </w:r>
      <w:r w:rsidRPr="00D64D5C">
        <w:rPr>
          <w:i/>
          <w:sz w:val="16"/>
          <w:szCs w:val="16"/>
          <w:lang w:val="en-US"/>
        </w:rPr>
        <w:t>Airey v. Ireland,</w:t>
      </w:r>
      <w:r w:rsidRPr="00D64D5C">
        <w:rPr>
          <w:sz w:val="16"/>
          <w:szCs w:val="16"/>
          <w:lang w:val="en-US"/>
        </w:rPr>
        <w:t xml:space="preserve"> the European Court indicated: “Whilst the Convention sets forth what are essentially civil and political rights, many of them have implications of a social or economic nature. The Court therefore considers, like the Commission, that the mere fact that an interpretation of the Convention may extend into the sphere of social and economic rights should not be a decisive factor against such an interpretation; there is no water-tight division separating that sphere from the field covered by the Convention.”</w:t>
      </w:r>
    </w:p>
  </w:footnote>
  <w:footnote w:id="201">
    <w:p w:rsidR="0051351F" w:rsidRPr="00D64D5C" w:rsidRDefault="0051351F" w:rsidP="00FC14B8">
      <w:pPr>
        <w:tabs>
          <w:tab w:val="left" w:pos="540"/>
        </w:tabs>
        <w:rPr>
          <w:sz w:val="16"/>
          <w:szCs w:val="16"/>
          <w:lang w:val="en-US"/>
        </w:rPr>
      </w:pPr>
      <w:r w:rsidRPr="00D64D5C">
        <w:rPr>
          <w:rStyle w:val="FootnoteReference"/>
          <w:sz w:val="16"/>
          <w:szCs w:val="16"/>
          <w:lang w:val="en-US"/>
        </w:rPr>
        <w:footnoteRef/>
      </w:r>
      <w:r w:rsidRPr="00D64D5C">
        <w:rPr>
          <w:sz w:val="16"/>
          <w:szCs w:val="16"/>
          <w:vertAlign w:val="superscript"/>
          <w:lang w:val="en-US"/>
        </w:rPr>
        <w:t xml:space="preserve"> </w:t>
      </w:r>
      <w:r w:rsidRPr="00D64D5C">
        <w:rPr>
          <w:sz w:val="16"/>
          <w:szCs w:val="16"/>
          <w:lang w:val="en-US"/>
        </w:rPr>
        <w:tab/>
      </w:r>
      <w:r w:rsidRPr="00D64D5C">
        <w:rPr>
          <w:bCs/>
          <w:sz w:val="16"/>
          <w:szCs w:val="16"/>
          <w:lang w:val="en-US"/>
        </w:rPr>
        <w:t>Article 26 of the American Convention (Pact of San José) refers to the progressive achievement, “</w:t>
      </w:r>
      <w:r w:rsidRPr="00D64D5C">
        <w:rPr>
          <w:spacing w:val="-3"/>
          <w:sz w:val="16"/>
          <w:szCs w:val="16"/>
          <w:lang w:val="en-US"/>
        </w:rPr>
        <w:t>by legislation or other appropriate means, [of] the full realization of the rights implicit in the economic [and] social standards set forth in the Charter of the [OAS].”</w:t>
      </w:r>
      <w:r w:rsidRPr="00D64D5C">
        <w:rPr>
          <w:bCs/>
          <w:sz w:val="16"/>
          <w:szCs w:val="16"/>
          <w:lang w:val="en-US"/>
        </w:rPr>
        <w:t xml:space="preserve"> Contained in this reference is the right to health. Regarding the State’s obligations in relation to economic, social and cultural rights, the Committee on Economic, Social and Cultural Rights has indicated that: “</w:t>
      </w:r>
      <w:r w:rsidRPr="00D64D5C">
        <w:rPr>
          <w:sz w:val="16"/>
          <w:szCs w:val="16"/>
          <w:lang w:val="en-US"/>
        </w:rPr>
        <w:t xml:space="preserve">while the full realization of the relevant rights may be achieved progressively, steps towards that goal must be taken within a reasonably short time after the Covenant's entry into force for the States concerned. Such steps should be deliberate, concrete and targeted as clearly as possible towards meeting the obligations recognized in the Covenant.” It also indicated that “[a]mong the measures which might be considered appropriate, in addition to legislation, is the provision of judicial remedies with respect to rights which may, in accordance with the national legal system, be considered justiciable. The Committee notes, for example, that the enjoyment of the rights recognized, without discrimination, will often be appropriately promoted, in part, through the provision of judicial or other effective remedies.” </w:t>
      </w:r>
      <w:r w:rsidRPr="00D64D5C">
        <w:rPr>
          <w:i/>
          <w:sz w:val="16"/>
          <w:szCs w:val="16"/>
          <w:lang w:val="en-US"/>
        </w:rPr>
        <w:t xml:space="preserve">Cf. </w:t>
      </w:r>
      <w:r w:rsidRPr="00D64D5C">
        <w:rPr>
          <w:sz w:val="16"/>
          <w:szCs w:val="16"/>
          <w:lang w:val="en-US"/>
        </w:rPr>
        <w:t xml:space="preserve">United Nations, Economic and Social Council, Committee on Economic, Social and Cultural Rights. General comment No. 3, </w:t>
      </w:r>
      <w:r w:rsidRPr="00D64D5C">
        <w:rPr>
          <w:bCs/>
          <w:sz w:val="16"/>
          <w:szCs w:val="16"/>
          <w:lang w:val="en-US"/>
        </w:rPr>
        <w:t>E/1991/23</w:t>
      </w:r>
      <w:r w:rsidRPr="00D64D5C">
        <w:rPr>
          <w:sz w:val="16"/>
          <w:szCs w:val="16"/>
          <w:lang w:val="en-US"/>
        </w:rPr>
        <w:t xml:space="preserve">, 14 December 1990, </w:t>
      </w:r>
      <w:r w:rsidRPr="00D64D5C">
        <w:rPr>
          <w:bCs/>
          <w:sz w:val="16"/>
          <w:szCs w:val="16"/>
          <w:lang w:val="en-US"/>
        </w:rPr>
        <w:t>paras. 2 and 5.</w:t>
      </w:r>
    </w:p>
  </w:footnote>
  <w:footnote w:id="202">
    <w:p w:rsidR="0051351F" w:rsidRPr="00D64D5C" w:rsidRDefault="0051351F" w:rsidP="00FC14B8">
      <w:pPr>
        <w:pStyle w:val="NormalWeb"/>
        <w:tabs>
          <w:tab w:val="left" w:pos="540"/>
        </w:tabs>
        <w:spacing w:before="90" w:beforeAutospacing="0" w:after="45" w:afterAutospacing="0"/>
        <w:jc w:val="both"/>
        <w:rPr>
          <w:rFonts w:ascii="Verdana" w:hAnsi="Verdana" w:cs="Arial"/>
          <w:bCs/>
          <w:sz w:val="16"/>
          <w:szCs w:val="16"/>
          <w:lang w:val="en-US"/>
        </w:rPr>
      </w:pPr>
      <w:r w:rsidRPr="00D64D5C">
        <w:rPr>
          <w:rStyle w:val="FootnoteReference"/>
          <w:rFonts w:ascii="Verdana" w:hAnsi="Verdana"/>
          <w:sz w:val="16"/>
          <w:szCs w:val="16"/>
          <w:lang w:val="en-US"/>
        </w:rPr>
        <w:footnoteRef/>
      </w:r>
      <w:r w:rsidRPr="00D64D5C">
        <w:rPr>
          <w:rFonts w:ascii="Verdana" w:hAnsi="Verdana"/>
          <w:sz w:val="16"/>
          <w:szCs w:val="16"/>
          <w:lang w:val="en-US"/>
        </w:rPr>
        <w:t xml:space="preserve"> </w:t>
      </w:r>
      <w:r w:rsidRPr="00D64D5C">
        <w:rPr>
          <w:rFonts w:ascii="Verdana" w:hAnsi="Verdana"/>
          <w:sz w:val="16"/>
          <w:szCs w:val="16"/>
          <w:lang w:val="en-US"/>
        </w:rPr>
        <w:tab/>
        <w:t>This article establishes that: “1.</w:t>
      </w:r>
      <w:r w:rsidRPr="00D64D5C">
        <w:rPr>
          <w:rFonts w:ascii="Verdana" w:hAnsi="Verdana" w:cs="Tahoma"/>
          <w:bCs/>
          <w:sz w:val="16"/>
          <w:szCs w:val="16"/>
          <w:lang w:val="en-US"/>
        </w:rPr>
        <w:t xml:space="preserve"> Everyone shall have the right to health, understood to mean the enjoyment of the highest level of physical, mental and social well-being.</w:t>
      </w:r>
      <w:r w:rsidRPr="00D64D5C">
        <w:rPr>
          <w:rFonts w:ascii="Verdana" w:hAnsi="Verdana" w:cs="Arial"/>
          <w:bCs/>
          <w:sz w:val="16"/>
          <w:szCs w:val="16"/>
          <w:lang w:val="en-US"/>
        </w:rPr>
        <w:t xml:space="preserve"> </w:t>
      </w:r>
      <w:r w:rsidRPr="00D64D5C">
        <w:rPr>
          <w:rFonts w:ascii="Verdana" w:hAnsi="Verdana" w:cs="Tahoma"/>
          <w:bCs/>
          <w:sz w:val="16"/>
          <w:szCs w:val="16"/>
          <w:lang w:val="en-US"/>
        </w:rPr>
        <w:t>2. In order to ensure the exercise of the right to health, the States Parties agree to recognize health as a public good and, particularly, to adopt the following measures to ensure that right:</w:t>
      </w:r>
      <w:r w:rsidRPr="00D64D5C">
        <w:rPr>
          <w:rFonts w:ascii="Verdana" w:hAnsi="Verdana" w:cs="Arial"/>
          <w:bCs/>
          <w:sz w:val="16"/>
          <w:szCs w:val="16"/>
          <w:lang w:val="en-US"/>
        </w:rPr>
        <w:t xml:space="preserve"> </w:t>
      </w:r>
      <w:r w:rsidRPr="00D64D5C">
        <w:rPr>
          <w:rFonts w:ascii="Verdana" w:hAnsi="Verdana" w:cs="Tahoma"/>
          <w:bCs/>
          <w:sz w:val="16"/>
          <w:szCs w:val="16"/>
          <w:lang w:val="en-US"/>
        </w:rPr>
        <w:t>a. Primary health care, that is, essential health care made available to all individuals and families in the community, [and]</w:t>
      </w:r>
      <w:r w:rsidRPr="00D64D5C">
        <w:rPr>
          <w:rFonts w:ascii="Verdana" w:hAnsi="Verdana" w:cs="Arial"/>
          <w:bCs/>
          <w:sz w:val="16"/>
          <w:szCs w:val="16"/>
          <w:lang w:val="en-US"/>
        </w:rPr>
        <w:t xml:space="preserve"> </w:t>
      </w:r>
      <w:r w:rsidRPr="00D64D5C">
        <w:rPr>
          <w:rFonts w:ascii="Verdana" w:hAnsi="Verdana" w:cs="Tahoma"/>
          <w:bCs/>
          <w:sz w:val="16"/>
          <w:szCs w:val="16"/>
          <w:lang w:val="en-US"/>
        </w:rPr>
        <w:t>b. Extension of the benefits of health services to all individuals subject to the State's jurisdiction.”</w:t>
      </w:r>
    </w:p>
  </w:footnote>
  <w:footnote w:id="203">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Cf.</w:t>
      </w:r>
      <w:r w:rsidRPr="00D64D5C">
        <w:rPr>
          <w:sz w:val="16"/>
          <w:szCs w:val="16"/>
          <w:lang w:val="en-US"/>
        </w:rPr>
        <w:t xml:space="preserve"> OAS, Progress Indicators in respect of Rights contemplated in the Protocol of </w:t>
      </w:r>
      <w:r w:rsidRPr="00D64D5C">
        <w:rPr>
          <w:iCs/>
          <w:sz w:val="16"/>
          <w:szCs w:val="16"/>
          <w:lang w:val="en-US"/>
        </w:rPr>
        <w:t>San Salvador</w:t>
      </w:r>
      <w:r w:rsidRPr="00D64D5C">
        <w:rPr>
          <w:sz w:val="16"/>
          <w:szCs w:val="16"/>
          <w:lang w:val="en-US"/>
        </w:rPr>
        <w:t xml:space="preserve">, OEA/Ser.L/XXV.2.1, Doc 2/11 rev.2, December 16, 2011, paras. 66 and 67. This document establishes that: “The Protocol refers to observance of the right in the framework of a health system that, however basic it may be, should ensure access to primary health care and the progressive development of a system that provides coverage to the country’s entire population. […] </w:t>
      </w:r>
      <w:r w:rsidRPr="00D64D5C">
        <w:rPr>
          <w:color w:val="000000"/>
          <w:sz w:val="16"/>
          <w:szCs w:val="16"/>
          <w:lang w:val="en-US"/>
        </w:rPr>
        <w:t xml:space="preserve">As well as being culturally acceptable, health facilities, goods and services must also be scientifically and medically appropriate and of good quality. This requires, inter alia, skilled medical personnel, scientifically approved and unexpired drugs and hospital equipment, safe and potable water, and adequate sanitation.” </w:t>
      </w:r>
      <w:r w:rsidRPr="00D64D5C">
        <w:rPr>
          <w:sz w:val="16"/>
          <w:szCs w:val="16"/>
          <w:lang w:val="en-US"/>
        </w:rPr>
        <w:t xml:space="preserve">Also, the said indicators include: “Existence of administrative recourse to submit complaints concerning violation of obligations connected with the right to health. Competencies of ministries or oversight agencies in terms of receiving complaints from health system users. Training policies for judges and lawyers on the right to health.” Similarly, </w:t>
      </w:r>
      <w:r w:rsidRPr="00D64D5C">
        <w:rPr>
          <w:i/>
          <w:sz w:val="16"/>
          <w:szCs w:val="16"/>
          <w:lang w:val="en-US"/>
        </w:rPr>
        <w:t>Cf.</w:t>
      </w:r>
      <w:r w:rsidRPr="00D64D5C">
        <w:rPr>
          <w:sz w:val="16"/>
          <w:szCs w:val="16"/>
          <w:lang w:val="en-US"/>
        </w:rPr>
        <w:t xml:space="preserve"> United Nations, Economic and Social Council, Committee on Economic, Social and Cultural Rights. General comment No. 9, E/C.12/1998/24, 3 December 1998, para. 10. See also OAS, Social Charter of the Americas, approved by the OAS General Assembly on June 4, 2012, AG/doc.5242/12 rev. 2.</w:t>
      </w:r>
    </w:p>
  </w:footnote>
  <w:footnote w:id="204">
    <w:p w:rsidR="0051351F" w:rsidRPr="00D64D5C" w:rsidRDefault="0051351F" w:rsidP="00FC14B8">
      <w:pPr>
        <w:pStyle w:val="FootnoteText"/>
        <w:tabs>
          <w:tab w:val="left" w:pos="540"/>
        </w:tabs>
        <w:spacing w:before="0" w:after="100"/>
        <w:rPr>
          <w:bCs/>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United Nations, Economic and Social Council, Committee on Economic, Social and Cultural Rights. General comment No. 14, E/C.12/2000/4, 11 August 2000, para. 12</w:t>
      </w:r>
      <w:r w:rsidRPr="00D64D5C">
        <w:rPr>
          <w:bCs/>
          <w:szCs w:val="16"/>
          <w:lang w:val="en-US"/>
        </w:rPr>
        <w:t>.</w:t>
      </w:r>
    </w:p>
  </w:footnote>
  <w:footnote w:id="20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Ecuador</w:t>
      </w:r>
      <w:r w:rsidRPr="00D64D5C">
        <w:rPr>
          <w:bCs/>
          <w:szCs w:val="16"/>
          <w:lang w:val="en-US"/>
        </w:rPr>
        <w:t xml:space="preserve"> ratified this Convention on March 23, 1990, and it entered into force on September 2, 1990.</w:t>
      </w:r>
    </w:p>
  </w:footnote>
  <w:footnote w:id="206">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ab/>
        <w:t xml:space="preserve">On this point, in the case of </w:t>
      </w:r>
      <w:r w:rsidRPr="00D64D5C">
        <w:rPr>
          <w:i/>
          <w:sz w:val="16"/>
          <w:szCs w:val="16"/>
          <w:lang w:val="en-US"/>
        </w:rPr>
        <w:t xml:space="preserve">Ximenes Lopes, </w:t>
      </w:r>
      <w:r w:rsidRPr="00D64D5C">
        <w:rPr>
          <w:sz w:val="16"/>
          <w:szCs w:val="16"/>
          <w:lang w:val="en-US"/>
        </w:rPr>
        <w:t xml:space="preserve">the Court indicated that the assumptions of State reponsibility for violation of rights established in the Convention may include the conduct described in the Resolution of the International Law Commission, “of a person or entity that, although not a State body, is authorized by the laws of the State to exercise powers entailing the authority of the State. Such conduct, by either a natural or legal person, must be deemed to be an act of the State, provided that the latter was acting in this capacity.” </w:t>
      </w:r>
      <w:r w:rsidRPr="00D64D5C">
        <w:rPr>
          <w:i/>
          <w:sz w:val="16"/>
          <w:szCs w:val="16"/>
          <w:lang w:val="en-US"/>
        </w:rPr>
        <w:t>Cf.</w:t>
      </w:r>
      <w:r w:rsidRPr="00D64D5C">
        <w:rPr>
          <w:sz w:val="16"/>
          <w:szCs w:val="16"/>
          <w:lang w:val="en-US"/>
        </w:rPr>
        <w:t xml:space="preserve"> </w:t>
      </w:r>
      <w:r w:rsidRPr="00D64D5C">
        <w:rPr>
          <w:bCs/>
          <w:i/>
          <w:sz w:val="16"/>
          <w:szCs w:val="16"/>
          <w:lang w:val="en-US"/>
        </w:rPr>
        <w:t>Case of Ximenes Lopes v. Brazil</w:t>
      </w:r>
      <w:r w:rsidRPr="00D64D5C">
        <w:rPr>
          <w:bCs/>
          <w:sz w:val="16"/>
          <w:szCs w:val="16"/>
          <w:lang w:val="en-US"/>
        </w:rPr>
        <w:t>, para. 86, and Responsibility of States for Internationally Wrongful Acts</w:t>
      </w:r>
      <w:r w:rsidRPr="00D64D5C">
        <w:rPr>
          <w:sz w:val="16"/>
          <w:szCs w:val="16"/>
          <w:lang w:val="en-US"/>
        </w:rPr>
        <w:t>. International Law Commission, fifty-third session, 2001. UN Doc. A/56/10. Text annexed to UN General Assembly Resolution 56/83 of 28 January 2002.</w:t>
      </w:r>
    </w:p>
  </w:footnote>
  <w:footnote w:id="207">
    <w:p w:rsidR="0051351F" w:rsidRPr="00D64D5C" w:rsidRDefault="0051351F" w:rsidP="00FC14B8">
      <w:pPr>
        <w:tabs>
          <w:tab w:val="left" w:pos="540"/>
          <w:tab w:val="left" w:pos="709"/>
          <w:tab w:val="right" w:leader="dot" w:pos="8222"/>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sz w:val="16"/>
          <w:szCs w:val="16"/>
          <w:lang w:val="en-US"/>
        </w:rPr>
        <w:tab/>
      </w:r>
      <w:r w:rsidRPr="00D64D5C">
        <w:rPr>
          <w:bCs/>
          <w:i/>
          <w:sz w:val="16"/>
          <w:szCs w:val="16"/>
          <w:lang w:val="en-US"/>
        </w:rPr>
        <w:t>Case of Ximenes Lopes v. Brazil</w:t>
      </w:r>
      <w:r w:rsidRPr="00D64D5C">
        <w:rPr>
          <w:bCs/>
          <w:sz w:val="16"/>
          <w:szCs w:val="16"/>
          <w:lang w:val="en-US"/>
        </w:rPr>
        <w:t xml:space="preserve">, paras. 89 and 90. Meanwhile, the Committee for the Elimination of Discrimination against Women </w:t>
      </w:r>
      <w:r w:rsidRPr="00D64D5C">
        <w:rPr>
          <w:sz w:val="16"/>
          <w:szCs w:val="16"/>
          <w:lang w:val="en-US"/>
        </w:rPr>
        <w:t xml:space="preserve">(hereinafter “CEDAW”) has noted “that the State is directly responsible for the action of private institutions when it outsources its medical services and that, furthermore, the State always maintains the duty to regulate and monitor private health-care institutions.” </w:t>
      </w:r>
      <w:r w:rsidRPr="00B31E31">
        <w:rPr>
          <w:sz w:val="16"/>
          <w:szCs w:val="16"/>
          <w:lang w:val="es-CR"/>
        </w:rPr>
        <w:t xml:space="preserve">Alyne da Silva Pimentel </w:t>
      </w:r>
      <w:r w:rsidRPr="00B31E31">
        <w:rPr>
          <w:i/>
          <w:sz w:val="16"/>
          <w:szCs w:val="16"/>
          <w:lang w:val="es-CR"/>
        </w:rPr>
        <w:t>v.</w:t>
      </w:r>
      <w:r w:rsidRPr="00B31E31">
        <w:rPr>
          <w:sz w:val="16"/>
          <w:szCs w:val="16"/>
          <w:lang w:val="es-CR"/>
        </w:rPr>
        <w:t xml:space="preserve"> Brazil, CEDAW, 10 August, 2011. UN Doc. </w:t>
      </w:r>
      <w:r w:rsidRPr="00D64D5C">
        <w:rPr>
          <w:sz w:val="16"/>
          <w:szCs w:val="16"/>
          <w:lang w:val="en-US"/>
        </w:rPr>
        <w:t>CEDAW/C/49/D/17/2008.</w:t>
      </w:r>
    </w:p>
  </w:footnote>
  <w:footnote w:id="208">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r>
      <w:r w:rsidRPr="00D64D5C">
        <w:rPr>
          <w:i/>
          <w:szCs w:val="16"/>
          <w:lang w:val="en-US"/>
        </w:rPr>
        <w:t>Case of Ximenes Lopes v. Brazil</w:t>
      </w:r>
      <w:r w:rsidRPr="00D64D5C">
        <w:rPr>
          <w:szCs w:val="16"/>
          <w:lang w:val="en-US"/>
        </w:rPr>
        <w:t xml:space="preserve">, para. </w:t>
      </w:r>
      <w:r w:rsidRPr="0051351F">
        <w:rPr>
          <w:szCs w:val="16"/>
        </w:rPr>
        <w:t>99</w:t>
      </w:r>
      <w:r w:rsidRPr="0051351F">
        <w:rPr>
          <w:iCs/>
          <w:szCs w:val="16"/>
        </w:rPr>
        <w:t xml:space="preserve">, and </w:t>
      </w:r>
      <w:r w:rsidRPr="0051351F">
        <w:rPr>
          <w:szCs w:val="16"/>
        </w:rPr>
        <w:t xml:space="preserve">y </w:t>
      </w:r>
      <w:r w:rsidRPr="0051351F">
        <w:rPr>
          <w:bCs/>
          <w:i/>
          <w:szCs w:val="16"/>
        </w:rPr>
        <w:t>Case of Suárez Peralta v. Ecuador</w:t>
      </w:r>
      <w:r w:rsidRPr="0051351F">
        <w:rPr>
          <w:bCs/>
          <w:szCs w:val="16"/>
        </w:rPr>
        <w:t xml:space="preserve">, para. </w:t>
      </w:r>
      <w:r w:rsidRPr="00D64D5C">
        <w:rPr>
          <w:bCs/>
          <w:szCs w:val="16"/>
          <w:lang w:val="en-US"/>
        </w:rPr>
        <w:t>134.</w:t>
      </w:r>
    </w:p>
  </w:footnote>
  <w:footnote w:id="20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In this regard, see the expert opinion of Christian Courtis during the public hearing</w:t>
      </w:r>
      <w:r w:rsidRPr="00D64D5C">
        <w:rPr>
          <w:spacing w:val="-4"/>
          <w:lang w:val="en-US"/>
        </w:rPr>
        <w:t xml:space="preserve"> held in this case. </w:t>
      </w:r>
      <w:r w:rsidRPr="00D64D5C">
        <w:rPr>
          <w:szCs w:val="16"/>
          <w:lang w:val="en-US"/>
        </w:rPr>
        <w:t xml:space="preserve">Also, </w:t>
      </w:r>
      <w:r w:rsidRPr="00D64D5C">
        <w:rPr>
          <w:iCs/>
          <w:szCs w:val="16"/>
          <w:lang w:val="en-US"/>
        </w:rPr>
        <w:t>the Colombian Constitutional Court has indicated that “</w:t>
      </w:r>
      <w:r w:rsidRPr="00D64D5C">
        <w:rPr>
          <w:szCs w:val="16"/>
          <w:lang w:val="en-US"/>
        </w:rPr>
        <w:t>blood banks are public or private institutions that have a responsibility towards public health, because they act as a filter to prevent the spread of infectious diseases by the donation and extraction of blood. In addition, they have the obligation to ensure that the blood and its products comply with the highest quality required by the institutions that provide health care and that have requested the blood supply in order to safeguard, above all, the rights to health and to life of those in their charge. […] The activity exercised by the blood banks is of public interest and, to this extent, it is strictly regulated by the State, because it entails matters as relevant as the preservation of public health and safety.”</w:t>
      </w:r>
      <w:r w:rsidRPr="00D64D5C">
        <w:rPr>
          <w:i/>
          <w:szCs w:val="16"/>
          <w:lang w:val="en-US"/>
        </w:rPr>
        <w:t xml:space="preserve">  Cf. </w:t>
      </w:r>
      <w:r w:rsidRPr="00D64D5C">
        <w:rPr>
          <w:shd w:val="clear" w:color="auto" w:fill="FFFFFF"/>
          <w:lang w:val="en-US"/>
        </w:rPr>
        <w:t xml:space="preserve">Judgment </w:t>
      </w:r>
      <w:r w:rsidRPr="00D64D5C">
        <w:rPr>
          <w:lang w:val="en-US"/>
        </w:rPr>
        <w:t xml:space="preserve">T-248/12 of the Constitutional </w:t>
      </w:r>
      <w:r w:rsidRPr="00D64D5C">
        <w:rPr>
          <w:shd w:val="clear" w:color="auto" w:fill="FFFFFF"/>
          <w:lang w:val="en-US"/>
        </w:rPr>
        <w:t xml:space="preserve">Court of Colombia </w:t>
      </w:r>
      <w:r w:rsidRPr="00D64D5C">
        <w:rPr>
          <w:lang w:val="en-US"/>
        </w:rPr>
        <w:t>of March 26, 2012.</w:t>
      </w:r>
    </w:p>
  </w:footnote>
  <w:footnote w:id="210">
    <w:p w:rsidR="0051351F" w:rsidRPr="00D64D5C" w:rsidRDefault="0051351F" w:rsidP="00FC14B8">
      <w:pPr>
        <w:tabs>
          <w:tab w:val="left" w:pos="540"/>
        </w:tabs>
        <w:spacing w:after="100"/>
        <w:rPr>
          <w:rFonts w:cs="Arial"/>
          <w:spacing w:val="4"/>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In a relatively similar case, the Contentious Administrative Court of the Council of State of </w:t>
      </w:r>
      <w:r w:rsidRPr="00D64D5C">
        <w:rPr>
          <w:rFonts w:cs="Arial"/>
          <w:spacing w:val="4"/>
          <w:sz w:val="16"/>
          <w:szCs w:val="16"/>
          <w:lang w:val="en-US"/>
        </w:rPr>
        <w:t>Colombia examined the way a victim acquired HIV from blood transfusions he had received as a result of gunshot wounds caused by bullets fired by members of the Army. In the course of his treatment, the victim received transfusions of five bags of blood, three of which had not been subjected to the respective tests to control the blood quality for HIV/AIDS. Regarding the argument of the defendant entity, according to which, in view of the patient’s critical condition it was not possible to make the respective prior analysis of the blood that would be transfused, the Chamber found it necessary to stipulate that: “this argument is extremely unfortunate, because it is an obligation of health institutions to have the appropriate reserves of blood units for possible cases of emergency or urgency when they are required. Thus, it is logical and natural that a medical institution should have the appropriate medical and clinical supplies to provide patients with proper care and they cannot shield themselves behind their own negligence and lack of foresight to exempt themselves from the corresponding reponsibility; especially, in the case of such an important and necessary product as blood units.” In this regard, the Chamber’s case law has established that “when the legal obligation has been imposed on the Public Administration to prevent a harmful result, the latter assumes the position of guarantor in relation to the victim; therefore, if such harm should arise, this can be attributed to the Administration owing to the failure to comply with the said obligation. […] Regarding the attribution of responsibility to the State for violating the obligations that arise from its position as guarantor, it should be noted that this cannot result from an abstrat or general analysis, because, although it has been established that the State is legally bound to protect and satisfy the human and/or fundamental rights, it is necessary to clarify that, according to a broad formulation of the position of guarantor, in order to bring charges, it is necessary also, that: (i) the obligor does not prevent the harmful result, provided that (ii) it is able to do so. […] Thus, it should also be noted that the State’s obligations – and therefore the service-related omission that constitutes its wrongdoing – should be examined specifically in relation to the particular case that is being prosecuted, taking into consideration the circumstances that surround the production of the harm that is claimed, its greater or lesser predictability, and the means available to the authorities to counteract it. […] Consequently, it is not a case of an abstract attribution or of a general and imprecise obligation of monitoring and control, but that of egregious non-compliance by the Public Administration of such obligations, all of which resulted in the disastrous consequences seen in this matter, and in the case to which reference has been made</w:t>
      </w:r>
      <w:r w:rsidRPr="00D64D5C">
        <w:rPr>
          <w:rFonts w:cs="Arial"/>
          <w:color w:val="000000"/>
          <w:sz w:val="16"/>
          <w:szCs w:val="16"/>
          <w:lang w:val="en-US" w:eastAsia="es-CO"/>
        </w:rPr>
        <w:t xml:space="preserve">. </w:t>
      </w:r>
      <w:r w:rsidRPr="00D64D5C">
        <w:rPr>
          <w:i/>
          <w:sz w:val="16"/>
          <w:szCs w:val="16"/>
          <w:lang w:val="en-US"/>
        </w:rPr>
        <w:t>Cf.</w:t>
      </w:r>
      <w:r w:rsidRPr="00D64D5C">
        <w:rPr>
          <w:sz w:val="16"/>
          <w:szCs w:val="16"/>
          <w:lang w:val="en-US"/>
        </w:rPr>
        <w:t xml:space="preserve"> Council of State of Colombia, Contentious-Administrative Chamber, Third Section, Subsection A. Judgment of November 12, 2014, File. 25000-23-26-000-2003-01881-01(38738). </w:t>
      </w:r>
    </w:p>
  </w:footnote>
  <w:footnote w:id="21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Expert opinion of Jimmy Tandazo and Carolina Zevallos of February 20, 2015 (evidence file, folio 4034).</w:t>
      </w:r>
    </w:p>
  </w:footnote>
  <w:footnote w:id="212">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 xml:space="preserve">In this regard, the norms indicate that: “[t]he control of compliance with the agreements shall be the responsibility of </w:t>
      </w:r>
      <w:r w:rsidRPr="00D64D5C">
        <w:rPr>
          <w:szCs w:val="16"/>
          <w:lang w:val="en-US"/>
        </w:rPr>
        <w:t>the Ecuadorian Red Cross,” and also that “[t]he authorities or persons who do not obey [the said norms] shall be sanctioned by the health authorities, pursuant to the Health Code.” Official Gazette No. 794. Regulation 8001. Agreement on the binding nature of performing HIV testing on all blood units and blood products, of October 20, 1987 (evidence file, folio 2691).</w:t>
      </w:r>
    </w:p>
  </w:footnote>
  <w:footnote w:id="21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Organic Health Law (evidence file, folio 4243).</w:t>
      </w:r>
    </w:p>
  </w:footnote>
  <w:footnote w:id="21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 xml:space="preserve">Cf. </w:t>
      </w:r>
      <w:r w:rsidRPr="0051351F">
        <w:rPr>
          <w:bCs/>
          <w:i/>
          <w:szCs w:val="16"/>
        </w:rPr>
        <w:t>Case of Suárez Peralta v. Ecuador</w:t>
      </w:r>
      <w:r w:rsidRPr="0051351F">
        <w:rPr>
          <w:bCs/>
          <w:szCs w:val="16"/>
        </w:rPr>
        <w:t xml:space="preserve">, </w:t>
      </w:r>
      <w:r w:rsidRPr="0051351F">
        <w:rPr>
          <w:szCs w:val="16"/>
        </w:rPr>
        <w:t xml:space="preserve">para. </w:t>
      </w:r>
      <w:r w:rsidRPr="00D64D5C">
        <w:rPr>
          <w:szCs w:val="16"/>
          <w:lang w:val="en-US"/>
        </w:rPr>
        <w:t>144.</w:t>
      </w:r>
    </w:p>
  </w:footnote>
  <w:footnote w:id="215">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Style w:val="Strong"/>
          <w:b w:val="0"/>
          <w:i/>
          <w:color w:val="000000"/>
          <w:szCs w:val="16"/>
          <w:shd w:val="clear" w:color="auto" w:fill="FFFFFF"/>
          <w:lang w:val="en-US"/>
        </w:rPr>
        <w:t>Case of Ximenes Lopes v. Brazil</w:t>
      </w:r>
      <w:r w:rsidRPr="00D64D5C">
        <w:rPr>
          <w:rStyle w:val="Strong"/>
          <w:b w:val="0"/>
          <w:color w:val="000000"/>
          <w:szCs w:val="16"/>
          <w:shd w:val="clear" w:color="auto" w:fill="FFFFFF"/>
          <w:lang w:val="en-US"/>
        </w:rPr>
        <w:t xml:space="preserve">, para. </w:t>
      </w:r>
      <w:r w:rsidRPr="0051351F">
        <w:rPr>
          <w:rStyle w:val="Strong"/>
          <w:b w:val="0"/>
          <w:color w:val="000000"/>
          <w:szCs w:val="16"/>
          <w:shd w:val="clear" w:color="auto" w:fill="FFFFFF"/>
        </w:rPr>
        <w:t xml:space="preserve">95, and </w:t>
      </w:r>
      <w:r w:rsidRPr="0051351F">
        <w:rPr>
          <w:bCs/>
          <w:i/>
          <w:szCs w:val="16"/>
        </w:rPr>
        <w:t>Case of Suárez Peralta v. Ecuador</w:t>
      </w:r>
      <w:r w:rsidRPr="0051351F">
        <w:rPr>
          <w:bCs/>
          <w:szCs w:val="16"/>
        </w:rPr>
        <w:t xml:space="preserve">, </w:t>
      </w:r>
      <w:r w:rsidRPr="0051351F">
        <w:rPr>
          <w:szCs w:val="16"/>
        </w:rPr>
        <w:t>para. 144.</w:t>
      </w:r>
    </w:p>
  </w:footnote>
  <w:footnote w:id="216">
    <w:p w:rsidR="0051351F" w:rsidRPr="00D64D5C" w:rsidRDefault="0051351F" w:rsidP="00FC14B8">
      <w:pPr>
        <w:tabs>
          <w:tab w:val="left" w:pos="540"/>
        </w:tabs>
        <w:spacing w:after="100"/>
        <w:rPr>
          <w:sz w:val="16"/>
          <w:szCs w:val="16"/>
          <w:lang w:val="en-US"/>
        </w:rPr>
      </w:pPr>
      <w:r w:rsidRPr="00D64D5C">
        <w:rPr>
          <w:rStyle w:val="FootnoteReference"/>
          <w:rFonts w:eastAsia="Calibri"/>
          <w:sz w:val="16"/>
          <w:szCs w:val="16"/>
          <w:lang w:val="en-US"/>
        </w:rPr>
        <w:footnoteRef/>
      </w:r>
      <w:r w:rsidRPr="0051351F">
        <w:rPr>
          <w:sz w:val="16"/>
          <w:szCs w:val="16"/>
        </w:rPr>
        <w:t xml:space="preserve"> </w:t>
      </w:r>
      <w:r w:rsidRPr="0051351F">
        <w:rPr>
          <w:sz w:val="16"/>
          <w:szCs w:val="16"/>
        </w:rPr>
        <w:tab/>
      </w:r>
      <w:r w:rsidRPr="0051351F">
        <w:rPr>
          <w:i/>
          <w:sz w:val="16"/>
          <w:szCs w:val="16"/>
        </w:rPr>
        <w:t xml:space="preserve">Cf. </w:t>
      </w:r>
      <w:r w:rsidRPr="0051351F">
        <w:rPr>
          <w:bCs/>
          <w:i/>
          <w:sz w:val="16"/>
          <w:szCs w:val="16"/>
        </w:rPr>
        <w:t>Case of Suárez Peralta v. Ecuador</w:t>
      </w:r>
      <w:r w:rsidRPr="0051351F">
        <w:rPr>
          <w:bCs/>
          <w:sz w:val="16"/>
          <w:szCs w:val="16"/>
        </w:rPr>
        <w:t xml:space="preserve">, </w:t>
      </w:r>
      <w:r w:rsidRPr="0051351F">
        <w:rPr>
          <w:sz w:val="16"/>
          <w:szCs w:val="16"/>
        </w:rPr>
        <w:t xml:space="preserve">para. </w:t>
      </w:r>
      <w:r w:rsidRPr="00D64D5C">
        <w:rPr>
          <w:sz w:val="16"/>
          <w:szCs w:val="16"/>
          <w:lang w:val="en-US"/>
        </w:rPr>
        <w:t xml:space="preserve">151. In the case of </w:t>
      </w:r>
      <w:r w:rsidRPr="00D64D5C">
        <w:rPr>
          <w:i/>
          <w:sz w:val="16"/>
          <w:szCs w:val="16"/>
          <w:lang w:val="en-US"/>
        </w:rPr>
        <w:t>Case of Storck v. Germany,</w:t>
      </w:r>
      <w:r w:rsidRPr="00D64D5C">
        <w:rPr>
          <w:iCs/>
          <w:sz w:val="16"/>
          <w:szCs w:val="16"/>
          <w:lang w:val="en-US"/>
        </w:rPr>
        <w:t xml:space="preserve"> the European Court established that: </w:t>
      </w:r>
      <w:r w:rsidRPr="00D64D5C">
        <w:rPr>
          <w:sz w:val="16"/>
          <w:szCs w:val="16"/>
          <w:lang w:val="en-US"/>
        </w:rPr>
        <w:t>“The State is under an obligation to secure to it citizens their right to physical integriy under Article 8 of the Convention [European Convention on Human Rights]. For this purpose, there are hospitals run by the State which coexist with private hospitals. The State cannot completely absolve itself of its responsibility by delegating its obligations in this sphere to private bodies or individuals […]. The State remains under a duty to exercise supervision and control over private […] institutions. Such institutions, […] need not only a licence, but also competent supervision on a regular basis of whether the confinement and medical treatment is justified.</w:t>
      </w:r>
      <w:r w:rsidRPr="00D64D5C">
        <w:rPr>
          <w:rFonts w:cs="Verdana"/>
          <w:sz w:val="16"/>
          <w:szCs w:val="16"/>
          <w:lang w:val="en-US"/>
        </w:rPr>
        <w:t>”</w:t>
      </w:r>
      <w:r w:rsidRPr="00D64D5C">
        <w:rPr>
          <w:sz w:val="16"/>
          <w:szCs w:val="16"/>
          <w:lang w:val="en-US"/>
        </w:rPr>
        <w:t xml:space="preserve"> </w:t>
      </w:r>
      <w:r w:rsidRPr="00D64D5C">
        <w:rPr>
          <w:i/>
          <w:sz w:val="16"/>
          <w:szCs w:val="16"/>
          <w:lang w:val="en-US"/>
        </w:rPr>
        <w:t xml:space="preserve">Cf. </w:t>
      </w:r>
      <w:r w:rsidRPr="00D64D5C">
        <w:rPr>
          <w:sz w:val="16"/>
          <w:szCs w:val="16"/>
          <w:lang w:val="en-US"/>
        </w:rPr>
        <w:t xml:space="preserve">ECHR. </w:t>
      </w:r>
      <w:r w:rsidRPr="00D64D5C">
        <w:rPr>
          <w:i/>
          <w:sz w:val="16"/>
          <w:szCs w:val="16"/>
          <w:lang w:val="en-US"/>
        </w:rPr>
        <w:t>Case of Storck v. Germany</w:t>
      </w:r>
      <w:r w:rsidRPr="00D64D5C">
        <w:rPr>
          <w:sz w:val="16"/>
          <w:szCs w:val="16"/>
          <w:lang w:val="en-US"/>
        </w:rPr>
        <w:t>, No. 61603/00. Third Section Judgment of 16 June 2005, para. 103.</w:t>
      </w:r>
    </w:p>
  </w:footnote>
  <w:footnote w:id="217">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hd w:val="clear" w:color="auto" w:fill="FFFFFF"/>
          <w:lang w:val="en-US"/>
        </w:rPr>
        <w:t>Case of Ximenes Lopes v. Brazil</w:t>
      </w:r>
      <w:r w:rsidRPr="00D64D5C">
        <w:rPr>
          <w:rStyle w:val="Strong"/>
          <w:b w:val="0"/>
          <w:color w:val="000000"/>
          <w:shd w:val="clear" w:color="auto" w:fill="FFFFFF"/>
          <w:lang w:val="en-US"/>
        </w:rPr>
        <w:t xml:space="preserve">, para. 141, and </w:t>
      </w:r>
      <w:r w:rsidR="00E50BFC">
        <w:fldChar w:fldCharType="begin"/>
      </w:r>
      <w:r w:rsidR="00E50BFC" w:rsidRPr="00E50BFC">
        <w:rPr>
          <w:lang w:val="en-US"/>
        </w:rPr>
        <w:instrText xml:space="preserve"> HYPERLINK "http://joomla.corteidh.or.cr:8080/joomla/es/jurisprudencia-oc-avanzado/38-jurisprudencia/2049-corte-idh-caso-suarez-peralta-vs-ecuador-excepciones-preliminares-fondo-reparaciones-y-costas-sentencia-de-21-de-mayo-de-2013-serie-c-no-261" </w:instrText>
      </w:r>
      <w:r w:rsidR="00E50BFC">
        <w:fldChar w:fldCharType="separate"/>
      </w:r>
      <w:r w:rsidRPr="00D64D5C">
        <w:rPr>
          <w:i/>
          <w:szCs w:val="16"/>
          <w:lang w:val="en-US"/>
        </w:rPr>
        <w:t>Case of Suárez Peralta v. Ecuador</w:t>
      </w:r>
      <w:r w:rsidR="00E50BFC">
        <w:rPr>
          <w:i/>
          <w:szCs w:val="16"/>
          <w:lang w:val="en-US"/>
        </w:rPr>
        <w:fldChar w:fldCharType="end"/>
      </w:r>
      <w:r w:rsidRPr="00D64D5C">
        <w:rPr>
          <w:szCs w:val="16"/>
          <w:lang w:val="en-US"/>
        </w:rPr>
        <w:t>, para. 149.</w:t>
      </w:r>
    </w:p>
  </w:footnote>
  <w:footnote w:id="218">
    <w:p w:rsidR="0051351F" w:rsidRPr="00D64D5C" w:rsidRDefault="0051351F" w:rsidP="00FC14B8">
      <w:pPr>
        <w:pStyle w:val="FootnoteText"/>
        <w:tabs>
          <w:tab w:val="left" w:pos="540"/>
        </w:tabs>
        <w:spacing w:before="0" w:after="100"/>
        <w:rPr>
          <w:szCs w:val="16"/>
          <w:lang w:val="en-US"/>
        </w:rPr>
      </w:pPr>
      <w:r w:rsidRPr="00D64D5C">
        <w:rPr>
          <w:rStyle w:val="FootnoteReference"/>
          <w:rFonts w:eastAsia="Calibri"/>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hd w:val="clear" w:color="auto" w:fill="FFFFFF"/>
          <w:lang w:val="en-US"/>
        </w:rPr>
        <w:t>Case of Albán Cornejo et al. v. Ecuador</w:t>
      </w:r>
      <w:r w:rsidRPr="00D64D5C">
        <w:rPr>
          <w:rStyle w:val="Strong"/>
          <w:b w:val="0"/>
          <w:color w:val="000000"/>
          <w:shd w:val="clear" w:color="auto" w:fill="FFFFFF"/>
          <w:lang w:val="en-US"/>
        </w:rPr>
        <w:t>,</w:t>
      </w:r>
      <w:r w:rsidRPr="00D64D5C">
        <w:rPr>
          <w:rStyle w:val="Strong"/>
          <w:color w:val="000000"/>
          <w:shd w:val="clear" w:color="auto" w:fill="FFFFFF"/>
          <w:lang w:val="en-US"/>
        </w:rPr>
        <w:t xml:space="preserve"> </w:t>
      </w:r>
      <w:r w:rsidRPr="00D64D5C">
        <w:rPr>
          <w:szCs w:val="16"/>
          <w:lang w:val="en-US"/>
        </w:rPr>
        <w:t xml:space="preserve">para. 119, and </w:t>
      </w:r>
      <w:r w:rsidR="00E50BFC">
        <w:fldChar w:fldCharType="begin"/>
      </w:r>
      <w:r w:rsidR="00E50BFC" w:rsidRPr="00E50BFC">
        <w:rPr>
          <w:lang w:val="en-US"/>
        </w:rPr>
        <w:instrText xml:space="preserve"> HYPERLINK "http://joomla.corteidh.or.cr:8080/joomla/es/jurisprudencia-oc-avanzado/38-jurisprudencia/2049-corte-idh-caso-suarez-peralta-vs-ecuador-excepciones-preliminares-fondo-reparaciones-y-costas-sentencia-de-21-de-mayo-de-2013-serie-c-no-261" </w:instrText>
      </w:r>
      <w:r w:rsidR="00E50BFC">
        <w:fldChar w:fldCharType="separate"/>
      </w:r>
      <w:r w:rsidRPr="00D64D5C">
        <w:rPr>
          <w:i/>
          <w:szCs w:val="16"/>
          <w:lang w:val="en-US"/>
        </w:rPr>
        <w:t>Case of Suárez Peralta v. Ecuador</w:t>
      </w:r>
      <w:r w:rsidR="00E50BFC">
        <w:rPr>
          <w:i/>
          <w:szCs w:val="16"/>
          <w:lang w:val="en-US"/>
        </w:rPr>
        <w:fldChar w:fldCharType="end"/>
      </w:r>
      <w:r w:rsidRPr="00D64D5C">
        <w:rPr>
          <w:szCs w:val="16"/>
          <w:lang w:val="en-US"/>
        </w:rPr>
        <w:t>, para. 150.</w:t>
      </w:r>
    </w:p>
  </w:footnote>
  <w:footnote w:id="21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European Court stressed that the family had to pay the high costs of the treatment and the medication and that the non-pecuniary damage awarded only covered one year of those expenses. Based on the facts of the case, that Court concluded that, in addition to the payment of non-pecuniary damage, the most appropriate remedy would have been to order the payment “of the treatment and medication expenses of the [victim] during his lifetime.” ECHR, Oyal v. Turkey. No. 4864/05. Second Section. Judgment of 23 March 2010. </w:t>
      </w:r>
    </w:p>
  </w:footnote>
  <w:footnote w:id="22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Judicial inspection of the Azuay Red Cross Blood Bank of June 22, 2001 (evidence file, folio 222); Preliminary statement of EO of June 28, 2001 (evidence file, folio 233), and Report of the experts, NV and JP, of August 17, 1998 (evidence file, folios 91 to 98).</w:t>
      </w:r>
    </w:p>
  </w:footnote>
  <w:footnote w:id="22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Report of the experts, NV and JP, of August 17, 1998 (evidence file, folio 97).</w:t>
      </w:r>
    </w:p>
  </w:footnote>
  <w:footnote w:id="22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Inspection of the files on May 18, 2000 (evidence file, folio 145); Preliminary statement of EO of June 28, 2001 (evidence file, folio 233).</w:t>
      </w:r>
    </w:p>
  </w:footnote>
  <w:footnote w:id="22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Preliminary statement of EO of June 28, 2001 (evidence file, folios 233 and 234), and Report of the experts, NV and JP, of August 17, 1998 (evidence file, folio 97).</w:t>
      </w:r>
    </w:p>
  </w:footnote>
  <w:footnote w:id="224">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 xml:space="preserve">In its case law, the European Court of Human Rights has also analyzed violations of the right to life related to harm to the life of individuals who, although they have not died, suffered aftereffects and harm owing to undue medical treatment. </w:t>
      </w:r>
      <w:r w:rsidRPr="00D64D5C">
        <w:rPr>
          <w:i/>
          <w:lang w:val="en-US"/>
        </w:rPr>
        <w:t xml:space="preserve">Cf. </w:t>
      </w:r>
      <w:r w:rsidRPr="00D64D5C">
        <w:rPr>
          <w:lang w:val="en-US"/>
        </w:rPr>
        <w:t xml:space="preserve">ECHR, </w:t>
      </w:r>
      <w:r w:rsidRPr="00D64D5C">
        <w:rPr>
          <w:szCs w:val="16"/>
          <w:lang w:val="en-US"/>
        </w:rPr>
        <w:t xml:space="preserve">Oyal </w:t>
      </w:r>
      <w:r w:rsidRPr="00D64D5C">
        <w:rPr>
          <w:i/>
          <w:szCs w:val="16"/>
          <w:lang w:val="en-US"/>
        </w:rPr>
        <w:t>v.</w:t>
      </w:r>
      <w:r w:rsidRPr="00D64D5C">
        <w:rPr>
          <w:szCs w:val="16"/>
          <w:lang w:val="en-US"/>
        </w:rPr>
        <w:t xml:space="preserve"> Turkey. No. 4864/05. Second Section. Judgment of 23 March 2010, para. 55, and G.N. and Others </w:t>
      </w:r>
      <w:r w:rsidRPr="00D64D5C">
        <w:rPr>
          <w:i/>
          <w:szCs w:val="16"/>
          <w:lang w:val="en-US"/>
        </w:rPr>
        <w:t>v.</w:t>
      </w:r>
      <w:r w:rsidRPr="00D64D5C">
        <w:rPr>
          <w:szCs w:val="16"/>
          <w:lang w:val="en-US"/>
        </w:rPr>
        <w:t xml:space="preserve"> Italy. No. 43134/05. Second Section. Judgment of 1 December 2009.</w:t>
      </w:r>
    </w:p>
  </w:footnote>
  <w:footnote w:id="22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Article 10(2) of the Protocol of San Salvador. </w:t>
      </w:r>
    </w:p>
  </w:footnote>
  <w:footnote w:id="22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United Nations, Economic and Social Council, Committee on Economic, Social and Cultural Rights. General Comment No. 14, E/C.12/2000/4, 11 August 2000, para. 43(d).</w:t>
      </w:r>
    </w:p>
  </w:footnote>
  <w:footnote w:id="22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Human Rights Council of the United Nations, Resolution on ‘</w:t>
      </w:r>
      <w:r w:rsidRPr="00D64D5C">
        <w:rPr>
          <w:lang w:val="en-US"/>
        </w:rPr>
        <w:t>Access to medicines in the context of the right of everyone to the enjoyment of the highest attainable standard of physical and mental health’</w:t>
      </w:r>
      <w:r w:rsidRPr="00D64D5C">
        <w:rPr>
          <w:szCs w:val="16"/>
          <w:lang w:val="en-US"/>
        </w:rPr>
        <w:t xml:space="preserve"> (11 June 2013) UN Doc A/HRC/23/L.10/Rev.l para. 2; General Assembly of the United Nations, ‘Report of the Special Rapporteur on</w:t>
      </w:r>
      <w:r w:rsidRPr="00D64D5C">
        <w:rPr>
          <w:iCs/>
          <w:szCs w:val="16"/>
          <w:lang w:val="en-US"/>
        </w:rPr>
        <w:t xml:space="preserve"> the right of everyone</w:t>
      </w:r>
      <w:r w:rsidRPr="00D64D5C">
        <w:rPr>
          <w:szCs w:val="16"/>
          <w:lang w:val="en-US"/>
        </w:rPr>
        <w:t xml:space="preserve"> to the enjoyment of </w:t>
      </w:r>
      <w:r w:rsidRPr="00D64D5C">
        <w:rPr>
          <w:iCs/>
          <w:szCs w:val="16"/>
          <w:lang w:val="en-US"/>
        </w:rPr>
        <w:t>the highest attainable standard of physical and mental health</w:t>
      </w:r>
      <w:r w:rsidRPr="00D64D5C">
        <w:rPr>
          <w:szCs w:val="16"/>
          <w:lang w:val="en-US"/>
        </w:rPr>
        <w:t>, Paul Hunt ’ (13 September 2006) UN Doc A/61/338 para. 40, and Human Rights Council of the United Nations, ‘Report of the Special Rapporteur o</w:t>
      </w:r>
      <w:r w:rsidRPr="00D64D5C">
        <w:rPr>
          <w:iCs/>
          <w:szCs w:val="16"/>
          <w:lang w:val="en-US"/>
        </w:rPr>
        <w:t>n the right of everyone</w:t>
      </w:r>
      <w:r w:rsidRPr="00D64D5C">
        <w:rPr>
          <w:szCs w:val="16"/>
          <w:lang w:val="en-US"/>
        </w:rPr>
        <w:t xml:space="preserve"> to the enjoyment of </w:t>
      </w:r>
      <w:r w:rsidRPr="00D64D5C">
        <w:rPr>
          <w:iCs/>
          <w:szCs w:val="16"/>
          <w:lang w:val="en-US"/>
        </w:rPr>
        <w:t>the highest attainable standard of physical and mental health</w:t>
      </w:r>
      <w:r w:rsidRPr="00D64D5C">
        <w:rPr>
          <w:szCs w:val="16"/>
          <w:lang w:val="en-US"/>
        </w:rPr>
        <w:t>, Anand Grover, on access to medicines’ (1 May 2013) UN Doc A/HRC/23/42 para. 3.</w:t>
      </w:r>
    </w:p>
  </w:footnote>
  <w:footnote w:id="228">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For example, Resolutions of the United Nations Commission on Human Rights, ‘Access to medication in the context of pandemics such HIV/AIDS, tuberculosis and malaria, Resolutions 2001/33, 2002/32, 2004/26 and 2005/23. The Human Rights Council has ruled similarly with regard to HIV/AIDS. </w:t>
      </w:r>
      <w:r w:rsidRPr="00D64D5C">
        <w:rPr>
          <w:i/>
          <w:sz w:val="16"/>
          <w:szCs w:val="16"/>
          <w:lang w:val="en-US"/>
        </w:rPr>
        <w:t xml:space="preserve">Cf. </w:t>
      </w:r>
      <w:r w:rsidRPr="00D64D5C">
        <w:rPr>
          <w:sz w:val="16"/>
          <w:szCs w:val="16"/>
          <w:lang w:val="en-US"/>
        </w:rPr>
        <w:t>Human Rights Council of the United Nations, Resolution on The protection of human rights in the context of the human immunodeficiency virus (HIV) and acquired immunodeficiency syndrome (AIDS)’ (13 April 2011). UN Doc A/HRC/RES/16/28, para. 1. Meanwhile, the Peruvian Constitutional Court, in the context of recognizing that persons with HIV merit special protection, indicated that their life “depends on the specific actions undertaken by the State, togehter with the community and the direct family, both as regards health and as regards access to</w:t>
      </w:r>
      <w:r w:rsidRPr="00D64D5C">
        <w:rPr>
          <w:color w:val="000000"/>
          <w:sz w:val="16"/>
          <w:szCs w:val="16"/>
          <w:lang w:val="en-US"/>
        </w:rPr>
        <w:t xml:space="preserve"> highly active antiretroviral treatment, and in other aspects related to prevention, comprehensive treatment, social security and the pension.” </w:t>
      </w:r>
      <w:r w:rsidRPr="00D64D5C">
        <w:rPr>
          <w:i/>
          <w:color w:val="000000"/>
          <w:sz w:val="16"/>
          <w:szCs w:val="16"/>
          <w:lang w:val="en-US"/>
        </w:rPr>
        <w:t xml:space="preserve">Cf. </w:t>
      </w:r>
      <w:r w:rsidRPr="00D64D5C">
        <w:rPr>
          <w:color w:val="000000"/>
          <w:sz w:val="16"/>
          <w:szCs w:val="16"/>
          <w:lang w:val="en-US"/>
        </w:rPr>
        <w:t>Judgment of the Constitutional Court of August 9, 2011, file No. 0479-2009-PA/TC, para. 29</w:t>
      </w:r>
      <w:r w:rsidRPr="00D64D5C">
        <w:rPr>
          <w:sz w:val="16"/>
          <w:szCs w:val="16"/>
          <w:lang w:val="en-US"/>
        </w:rPr>
        <w:t>.</w:t>
      </w:r>
    </w:p>
  </w:footnote>
  <w:footnote w:id="229">
    <w:p w:rsidR="0051351F" w:rsidRPr="00D64D5C" w:rsidRDefault="0051351F" w:rsidP="00FC14B8">
      <w:pPr>
        <w:pStyle w:val="FootnoteText"/>
        <w:tabs>
          <w:tab w:val="left" w:pos="540"/>
        </w:tabs>
        <w:spacing w:before="0" w:after="100"/>
        <w:rPr>
          <w:iCs/>
          <w:lang w:val="en-US"/>
        </w:rPr>
      </w:pPr>
      <w:r w:rsidRPr="00D64D5C">
        <w:rPr>
          <w:rStyle w:val="FootnoteReference"/>
          <w:lang w:val="en-US"/>
        </w:rPr>
        <w:footnoteRef/>
      </w:r>
      <w:r w:rsidRPr="00D64D5C">
        <w:rPr>
          <w:lang w:val="en-US"/>
        </w:rPr>
        <w:t xml:space="preserve"> </w:t>
      </w:r>
      <w:r w:rsidRPr="00D64D5C">
        <w:rPr>
          <w:lang w:val="en-US"/>
        </w:rPr>
        <w:tab/>
        <w:t>Office of the United Nations High Commissioner for Human Rights (OHCHR) and the Joint Programme of the United Nations on HIV/AIDS (hereinafter “UNAIDS”)</w:t>
      </w:r>
      <w:r w:rsidRPr="00D64D5C">
        <w:rPr>
          <w:szCs w:val="16"/>
          <w:lang w:val="en-US"/>
        </w:rPr>
        <w:t xml:space="preserve">, </w:t>
      </w:r>
      <w:r w:rsidRPr="00D64D5C">
        <w:rPr>
          <w:i/>
          <w:iCs/>
          <w:lang w:val="en-US"/>
        </w:rPr>
        <w:t xml:space="preserve">International Guidelines on HIV/AIDS and  Human Rights. </w:t>
      </w:r>
      <w:r w:rsidRPr="00D64D5C">
        <w:rPr>
          <w:iCs/>
          <w:lang w:val="en-US"/>
        </w:rPr>
        <w:t xml:space="preserve">2006 consolidated version, Guideline 6. Available at: </w:t>
      </w:r>
      <w:hyperlink r:id="rId14" w:history="1">
        <w:r w:rsidRPr="00D64D5C">
          <w:rPr>
            <w:rStyle w:val="Hyperlink"/>
            <w:iCs/>
            <w:lang w:val="en-US"/>
          </w:rPr>
          <w:t>http://www.ohchr.org/Documents/Publications/HIVAIDS Guidelinesen.pdf</w:t>
        </w:r>
      </w:hyperlink>
      <w:r w:rsidRPr="00D64D5C">
        <w:rPr>
          <w:iCs/>
          <w:lang w:val="en-US"/>
        </w:rPr>
        <w:t>.</w:t>
      </w:r>
    </w:p>
  </w:footnote>
  <w:footnote w:id="230">
    <w:p w:rsidR="0051351F" w:rsidRPr="00D64D5C" w:rsidRDefault="0051351F" w:rsidP="00FC14B8">
      <w:pPr>
        <w:pStyle w:val="FootnoteText"/>
        <w:tabs>
          <w:tab w:val="left" w:pos="540"/>
        </w:tabs>
        <w:spacing w:before="0" w:after="100"/>
        <w:rPr>
          <w:iCs/>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 xml:space="preserve">OHCHR and UNAIDS, </w:t>
      </w:r>
      <w:r w:rsidRPr="00D64D5C">
        <w:rPr>
          <w:i/>
          <w:iCs/>
          <w:lang w:val="en-US"/>
        </w:rPr>
        <w:t>International Guidelines on HIV/AIDS and  Human Rights.</w:t>
      </w:r>
      <w:r w:rsidRPr="00D64D5C">
        <w:rPr>
          <w:iCs/>
          <w:lang w:val="en-US"/>
        </w:rPr>
        <w:t xml:space="preserve"> 2006 consolidated version, commentary on Guideline 6, para. 26 Available at: </w:t>
      </w:r>
      <w:hyperlink r:id="rId15" w:history="1">
        <w:r w:rsidRPr="00D64D5C">
          <w:rPr>
            <w:rStyle w:val="Hyperlink"/>
            <w:iCs/>
            <w:lang w:val="en-US"/>
          </w:rPr>
          <w:t>http://www.ohchr.org/Documents/Publications/HIVAIDS Guidelinesen.pdf</w:t>
        </w:r>
      </w:hyperlink>
      <w:r w:rsidRPr="00D64D5C">
        <w:rPr>
          <w:iCs/>
          <w:lang w:val="en-US"/>
        </w:rPr>
        <w:t>.</w:t>
      </w:r>
    </w:p>
  </w:footnote>
  <w:footnote w:id="231">
    <w:p w:rsidR="0051351F" w:rsidRPr="00D64D5C" w:rsidRDefault="0051351F" w:rsidP="005F5ABF">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The Guidelines also indicate that “</w:t>
      </w:r>
      <w:r w:rsidRPr="00D64D5C">
        <w:rPr>
          <w:rFonts w:cs="AKIDXT+Bembo"/>
          <w:color w:val="000000"/>
          <w:sz w:val="16"/>
          <w:szCs w:val="16"/>
          <w:lang w:val="en-US"/>
        </w:rPr>
        <w:t>States should also ensure access to adequate treatment and drugs, within the overall context of their public health policies, so that people living with HIV can live as long and as successfully as possible. People living with HIV should also have access to clinical trials and should be free to choose amongst all available drugs and therapies, including alternative therapies.</w:t>
      </w:r>
      <w:r w:rsidRPr="00D64D5C">
        <w:rPr>
          <w:sz w:val="16"/>
          <w:szCs w:val="16"/>
          <w:lang w:val="en-US"/>
        </w:rPr>
        <w:t xml:space="preserve">” OHCHR and UNAIDS, </w:t>
      </w:r>
      <w:r w:rsidRPr="00D64D5C">
        <w:rPr>
          <w:i/>
          <w:iCs/>
          <w:sz w:val="16"/>
          <w:szCs w:val="16"/>
          <w:lang w:val="en-US"/>
        </w:rPr>
        <w:t xml:space="preserve">International Guidelines on HIV/AIDS and  Human Rights. </w:t>
      </w:r>
      <w:r w:rsidRPr="00D64D5C">
        <w:rPr>
          <w:iCs/>
          <w:sz w:val="16"/>
          <w:szCs w:val="16"/>
          <w:lang w:val="en-US"/>
        </w:rPr>
        <w:t xml:space="preserve">2006 consolidated version, para. 145. Available at: </w:t>
      </w:r>
      <w:hyperlink r:id="rId16" w:history="1">
        <w:r w:rsidRPr="00D64D5C">
          <w:rPr>
            <w:rStyle w:val="Hyperlink"/>
            <w:iCs/>
            <w:sz w:val="16"/>
            <w:szCs w:val="16"/>
            <w:lang w:val="en-US"/>
          </w:rPr>
          <w:t>http://www.ohchr.org/ Documents/Publications/HIVAIDSGuidelinesen.pdf.</w:t>
        </w:r>
      </w:hyperlink>
      <w:r w:rsidRPr="00D64D5C">
        <w:rPr>
          <w:sz w:val="16"/>
          <w:szCs w:val="16"/>
          <w:lang w:val="en-US"/>
        </w:rPr>
        <w:t xml:space="preserve"> Meanwhile, referring to the protection of the right to health of persons with HIV/AIDS, the Colombian Constitutional Court has stated that: “in order to ensure that the equality and human dignity of such perons is effective, the protection that the State should provide in the area of health must be comprehensive, given the high expenditure that this disease requires, and in order not to give rise to discriminatory treatment.” It has also affirmed that “this constitutional obligation [of protection] ensures that persons with HIV received free comprehensive care from the State so as to avoid the lack of financial resources preventing them from receving treatment for the illness and lessening the suffering, and exposing them to discrimination.” </w:t>
      </w:r>
      <w:r w:rsidRPr="00D64D5C">
        <w:rPr>
          <w:i/>
          <w:sz w:val="16"/>
          <w:szCs w:val="16"/>
          <w:lang w:val="en-US"/>
        </w:rPr>
        <w:t xml:space="preserve">Cf. </w:t>
      </w:r>
      <w:r w:rsidRPr="00D64D5C">
        <w:rPr>
          <w:sz w:val="16"/>
          <w:szCs w:val="16"/>
          <w:shd w:val="clear" w:color="auto" w:fill="FFFFFF"/>
          <w:lang w:val="en-US"/>
        </w:rPr>
        <w:t xml:space="preserve">Judgment </w:t>
      </w:r>
      <w:r w:rsidRPr="00D64D5C">
        <w:rPr>
          <w:sz w:val="16"/>
          <w:szCs w:val="16"/>
          <w:lang w:val="en-US"/>
        </w:rPr>
        <w:t xml:space="preserve">T-843 of the </w:t>
      </w:r>
      <w:r w:rsidRPr="00D64D5C">
        <w:rPr>
          <w:sz w:val="16"/>
          <w:szCs w:val="16"/>
          <w:shd w:val="clear" w:color="auto" w:fill="FFFFFF"/>
          <w:lang w:val="en-US"/>
        </w:rPr>
        <w:t xml:space="preserve">Constitutional Court of Colombia </w:t>
      </w:r>
      <w:r w:rsidRPr="00D64D5C">
        <w:rPr>
          <w:sz w:val="16"/>
          <w:szCs w:val="16"/>
          <w:lang w:val="en-US"/>
        </w:rPr>
        <w:t>of September 2, 2004. See also, Expert opinion of Paul Hunt of March 6, 2015 (evidence file, folios 3706 to 3734).</w:t>
      </w:r>
      <w:r w:rsidRPr="00D64D5C">
        <w:rPr>
          <w:szCs w:val="16"/>
          <w:lang w:val="en-US"/>
        </w:rPr>
        <w:t xml:space="preserve"> </w:t>
      </w:r>
    </w:p>
  </w:footnote>
  <w:footnote w:id="232">
    <w:p w:rsidR="0051351F" w:rsidRPr="00D64D5C" w:rsidRDefault="0051351F" w:rsidP="00FC14B8">
      <w:pPr>
        <w:tabs>
          <w:tab w:val="left" w:pos="540"/>
          <w:tab w:val="right" w:leader="dot" w:pos="8222"/>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Regarding the quality of the health service, CEDAW, in the case of </w:t>
      </w:r>
      <w:r w:rsidRPr="00D64D5C">
        <w:rPr>
          <w:i/>
          <w:sz w:val="16"/>
          <w:szCs w:val="16"/>
          <w:lang w:val="en-US"/>
        </w:rPr>
        <w:t xml:space="preserve">Alyne da Silva Pimentel v. Brazil </w:t>
      </w:r>
      <w:r w:rsidRPr="00D64D5C">
        <w:rPr>
          <w:sz w:val="16"/>
          <w:szCs w:val="16"/>
          <w:lang w:val="en-US"/>
        </w:rPr>
        <w:t xml:space="preserve">declared the State responsible for failing to ensure adequate and timely maternal health care services for the victim, irrespective of her race and socio-economic situation, and that the failure to ensure the right to health had direct repercussions on the enjoyment of her rights to life and to be free of discrimination. The victim, who was 28 years old, was a Brazilian national of African descent, and she died from pregnancy-related complications after a private health clinic and then a public health center refused her quality obstetric health care. Her death, which was preventable, was due to the fact that the health clinic that treated her did not order the appropriate tests, took an unreasonable time to attend to the patient (including the delay in transferring her to another health institution), and did not have adequate in-house medical services, among other factors. These situations were exacerbated by the victim’s racial and socio-economic situation. Committee for the Elimination of Discrimination against Women (CEDAW), </w:t>
      </w:r>
      <w:r w:rsidRPr="00D64D5C">
        <w:rPr>
          <w:i/>
          <w:sz w:val="16"/>
          <w:szCs w:val="16"/>
          <w:lang w:val="en-US"/>
        </w:rPr>
        <w:t>Alyne da Silva Pimentel v. Brazil</w:t>
      </w:r>
      <w:r w:rsidRPr="00D64D5C">
        <w:rPr>
          <w:sz w:val="16"/>
          <w:szCs w:val="16"/>
          <w:lang w:val="en-US"/>
        </w:rPr>
        <w:t xml:space="preserve"> (27 September 2011) UN Doc. CEDAW/C/49/D/17/2008.</w:t>
      </w:r>
    </w:p>
  </w:footnote>
  <w:footnote w:id="233">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General Assembly of the United Nations, Political Declaration on HIV and AIDS: Intensifying Our Efforts to Eliminate HIV and AIDS (A/RES/65/277), 8 July 2011, para. 43.</w:t>
      </w:r>
    </w:p>
  </w:footnote>
  <w:footnote w:id="23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United Nations, Committee on the Rights of the Child, General comment No. 3, CRC/GC/2003/3, 17 March 2003, para. </w:t>
      </w:r>
      <w:r w:rsidRPr="00D64D5C">
        <w:rPr>
          <w:szCs w:val="16"/>
          <w:shd w:val="clear" w:color="auto" w:fill="FFFFFF"/>
          <w:lang w:val="en-US"/>
        </w:rPr>
        <w:t>20.</w:t>
      </w:r>
    </w:p>
  </w:footnote>
  <w:footnote w:id="235">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United Nations, Committee on the Rights of the Child, General comment No. 9, CRC/C/GC/9, 27 February 2007, para. 51.</w:t>
      </w:r>
    </w:p>
  </w:footnote>
  <w:footnote w:id="23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Regarding the supply of antiretroviral drugs by the State prior to 2004, the Court observes that, in November 2002, Teresa Lluy sent a letter to a Ministry of Public Health official, indicating the following: “on the dates listed, [they] went […] to receive the medication that is essential for her life, but the antiretrovirals ha[d] not arrived in Cuenca and it was not possible to obtain them; the life of [her family] and of [her] daughter is in danger and [they] consider[ed] that the Ecuadorian State would be responsible for any calamity.” Letter from Teresa Lluy of November 25, 2002, to the Director of the National AIDS Program of the Ministry of Public Health </w:t>
      </w:r>
      <w:r w:rsidRPr="00D64D5C">
        <w:rPr>
          <w:rFonts w:cs="Arial"/>
          <w:szCs w:val="16"/>
          <w:lang w:val="en-US"/>
        </w:rPr>
        <w:t>(evidence file, folio</w:t>
      </w:r>
      <w:r w:rsidRPr="00D64D5C">
        <w:rPr>
          <w:szCs w:val="16"/>
          <w:lang w:val="en-US"/>
        </w:rPr>
        <w:t xml:space="preserve"> 4133). </w:t>
      </w:r>
      <w:r w:rsidRPr="00D64D5C">
        <w:rPr>
          <w:lang w:val="en-US"/>
        </w:rPr>
        <w:t xml:space="preserve">Regarding the tests for CD4, viral load, and others for opportunistic diseases, Talía’s mother indicated that these were expensive and she had to pay for them. </w:t>
      </w:r>
      <w:r w:rsidRPr="00D64D5C">
        <w:rPr>
          <w:i/>
          <w:lang w:val="en-US"/>
        </w:rPr>
        <w:t xml:space="preserve">Cf. </w:t>
      </w:r>
      <w:r w:rsidRPr="00D64D5C">
        <w:rPr>
          <w:szCs w:val="16"/>
          <w:lang w:val="en-US"/>
        </w:rPr>
        <w:t xml:space="preserve">Letter from Teresa Lluy of May 18, 2015, to the Inter-American Court of Human Rights </w:t>
      </w:r>
      <w:r w:rsidRPr="00D64D5C">
        <w:rPr>
          <w:rFonts w:cs="Arial"/>
          <w:szCs w:val="16"/>
          <w:lang w:val="en-US"/>
        </w:rPr>
        <w:t xml:space="preserve">(evidence file, folio </w:t>
      </w:r>
      <w:r w:rsidRPr="00D64D5C">
        <w:rPr>
          <w:szCs w:val="16"/>
          <w:lang w:val="en-US"/>
        </w:rPr>
        <w:t xml:space="preserve">4119). Also, Talía Gonzales Lluy mentioned problems with the viral load in May 2015. </w:t>
      </w:r>
      <w:r w:rsidRPr="00D64D5C">
        <w:rPr>
          <w:i/>
          <w:lang w:val="en-US"/>
        </w:rPr>
        <w:t xml:space="preserve">Cf. </w:t>
      </w:r>
      <w:r w:rsidRPr="00D64D5C">
        <w:rPr>
          <w:szCs w:val="16"/>
          <w:lang w:val="en-US"/>
        </w:rPr>
        <w:t xml:space="preserve">Letter of Talía Gonzales Lluy dated May 18, 2015, to the Inter-American Court of Human Rights </w:t>
      </w:r>
      <w:r w:rsidRPr="00D64D5C">
        <w:rPr>
          <w:rFonts w:cs="Arial"/>
          <w:szCs w:val="16"/>
          <w:lang w:val="en-US"/>
        </w:rPr>
        <w:t xml:space="preserve">(evidence file, folios </w:t>
      </w:r>
      <w:r w:rsidRPr="00D64D5C">
        <w:rPr>
          <w:szCs w:val="16"/>
          <w:lang w:val="en-US"/>
        </w:rPr>
        <w:t>4111 and 4112).</w:t>
      </w:r>
    </w:p>
  </w:footnote>
  <w:footnote w:id="23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w:t>
      </w:r>
      <w:r w:rsidRPr="00D64D5C">
        <w:rPr>
          <w:rFonts w:cs="Arial"/>
          <w:lang w:val="en-US"/>
        </w:rPr>
        <w:t xml:space="preserve">Talía is now receiving the services for HIV patients in Azogues, province of </w:t>
      </w:r>
      <w:r w:rsidRPr="00D64D5C">
        <w:rPr>
          <w:lang w:val="en-US"/>
        </w:rPr>
        <w:t xml:space="preserve">Cañar; […] she has to travel to another province to receive treatment.” </w:t>
      </w:r>
      <w:r w:rsidRPr="00D64D5C">
        <w:rPr>
          <w:szCs w:val="16"/>
          <w:lang w:val="en-US"/>
        </w:rPr>
        <w:t>Testimony of Ivan Mauricio Lluy of March 5, 2015 (evidence file, folio 3586).</w:t>
      </w:r>
    </w:p>
  </w:footnote>
  <w:footnote w:id="23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Received on April 3, 2014 (</w:t>
      </w:r>
      <w:r w:rsidRPr="00D64D5C">
        <w:rPr>
          <w:rFonts w:cs="Courier New"/>
          <w:szCs w:val="16"/>
          <w:lang w:val="en-US"/>
        </w:rPr>
        <w:t>evidence file, folio 1214).</w:t>
      </w:r>
    </w:p>
  </w:footnote>
  <w:footnote w:id="23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Regarding the supply of tests on the viral load count and on CD4 and CD8, as well as other tests and medication in the context of the treatment in the hospital, see Expert opinion of Nilda Esthela Villacres Aviles of February 25, 2010 (evidence file, folios 3875 to 3894); Expert opinion of Carmen Carrasco of February 13, 2015 (evidence file, folios 3959 to 3997), and Expert opinion of Diana Molina Yépez of February 25, 2015 (evidence file, folios 3901 to 3950).</w:t>
      </w:r>
    </w:p>
  </w:footnote>
  <w:footnote w:id="240">
    <w:p w:rsidR="0051351F" w:rsidRPr="00D64D5C" w:rsidRDefault="0051351F" w:rsidP="00FC14B8">
      <w:pPr>
        <w:tabs>
          <w:tab w:val="left" w:pos="540"/>
        </w:tabs>
        <w:autoSpaceDE w:val="0"/>
        <w:autoSpaceDN w:val="0"/>
        <w:adjustRightInd w:val="0"/>
        <w:spacing w:after="100"/>
        <w:rPr>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rFonts w:cs="Courier New"/>
          <w:sz w:val="16"/>
          <w:szCs w:val="16"/>
          <w:lang w:val="en-US"/>
        </w:rPr>
        <w:t xml:space="preserve">The Court observes that a certificate exists from the Head of the Internal Medicine Unit of the Azogues hospital dated May 4, 2015, regarding a request to perform viral load and CD4 tests on November 5, 2014. The certificate indicates that only the result of the CD4s was availabale, “because there are no reagents to perform the viral load test.” Nevertheless, although this information provides evidence on problems of availability in November 2014, it cannot be considered to have probative value with regard to the lack of availability at other times. </w:t>
      </w:r>
      <w:r w:rsidRPr="00D64D5C">
        <w:rPr>
          <w:rFonts w:cs="Courier New"/>
          <w:i/>
          <w:sz w:val="16"/>
          <w:szCs w:val="16"/>
          <w:lang w:val="en-US"/>
        </w:rPr>
        <w:t xml:space="preserve">Cf. </w:t>
      </w:r>
      <w:r w:rsidRPr="00D64D5C">
        <w:rPr>
          <w:rFonts w:cs="Courier New"/>
          <w:sz w:val="16"/>
          <w:szCs w:val="16"/>
          <w:lang w:val="en-US"/>
        </w:rPr>
        <w:t>Certification of May 4, 2015 (evidence file, folio 4131).</w:t>
      </w:r>
    </w:p>
  </w:footnote>
  <w:footnote w:id="241">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eastAsia="Times New Roman" w:cs="Times New Roman"/>
          <w:i/>
          <w:szCs w:val="16"/>
          <w:lang w:val="en-US"/>
        </w:rPr>
        <w:t>Cf.</w:t>
      </w:r>
      <w:r w:rsidRPr="00D64D5C">
        <w:rPr>
          <w:szCs w:val="16"/>
          <w:lang w:val="en-US"/>
        </w:rPr>
        <w:t xml:space="preserve"> </w:t>
      </w:r>
      <w:r w:rsidRPr="00D64D5C">
        <w:rPr>
          <w:rFonts w:eastAsia="Times New Roman" w:cs="Times New Roman"/>
          <w:szCs w:val="16"/>
          <w:lang w:val="en-US"/>
        </w:rPr>
        <w:t xml:space="preserve">Testimony of Talía Gonzales Lluy during the public hearing held in this case; </w:t>
      </w:r>
      <w:r w:rsidRPr="00D64D5C">
        <w:rPr>
          <w:szCs w:val="16"/>
          <w:lang w:val="en-US"/>
        </w:rPr>
        <w:t xml:space="preserve">Note of </w:t>
      </w:r>
      <w:r w:rsidRPr="00D64D5C">
        <w:rPr>
          <w:rFonts w:cs="Arial"/>
          <w:szCs w:val="16"/>
          <w:lang w:val="en-US"/>
        </w:rPr>
        <w:t xml:space="preserve">Talía Gonzales Lluy </w:t>
      </w:r>
      <w:r w:rsidRPr="00D64D5C">
        <w:rPr>
          <w:szCs w:val="16"/>
          <w:lang w:val="en-US"/>
        </w:rPr>
        <w:t>to Ramiro Ávila regarding her visit to the Vicente Corral Moscoso Hospital dated May 26, 2014 (evidence file, folios 1184 to 1186);</w:t>
      </w:r>
      <w:r w:rsidRPr="00D64D5C">
        <w:rPr>
          <w:rFonts w:eastAsia="Times New Roman" w:cs="Times New Roman"/>
          <w:szCs w:val="16"/>
          <w:lang w:val="en-US"/>
        </w:rPr>
        <w:t xml:space="preserve"> Note of Talía to the authorities of the Ministry of Public Health of Ecuador of May 26, 2014 (</w:t>
      </w:r>
      <w:r w:rsidRPr="00D64D5C">
        <w:rPr>
          <w:szCs w:val="16"/>
          <w:lang w:val="en-US"/>
        </w:rPr>
        <w:t>evidence file, folios</w:t>
      </w:r>
      <w:r w:rsidRPr="00D64D5C">
        <w:rPr>
          <w:rFonts w:eastAsia="Times New Roman" w:cs="Times New Roman"/>
          <w:szCs w:val="16"/>
          <w:lang w:val="en-US"/>
        </w:rPr>
        <w:t xml:space="preserve"> 1188 and 1189); </w:t>
      </w:r>
      <w:r w:rsidRPr="00D64D5C">
        <w:rPr>
          <w:szCs w:val="16"/>
          <w:lang w:val="en-US"/>
        </w:rPr>
        <w:t xml:space="preserve">Testimony of Ivan Mauricio Lluy of March 5, 2015 (evidence file, folios 3585 and 3586), and </w:t>
      </w:r>
      <w:r w:rsidRPr="00D64D5C">
        <w:rPr>
          <w:i/>
          <w:lang w:val="en-US"/>
        </w:rPr>
        <w:t xml:space="preserve">Cf. </w:t>
      </w:r>
      <w:r w:rsidRPr="00D64D5C">
        <w:rPr>
          <w:szCs w:val="16"/>
          <w:lang w:val="en-US"/>
        </w:rPr>
        <w:t xml:space="preserve">Letter from Teresa Lluy dated May 18, 2015, to the Inter-American Court of Human Rights </w:t>
      </w:r>
      <w:r w:rsidRPr="00D64D5C">
        <w:rPr>
          <w:rFonts w:cs="Arial"/>
          <w:szCs w:val="16"/>
          <w:lang w:val="en-US"/>
        </w:rPr>
        <w:t xml:space="preserve">(evidence file, folios </w:t>
      </w:r>
      <w:r w:rsidRPr="00D64D5C">
        <w:rPr>
          <w:szCs w:val="16"/>
          <w:lang w:val="en-US"/>
        </w:rPr>
        <w:t>4122 and 4123).</w:t>
      </w:r>
    </w:p>
  </w:footnote>
  <w:footnote w:id="242">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rFonts w:eastAsia="Times New Roman" w:cs="Times New Roman"/>
          <w:szCs w:val="16"/>
          <w:lang w:val="en-US"/>
        </w:rPr>
        <w:t>Testimony of Talía Gonzales Lluy during the public hearing held in this case.</w:t>
      </w:r>
    </w:p>
  </w:footnote>
  <w:footnote w:id="243">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sidRPr="00D64D5C">
        <w:rPr>
          <w:lang w:val="en-US"/>
        </w:rPr>
        <w:t xml:space="preserve">Certificate issued by the </w:t>
      </w:r>
      <w:r w:rsidRPr="00D64D5C">
        <w:rPr>
          <w:i/>
          <w:lang w:val="en-US"/>
        </w:rPr>
        <w:t>Laboratorio Services Interlab S.A.</w:t>
      </w:r>
      <w:r w:rsidRPr="00D64D5C">
        <w:rPr>
          <w:lang w:val="en-US"/>
        </w:rPr>
        <w:t xml:space="preserve"> on April 3, 2014 (provisional measures file, folio 10), and Certificate issued by the National Public Health Research Institute on November 5, 2014 (provisional measures file, folio 12).</w:t>
      </w:r>
    </w:p>
  </w:footnote>
  <w:footnote w:id="244">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Vargas Areco v. Paraguay. Merits, reparations and costs. </w:t>
      </w:r>
      <w:r w:rsidRPr="00D64D5C">
        <w:rPr>
          <w:szCs w:val="16"/>
          <w:lang w:val="en-US"/>
        </w:rPr>
        <w:t xml:space="preserve">Judgment of September 26, 2006. </w:t>
      </w:r>
      <w:r w:rsidRPr="0051351F">
        <w:rPr>
          <w:szCs w:val="16"/>
        </w:rPr>
        <w:t>Series C No. 155</w:t>
      </w:r>
      <w:r w:rsidRPr="0051351F">
        <w:rPr>
          <w:i/>
          <w:szCs w:val="16"/>
        </w:rPr>
        <w:t xml:space="preserve">, </w:t>
      </w:r>
      <w:r w:rsidRPr="0051351F">
        <w:rPr>
          <w:szCs w:val="16"/>
        </w:rPr>
        <w:t xml:space="preserve">para. 83, and </w:t>
      </w:r>
      <w:r w:rsidRPr="0051351F">
        <w:rPr>
          <w:rStyle w:val="Strong"/>
          <w:b w:val="0"/>
          <w:i/>
          <w:szCs w:val="16"/>
          <w:shd w:val="clear" w:color="auto" w:fill="FFFFFF"/>
        </w:rPr>
        <w:t>Case of Suárez Peralta v. Ecuador</w:t>
      </w:r>
      <w:r w:rsidRPr="0051351F">
        <w:rPr>
          <w:rStyle w:val="Strong"/>
          <w:b w:val="0"/>
          <w:szCs w:val="16"/>
          <w:shd w:val="clear" w:color="auto" w:fill="FFFFFF"/>
        </w:rPr>
        <w:t xml:space="preserve">, para. </w:t>
      </w:r>
      <w:r w:rsidRPr="00D64D5C">
        <w:rPr>
          <w:rStyle w:val="Strong"/>
          <w:b w:val="0"/>
          <w:szCs w:val="16"/>
          <w:shd w:val="clear" w:color="auto" w:fill="FFFFFF"/>
          <w:lang w:val="en-US"/>
        </w:rPr>
        <w:t>156.</w:t>
      </w:r>
    </w:p>
  </w:footnote>
  <w:footnote w:id="245">
    <w:p w:rsidR="0051351F" w:rsidRPr="00D64D5C" w:rsidRDefault="0051351F" w:rsidP="00FC14B8">
      <w:pPr>
        <w:pStyle w:val="Footer"/>
        <w:tabs>
          <w:tab w:val="clear" w:pos="4419"/>
          <w:tab w:val="clear" w:pos="8838"/>
          <w:tab w:val="left" w:pos="540"/>
        </w:tabs>
        <w:spacing w:after="100"/>
        <w:ind w:right="29"/>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i/>
          <w:sz w:val="16"/>
          <w:szCs w:val="16"/>
          <w:lang w:val="en-US"/>
        </w:rPr>
        <w:t>Cf. Case of Vera Vera et al. v. Ecuador. Preliminary objection, merits, reparations and costs.</w:t>
      </w:r>
      <w:r w:rsidRPr="00D64D5C">
        <w:rPr>
          <w:sz w:val="16"/>
          <w:szCs w:val="16"/>
          <w:lang w:val="en-US"/>
        </w:rPr>
        <w:t xml:space="preserve"> Judgment of May 19, 2011. Series C No. 226, para. 104</w:t>
      </w:r>
      <w:r w:rsidRPr="00D64D5C">
        <w:rPr>
          <w:rFonts w:cs="Verdana"/>
          <w:sz w:val="16"/>
          <w:szCs w:val="16"/>
          <w:lang w:val="en-US"/>
        </w:rPr>
        <w:t xml:space="preserve">, and </w:t>
      </w:r>
      <w:r w:rsidRPr="00D64D5C">
        <w:rPr>
          <w:rStyle w:val="Strong"/>
          <w:b w:val="0"/>
          <w:i/>
          <w:color w:val="000000"/>
          <w:sz w:val="16"/>
          <w:szCs w:val="16"/>
          <w:shd w:val="clear" w:color="auto" w:fill="FFFFFF"/>
          <w:lang w:val="en-US"/>
        </w:rPr>
        <w:t>Case of Furlan and family v. Argentina. Preliminary objections, merits, reparations and costs.</w:t>
      </w:r>
      <w:r w:rsidRPr="00D64D5C">
        <w:rPr>
          <w:rStyle w:val="Strong"/>
          <w:b w:val="0"/>
          <w:color w:val="000000"/>
          <w:sz w:val="16"/>
          <w:szCs w:val="16"/>
          <w:shd w:val="clear" w:color="auto" w:fill="FFFFFF"/>
          <w:lang w:val="en-US"/>
        </w:rPr>
        <w:t xml:space="preserve"> Judgment of August 31, 2012. Series C No. 246, para. 249.</w:t>
      </w:r>
    </w:p>
  </w:footnote>
  <w:footnote w:id="246">
    <w:p w:rsidR="0051351F" w:rsidRPr="00D64D5C" w:rsidRDefault="0051351F" w:rsidP="00FC14B8">
      <w:pPr>
        <w:tabs>
          <w:tab w:val="left" w:pos="540"/>
        </w:tabs>
        <w:autoSpaceDE w:val="0"/>
        <w:autoSpaceDN w:val="0"/>
        <w:adjustRightInd w:val="0"/>
        <w:spacing w:after="100"/>
        <w:ind w:right="29"/>
        <w:rPr>
          <w:sz w:val="16"/>
          <w:szCs w:val="16"/>
          <w:lang w:val="en-US"/>
        </w:rPr>
      </w:pPr>
      <w:r w:rsidRPr="00D64D5C">
        <w:rPr>
          <w:rStyle w:val="FootnoteReference"/>
          <w:sz w:val="16"/>
          <w:szCs w:val="16"/>
          <w:lang w:val="en-US"/>
        </w:rPr>
        <w:footnoteRef/>
      </w:r>
      <w:r w:rsidRPr="00D64D5C">
        <w:rPr>
          <w:sz w:val="16"/>
          <w:szCs w:val="16"/>
          <w:lang w:val="en-US"/>
        </w:rPr>
        <w:tab/>
      </w:r>
      <w:r w:rsidRPr="00D64D5C">
        <w:rPr>
          <w:i/>
          <w:sz w:val="16"/>
          <w:szCs w:val="16"/>
          <w:lang w:val="en-US"/>
        </w:rPr>
        <w:t>Cf. Case of Bámaca Velásquez v. Guatemala. Merits.</w:t>
      </w:r>
      <w:r w:rsidRPr="00D64D5C">
        <w:rPr>
          <w:sz w:val="16"/>
          <w:szCs w:val="16"/>
          <w:lang w:val="en-US"/>
        </w:rPr>
        <w:t xml:space="preserve"> Judgment of November 25, 2000. Series C No. 70, para. 163, and </w:t>
      </w:r>
      <w:r w:rsidRPr="00D64D5C">
        <w:rPr>
          <w:rStyle w:val="Strong"/>
          <w:b w:val="0"/>
          <w:i/>
          <w:color w:val="000000"/>
          <w:sz w:val="16"/>
          <w:szCs w:val="16"/>
          <w:shd w:val="clear" w:color="auto" w:fill="FFFFFF"/>
          <w:lang w:val="en-US"/>
        </w:rPr>
        <w:t>Case of Furlan and family v. Argentina</w:t>
      </w:r>
      <w:r w:rsidRPr="00D64D5C">
        <w:rPr>
          <w:rStyle w:val="Strong"/>
          <w:b w:val="0"/>
          <w:color w:val="000000"/>
          <w:sz w:val="16"/>
          <w:szCs w:val="16"/>
          <w:shd w:val="clear" w:color="auto" w:fill="FFFFFF"/>
          <w:lang w:val="en-US"/>
        </w:rPr>
        <w:t>, para. 249.</w:t>
      </w:r>
    </w:p>
  </w:footnote>
  <w:footnote w:id="247">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hd w:val="clear" w:color="auto" w:fill="FFFFFF"/>
          <w:lang w:val="en-US"/>
        </w:rPr>
        <w:t>Case of Baldeón García v. Peru. Merits, reparations and costs.</w:t>
      </w:r>
      <w:r w:rsidRPr="00D64D5C">
        <w:rPr>
          <w:rStyle w:val="Strong"/>
          <w:b w:val="0"/>
          <w:color w:val="000000"/>
          <w:shd w:val="clear" w:color="auto" w:fill="FFFFFF"/>
          <w:lang w:val="en-US"/>
        </w:rPr>
        <w:t xml:space="preserve"> Judgment of April 6, 2006. Series C No. 147, para. 128, and </w:t>
      </w:r>
      <w:r w:rsidRPr="00D64D5C">
        <w:rPr>
          <w:rStyle w:val="Strong"/>
          <w:b w:val="0"/>
          <w:i/>
          <w:color w:val="000000"/>
          <w:szCs w:val="16"/>
          <w:shd w:val="clear" w:color="auto" w:fill="FFFFFF"/>
          <w:lang w:val="en-US"/>
        </w:rPr>
        <w:t>Case of Furlan and family v. Argentina</w:t>
      </w:r>
      <w:r w:rsidRPr="00D64D5C">
        <w:rPr>
          <w:rStyle w:val="Strong"/>
          <w:b w:val="0"/>
          <w:color w:val="000000"/>
          <w:szCs w:val="16"/>
          <w:shd w:val="clear" w:color="auto" w:fill="FFFFFF"/>
          <w:lang w:val="en-US"/>
        </w:rPr>
        <w:t>, para. 249.</w:t>
      </w:r>
    </w:p>
  </w:footnote>
  <w:footnote w:id="248">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the Yean and Bosico Girls v. Dominican Republic</w:t>
      </w:r>
      <w:r w:rsidRPr="00D64D5C">
        <w:rPr>
          <w:szCs w:val="16"/>
          <w:lang w:val="en-US"/>
        </w:rPr>
        <w:t xml:space="preserve">. Judgment of September 8, 2005. Series C No 130, para. 204, and </w:t>
      </w:r>
      <w:r w:rsidRPr="00D64D5C">
        <w:rPr>
          <w:rStyle w:val="Strong"/>
          <w:b w:val="0"/>
          <w:i/>
          <w:color w:val="000000"/>
          <w:szCs w:val="16"/>
          <w:shd w:val="clear" w:color="auto" w:fill="FFFFFF"/>
          <w:lang w:val="en-US"/>
        </w:rPr>
        <w:t>Case of Furlan and family v. Argentina</w:t>
      </w:r>
      <w:r w:rsidRPr="00D64D5C">
        <w:rPr>
          <w:rStyle w:val="Strong"/>
          <w:b w:val="0"/>
          <w:color w:val="000000"/>
          <w:szCs w:val="16"/>
          <w:shd w:val="clear" w:color="auto" w:fill="FFFFFF"/>
          <w:lang w:val="en-US"/>
        </w:rPr>
        <w:t xml:space="preserve">, </w:t>
      </w:r>
      <w:r w:rsidRPr="00D64D5C">
        <w:rPr>
          <w:szCs w:val="16"/>
          <w:lang w:val="en-US"/>
        </w:rPr>
        <w:t>para. 250.</w:t>
      </w:r>
    </w:p>
  </w:footnote>
  <w:footnote w:id="249">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folios 1087 and 1088).</w:t>
      </w:r>
    </w:p>
  </w:footnote>
  <w:footnote w:id="250">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1078).</w:t>
      </w:r>
    </w:p>
  </w:footnote>
  <w:footnote w:id="251">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Affidavit made by Teresa Gonzales Lluy on April 22, 2014 (evidence file, folio 1086). Regarding his mother’s health, </w:t>
      </w:r>
      <w:r w:rsidRPr="00D64D5C">
        <w:rPr>
          <w:rFonts w:cs="Arial"/>
          <w:szCs w:val="16"/>
          <w:lang w:val="en-US"/>
        </w:rPr>
        <w:t xml:space="preserve">Iván Lluy testified that he is also concerned about this situation, because “[t]he stress has taken its toll on them and affects them every day; at times [he had] to take [his mother] to the clinic urgently [because] her pressure increased excessively.” </w:t>
      </w:r>
      <w:r w:rsidRPr="00D64D5C">
        <w:rPr>
          <w:szCs w:val="16"/>
          <w:lang w:val="en-US"/>
        </w:rPr>
        <w:t>Affidavit made by Iván Lluy on April 22, 2014 (evidence file, folio 1116).</w:t>
      </w:r>
    </w:p>
  </w:footnote>
  <w:footnote w:id="252">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Affidavit made by Teresa Gonzales Lluy on April 22, 2014 (evidence file, folios 1078, 1085 and 1086).</w:t>
      </w:r>
    </w:p>
  </w:footnote>
  <w:footnote w:id="253">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1078).</w:t>
      </w:r>
    </w:p>
  </w:footnote>
  <w:footnote w:id="254">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1078).</w:t>
      </w:r>
    </w:p>
  </w:footnote>
  <w:footnote w:id="255">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ab/>
        <w:t>Expert appraisal of Teresa Gonzales Lluy by Sonia Nivelo Cabrera of February 12, 2015</w:t>
      </w:r>
      <w:r w:rsidRPr="00D64D5C">
        <w:rPr>
          <w:i/>
          <w:szCs w:val="16"/>
          <w:lang w:val="en-US"/>
        </w:rPr>
        <w:t xml:space="preserve"> </w:t>
      </w:r>
      <w:r w:rsidRPr="00D64D5C">
        <w:rPr>
          <w:szCs w:val="16"/>
          <w:lang w:val="en-US"/>
        </w:rPr>
        <w:t>(evidence file, folio 3616).</w:t>
      </w:r>
    </w:p>
  </w:footnote>
  <w:footnote w:id="256">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ab/>
      </w:r>
      <w:r w:rsidRPr="00D64D5C">
        <w:rPr>
          <w:i/>
          <w:szCs w:val="16"/>
          <w:lang w:val="en-US"/>
        </w:rPr>
        <w:t xml:space="preserve">Cf. </w:t>
      </w:r>
      <w:r w:rsidRPr="00D64D5C">
        <w:rPr>
          <w:szCs w:val="16"/>
          <w:lang w:val="en-US"/>
        </w:rPr>
        <w:t>Affidavit made by Iván Lluy Lluy on April 22, 2014 (evidence file, folios 3574 to 3576).</w:t>
      </w:r>
    </w:p>
  </w:footnote>
  <w:footnote w:id="257">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Iván Lluy on April 22, 2014 (evidence file, folio 1115).</w:t>
      </w:r>
    </w:p>
  </w:footnote>
  <w:footnote w:id="258">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Iván Lluy on April 22, 2014 (evidence file, folio 1115).</w:t>
      </w:r>
    </w:p>
  </w:footnote>
  <w:footnote w:id="259">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1079).</w:t>
      </w:r>
    </w:p>
  </w:footnote>
  <w:footnote w:id="260">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1080).</w:t>
      </w:r>
    </w:p>
  </w:footnote>
  <w:footnote w:id="261">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Teresa Gonzales Lluy on April 22, 2014 (evidence file, folio 1081).</w:t>
      </w:r>
    </w:p>
  </w:footnote>
  <w:footnote w:id="262">
    <w:p w:rsidR="0051351F" w:rsidRPr="00D64D5C" w:rsidRDefault="0051351F" w:rsidP="00FC14B8">
      <w:pPr>
        <w:pStyle w:val="FootnoteText"/>
        <w:tabs>
          <w:tab w:val="left" w:pos="540"/>
        </w:tabs>
        <w:spacing w:before="0" w:after="100"/>
        <w:ind w:right="29"/>
        <w:rPr>
          <w:szCs w:val="16"/>
          <w:lang w:val="en-US"/>
        </w:rPr>
      </w:pPr>
      <w:r w:rsidRPr="00D64D5C">
        <w:rPr>
          <w:rStyle w:val="FootnoteReference"/>
          <w:szCs w:val="16"/>
          <w:lang w:val="en-US"/>
        </w:rPr>
        <w:footnoteRef/>
      </w:r>
      <w:r w:rsidRPr="00D64D5C">
        <w:rPr>
          <w:szCs w:val="16"/>
          <w:lang w:val="en-US"/>
        </w:rPr>
        <w:tab/>
        <w:t>Expert appraisal of Teresa Gonzales Lluy by Sonia Nivelo Cabrera of February 12, 2015</w:t>
      </w:r>
      <w:r w:rsidRPr="00D64D5C">
        <w:rPr>
          <w:i/>
          <w:szCs w:val="16"/>
          <w:lang w:val="en-US"/>
        </w:rPr>
        <w:t xml:space="preserve"> </w:t>
      </w:r>
      <w:r w:rsidRPr="00D64D5C">
        <w:rPr>
          <w:szCs w:val="16"/>
          <w:lang w:val="en-US"/>
        </w:rPr>
        <w:t>(evidence file, folios 3618 and 3619).</w:t>
      </w:r>
    </w:p>
  </w:footnote>
  <w:footnote w:id="263">
    <w:p w:rsidR="0051351F" w:rsidRPr="00D64D5C" w:rsidRDefault="0051351F" w:rsidP="00FC14B8">
      <w:pPr>
        <w:pStyle w:val="NormalWeb"/>
        <w:tabs>
          <w:tab w:val="left" w:pos="540"/>
        </w:tabs>
        <w:spacing w:before="0" w:beforeAutospacing="0" w:afterAutospacing="0"/>
        <w:jc w:val="both"/>
        <w:rPr>
          <w:rFonts w:ascii="Verdana" w:hAnsi="Verdana" w:cs="Tahoma"/>
          <w:bCs/>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rFonts w:ascii="Verdana" w:hAnsi="Verdana" w:cs="Tahoma"/>
          <w:bCs/>
          <w:sz w:val="16"/>
          <w:szCs w:val="16"/>
          <w:lang w:val="en-US"/>
        </w:rPr>
        <w:t>As pertinent for this case, this article stipulates that: 1. Everyone has the right to education.</w:t>
      </w:r>
      <w:r w:rsidRPr="00D64D5C">
        <w:rPr>
          <w:rFonts w:ascii="Verdana" w:hAnsi="Verdana" w:cs="Arial"/>
          <w:bCs/>
          <w:sz w:val="16"/>
          <w:szCs w:val="16"/>
          <w:lang w:val="en-US"/>
        </w:rPr>
        <w:t xml:space="preserve"> </w:t>
      </w:r>
      <w:r w:rsidRPr="00D64D5C">
        <w:rPr>
          <w:rFonts w:ascii="Verdana" w:hAnsi="Verdana" w:cs="Tahoma"/>
          <w:bCs/>
          <w:sz w:val="16"/>
          <w:szCs w:val="16"/>
          <w:lang w:val="en-US"/>
        </w:rPr>
        <w:t>2. 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r w:rsidRPr="00D64D5C">
        <w:rPr>
          <w:rFonts w:ascii="Verdana" w:hAnsi="Verdana" w:cs="Arial"/>
          <w:bCs/>
          <w:sz w:val="16"/>
          <w:szCs w:val="16"/>
          <w:lang w:val="en-US"/>
        </w:rPr>
        <w:t xml:space="preserve"> </w:t>
      </w:r>
      <w:r w:rsidRPr="00D64D5C">
        <w:rPr>
          <w:rFonts w:ascii="Verdana" w:hAnsi="Verdana" w:cs="Tahoma"/>
          <w:bCs/>
          <w:sz w:val="16"/>
          <w:szCs w:val="16"/>
          <w:lang w:val="en-US"/>
        </w:rPr>
        <w:t>3. The States Parties to this Protocol recognize that in order to achieve the full exercise of the right to education:</w:t>
      </w:r>
      <w:r w:rsidRPr="00D64D5C">
        <w:rPr>
          <w:rFonts w:ascii="Verdana" w:hAnsi="Verdana" w:cs="Arial"/>
          <w:bCs/>
          <w:sz w:val="16"/>
          <w:szCs w:val="16"/>
          <w:lang w:val="en-US"/>
        </w:rPr>
        <w:t xml:space="preserve"> (</w:t>
      </w:r>
      <w:r w:rsidRPr="00D64D5C">
        <w:rPr>
          <w:rFonts w:ascii="Verdana" w:hAnsi="Verdana" w:cs="Tahoma"/>
          <w:bCs/>
          <w:sz w:val="16"/>
          <w:szCs w:val="16"/>
          <w:lang w:val="en-US"/>
        </w:rPr>
        <w:t>a) Primary education should be compulsory and accessible to all without cost;</w:t>
      </w:r>
      <w:r w:rsidRPr="00D64D5C">
        <w:rPr>
          <w:rFonts w:ascii="Verdana" w:hAnsi="Verdana" w:cs="Arial"/>
          <w:bCs/>
          <w:sz w:val="16"/>
          <w:szCs w:val="16"/>
          <w:lang w:val="en-US"/>
        </w:rPr>
        <w:t xml:space="preserve"> (</w:t>
      </w:r>
      <w:r w:rsidRPr="00D64D5C">
        <w:rPr>
          <w:rFonts w:ascii="Verdana" w:hAnsi="Verdana" w:cs="Tahoma"/>
          <w:bCs/>
          <w:sz w:val="16"/>
          <w:szCs w:val="16"/>
          <w:lang w:val="en-US"/>
        </w:rPr>
        <w:t>b) Secondary education in its different forms, including technical and vocational secondary education, should be made generally available and accessible to all by every appropriate means, and in particular, by the progressive introduction of free education;</w:t>
      </w:r>
      <w:r w:rsidRPr="00D64D5C">
        <w:rPr>
          <w:rFonts w:ascii="Verdana" w:hAnsi="Verdana" w:cs="Arial"/>
          <w:bCs/>
          <w:sz w:val="16"/>
          <w:szCs w:val="16"/>
          <w:lang w:val="en-US"/>
        </w:rPr>
        <w:t xml:space="preserve"> (c)</w:t>
      </w:r>
      <w:r w:rsidRPr="00D64D5C">
        <w:rPr>
          <w:rFonts w:ascii="Verdana" w:hAnsi="Verdana" w:cs="Tahoma"/>
          <w:bCs/>
          <w:sz w:val="16"/>
          <w:szCs w:val="16"/>
          <w:lang w:val="en-US"/>
        </w:rPr>
        <w:t xml:space="preserve"> Higher education should be made equally accessible to all, on the basis of individual capacity, by every appropriate means, and in particular, by the progressive introduction of free education […].”</w:t>
      </w:r>
    </w:p>
  </w:footnote>
  <w:footnote w:id="26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Article 19(6) of the Protocol permits the application of the system of individual petitions regulated by Articles 44 to 51 and 61 to 69 of the American Convention on Human Rights if there is a violation of Articles 8(1) (Trade Union Rights) and 13 (Right to Education) of the Protocol.</w:t>
      </w:r>
    </w:p>
  </w:footnote>
  <w:footnote w:id="26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International Covenant on Economic, Social and Cultural Rights (Articles 13 and 14), the Charter of the Organization of American States (Article 49), the American Declaration of the Rights and Duties of Man (Article XII) and the Universal Declaration on Human Rights (Article 26) are some reference points that specify State obligations or duties in relation to the right to education.</w:t>
      </w:r>
    </w:p>
  </w:footnote>
  <w:footnote w:id="26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United Nations, Economic and Social Council, Committee on Economic, Social and Cultural Rights. General comment No. 13, E/C.12/1999/10, 8 December 1999, para. 1.</w:t>
      </w:r>
    </w:p>
  </w:footnote>
  <w:footnote w:id="26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United Nations, Economic and Social Council, Committee on Economic, Social and Cultural Rights.  General comment No. 13, E/C.12/1999/10, 8 December 1999, para. 6.</w:t>
      </w:r>
    </w:p>
  </w:footnote>
  <w:footnote w:id="268">
    <w:p w:rsidR="0051351F" w:rsidRPr="00D64D5C" w:rsidRDefault="0051351F" w:rsidP="00FC14B8">
      <w:pPr>
        <w:pStyle w:val="FootnoteText"/>
        <w:tabs>
          <w:tab w:val="left" w:pos="540"/>
        </w:tabs>
        <w:spacing w:before="0" w:after="100"/>
        <w:rPr>
          <w:bCs/>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i/>
          <w:szCs w:val="16"/>
          <w:lang w:val="en-US"/>
        </w:rPr>
        <w:t>Case of Furlan and family v. Argentina</w:t>
      </w:r>
      <w:r w:rsidRPr="00D64D5C">
        <w:rPr>
          <w:szCs w:val="16"/>
          <w:lang w:val="en-US"/>
        </w:rPr>
        <w:t xml:space="preserve">, para. 133. In this regard, </w:t>
      </w:r>
      <w:r w:rsidRPr="00D64D5C">
        <w:rPr>
          <w:rFonts w:cs="Arial"/>
          <w:color w:val="000000"/>
          <w:lang w:val="en-US"/>
        </w:rPr>
        <w:t>the Convention on the Rights of Persons with Disabilities</w:t>
      </w:r>
      <w:r w:rsidRPr="00D64D5C">
        <w:rPr>
          <w:bCs/>
          <w:szCs w:val="16"/>
          <w:lang w:val="en-US"/>
        </w:rPr>
        <w:t xml:space="preserve"> recognizes that: “disability is an evolving concept” and that persons with disability “include </w:t>
      </w:r>
      <w:r w:rsidRPr="00D64D5C">
        <w:rPr>
          <w:rFonts w:eastAsia="Times New Roman" w:cs="Times New Roman"/>
          <w:noProof w:val="0"/>
          <w:szCs w:val="16"/>
          <w:lang w:val="en-US"/>
        </w:rPr>
        <w:t>those who have long-term physical, mental, intellectual or sensory impairments which in interaction with various barriers may hinder their full and effective participation in society on an equal basis with others.” Ecuador ratified this Convention on April 3, 2008.</w:t>
      </w:r>
      <w:r w:rsidRPr="00D64D5C">
        <w:rPr>
          <w:rFonts w:cs="TimesNewRoman"/>
          <w:szCs w:val="16"/>
          <w:lang w:val="en-US"/>
        </w:rPr>
        <w:t xml:space="preserve"> </w:t>
      </w:r>
    </w:p>
  </w:footnote>
  <w:footnote w:id="269">
    <w:p w:rsidR="0051351F" w:rsidRPr="00D64D5C" w:rsidRDefault="0051351F" w:rsidP="00FC14B8">
      <w:pPr>
        <w:tabs>
          <w:tab w:val="left" w:pos="540"/>
        </w:tabs>
        <w:spacing w:after="100"/>
        <w:rPr>
          <w:rFonts w:cs="Times New Roman"/>
          <w:sz w:val="16"/>
          <w:szCs w:val="16"/>
          <w:lang w:val="en-US"/>
        </w:rPr>
      </w:pPr>
      <w:r w:rsidRPr="00D64D5C">
        <w:rPr>
          <w:rStyle w:val="FootnoteReference"/>
          <w:sz w:val="16"/>
          <w:szCs w:val="16"/>
          <w:lang w:val="en-US"/>
        </w:rPr>
        <w:footnoteRef/>
      </w:r>
      <w:r w:rsidRPr="00D64D5C">
        <w:rPr>
          <w:rFonts w:cs="Times New Roman"/>
          <w:sz w:val="16"/>
          <w:szCs w:val="16"/>
          <w:lang w:val="en-US"/>
        </w:rPr>
        <w:t xml:space="preserve"> </w:t>
      </w:r>
      <w:r w:rsidRPr="00D64D5C">
        <w:rPr>
          <w:rFonts w:cs="Times New Roman"/>
          <w:sz w:val="16"/>
          <w:szCs w:val="16"/>
          <w:lang w:val="en-US"/>
        </w:rPr>
        <w:tab/>
      </w:r>
      <w:r w:rsidRPr="00D64D5C">
        <w:rPr>
          <w:rFonts w:cs="Times New Roman"/>
          <w:i/>
          <w:sz w:val="16"/>
          <w:szCs w:val="16"/>
          <w:lang w:val="en-US"/>
        </w:rPr>
        <w:t>Cf. Case of Furlan and family v. Argentina</w:t>
      </w:r>
      <w:r w:rsidRPr="00D64D5C">
        <w:rPr>
          <w:rFonts w:cs="Times New Roman"/>
          <w:sz w:val="16"/>
          <w:szCs w:val="16"/>
          <w:lang w:val="en-US"/>
        </w:rPr>
        <w:t xml:space="preserve">, para. 133, and </w:t>
      </w:r>
      <w:r w:rsidRPr="00D64D5C">
        <w:rPr>
          <w:rFonts w:cs="Times New Roman"/>
          <w:i/>
          <w:iCs/>
          <w:sz w:val="16"/>
          <w:szCs w:val="16"/>
          <w:lang w:val="en-US"/>
        </w:rPr>
        <w:t>Case of Artavia Murillo et al. (In vitro fertilization) v. Costa Rica. Preliminary objections, merits, reparations and costs.</w:t>
      </w:r>
      <w:r w:rsidRPr="00D64D5C">
        <w:rPr>
          <w:rFonts w:cs="Times New Roman"/>
          <w:iCs/>
          <w:sz w:val="16"/>
          <w:szCs w:val="16"/>
          <w:lang w:val="en-US"/>
        </w:rPr>
        <w:t xml:space="preserve"> Judgment of November 28, 2012. Series C No. 257, paras. 291 and 292. See also, article</w:t>
      </w:r>
      <w:r w:rsidRPr="00D64D5C">
        <w:rPr>
          <w:sz w:val="16"/>
          <w:szCs w:val="16"/>
          <w:lang w:val="en-US"/>
        </w:rPr>
        <w:t xml:space="preserve"> 1 of the </w:t>
      </w:r>
      <w:r w:rsidRPr="00D64D5C">
        <w:rPr>
          <w:rFonts w:cs="Arial"/>
          <w:color w:val="000000"/>
          <w:sz w:val="16"/>
          <w:szCs w:val="16"/>
          <w:lang w:val="en-US"/>
        </w:rPr>
        <w:t>the Convention on the Rights of Persons with Disabilities</w:t>
      </w:r>
      <w:r w:rsidRPr="00D64D5C">
        <w:rPr>
          <w:sz w:val="16"/>
          <w:szCs w:val="16"/>
          <w:lang w:val="en-US"/>
        </w:rPr>
        <w:t>.</w:t>
      </w:r>
    </w:p>
  </w:footnote>
  <w:footnote w:id="270">
    <w:p w:rsidR="0051351F" w:rsidRPr="00D64D5C" w:rsidRDefault="0051351F" w:rsidP="00FC14B8">
      <w:pPr>
        <w:pStyle w:val="FootnoteText"/>
        <w:tabs>
          <w:tab w:val="left" w:pos="540"/>
        </w:tabs>
        <w:spacing w:before="0" w:after="100"/>
        <w:rPr>
          <w:rFonts w:cs="Arial"/>
          <w:iCs/>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szCs w:val="16"/>
          <w:lang w:val="en-US"/>
        </w:rPr>
        <w:t xml:space="preserve">Thus, the brief on disability and HIV policy of the World Health Organization, the United Nations High Commissioner for Human Rights and UNAIDS recognizes that when economic, political or social barriers are erected to the effective equal participation of a person with </w:t>
      </w:r>
      <w:r w:rsidRPr="00D64D5C">
        <w:rPr>
          <w:rFonts w:cs="Arial"/>
          <w:iCs/>
          <w:szCs w:val="16"/>
          <w:lang w:val="en-US"/>
        </w:rPr>
        <w:t xml:space="preserve">HIV/AIDS, it may be considered that the person has a disability. </w:t>
      </w:r>
      <w:r w:rsidRPr="00D64D5C">
        <w:rPr>
          <w:rFonts w:cs="Arial"/>
          <w:i/>
          <w:iCs/>
          <w:szCs w:val="16"/>
          <w:lang w:val="en-US"/>
        </w:rPr>
        <w:t xml:space="preserve">Cf. </w:t>
      </w:r>
      <w:r w:rsidRPr="00D64D5C">
        <w:rPr>
          <w:rFonts w:cs="Arial"/>
          <w:szCs w:val="16"/>
          <w:lang w:val="en-US"/>
        </w:rPr>
        <w:t>World Health Organization</w:t>
      </w:r>
      <w:r w:rsidRPr="00D64D5C">
        <w:rPr>
          <w:rFonts w:cs="Arial"/>
          <w:iCs/>
          <w:szCs w:val="16"/>
          <w:lang w:val="en-US"/>
        </w:rPr>
        <w:t xml:space="preserve">. Disability and HIV Policy Brief. </w:t>
      </w:r>
      <w:r w:rsidRPr="00D64D5C">
        <w:rPr>
          <w:rFonts w:ascii="Arial" w:hAnsi="Arial" w:cs="Arial"/>
          <w:szCs w:val="16"/>
          <w:lang w:val="en-US"/>
        </w:rPr>
        <w:t>​</w:t>
      </w:r>
      <w:r w:rsidRPr="00D64D5C">
        <w:rPr>
          <w:szCs w:val="16"/>
          <w:lang w:val="en-US"/>
        </w:rPr>
        <w:t xml:space="preserve">1 April 2009. </w:t>
      </w:r>
      <w:r w:rsidRPr="00D64D5C">
        <w:rPr>
          <w:rFonts w:cs="Arial"/>
          <w:szCs w:val="16"/>
          <w:lang w:val="en-US"/>
        </w:rPr>
        <w:t xml:space="preserve">Similarly, in 1996, the Joint Programme on HIV/AIDS of the United Nations (UNAIDS) recommended that HIV should be considered a disability, insofar as persons with the virus suffer constant discrimination owing to their condition. In this regard, it stated: </w:t>
      </w:r>
      <w:r w:rsidRPr="00D64D5C">
        <w:rPr>
          <w:rFonts w:cs="Arial"/>
          <w:iCs/>
          <w:szCs w:val="16"/>
          <w:lang w:val="en-US"/>
        </w:rPr>
        <w:t xml:space="preserve">“The consequences of the disability of the person who is HIV asymptomatic is that persons living with HIV are frequently discriminated against because it is erroneously considered that they do not function; there is an erroneous perception that they are a threat to public health. Therefore, although they are not disabled by the conditions relating to HIV, they are by the discriminatory treatment they received owing to their HIV status. The result is that they are denied the possibility of being productive, self-sufficient, and full and equal members of society.” </w:t>
      </w:r>
      <w:r w:rsidRPr="00D64D5C">
        <w:rPr>
          <w:rFonts w:cs="Times New Roman"/>
          <w:iCs/>
          <w:szCs w:val="16"/>
          <w:lang w:val="en-US"/>
        </w:rPr>
        <w:t>UNAIDS Statement on HIV/AIDS and Disability. United Nations Commission on Human Rights, Sub-Commission on Prevention of Discrimination and Protection of Minorities, forty-eighth session, August 1996.</w:t>
      </w:r>
    </w:p>
  </w:footnote>
  <w:footnote w:id="27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Fonts w:cs="Times New Roman"/>
          <w:iCs/>
          <w:szCs w:val="16"/>
          <w:lang w:val="en-US"/>
        </w:rPr>
        <w:t>Testimony of UNAIDS HIV/AIDS and Disability. United Nations Commission on Human Rights, Sub-Commission on Prevention of Discrimination and Protection of Minorities, forty-eighth session, August 1996</w:t>
      </w:r>
      <w:r w:rsidRPr="00D64D5C">
        <w:rPr>
          <w:szCs w:val="16"/>
          <w:lang w:val="en-US"/>
        </w:rPr>
        <w:t xml:space="preserve">, at which it was recommended that HIV be considered a disability. </w:t>
      </w:r>
    </w:p>
  </w:footnote>
  <w:footnote w:id="27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ECHR,</w:t>
      </w:r>
      <w:r w:rsidRPr="00D64D5C">
        <w:rPr>
          <w:szCs w:val="16"/>
          <w:lang w:val="en-US"/>
        </w:rPr>
        <w:t xml:space="preserve"> </w:t>
      </w:r>
      <w:r w:rsidRPr="00D64D5C">
        <w:rPr>
          <w:i/>
          <w:szCs w:val="16"/>
          <w:lang w:val="en-US"/>
        </w:rPr>
        <w:t xml:space="preserve">Kiyutin v. Rusia, </w:t>
      </w:r>
      <w:r w:rsidRPr="00D64D5C">
        <w:rPr>
          <w:szCs w:val="16"/>
          <w:lang w:val="en-US"/>
        </w:rPr>
        <w:t>(No. 2700/10), Judgment of March 10, 2011, para. 57.</w:t>
      </w:r>
    </w:p>
  </w:footnote>
  <w:footnote w:id="273">
    <w:p w:rsidR="0051351F" w:rsidRPr="00D64D5C" w:rsidRDefault="0051351F" w:rsidP="00FC14B8">
      <w:pPr>
        <w:pStyle w:val="FootnoteText"/>
        <w:tabs>
          <w:tab w:val="left" w:pos="540"/>
        </w:tabs>
        <w:spacing w:before="0" w:after="100"/>
        <w:rPr>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 xml:space="preserve">See, </w:t>
      </w:r>
      <w:r w:rsidRPr="00D64D5C">
        <w:rPr>
          <w:i/>
          <w:lang w:val="en-US"/>
        </w:rPr>
        <w:t>inter alia</w:t>
      </w:r>
      <w:r w:rsidRPr="00D64D5C">
        <w:rPr>
          <w:lang w:val="en-US"/>
        </w:rPr>
        <w:t>, in the United States of America: the Americans with Disabilities Act of 1990. Based on this document, the United States Department of Justice has stated that persons with HIV are protected under The Americans with Disabilities Act. In the United Kingdom: the Disability Discrimination Act (DDA) of 2005. In New Zealand: Human Rights Act of 1993. In Hong Kong: the 1995 Disability Discrimination Ordinance. For its part, the Peruvian Constitutional Court has indicated that, “taking into account that the State has implemented, as suggested in STC 02945-2003-AA/TC, specific measures to satisfy the social rights of patients with HIV/AIDS, this Court considers that it is opportune to extend the special protection recognized in article 7 of the Constitution to persons who suffer from a physical disability as a result of infection with HIV or the development of AIDS, because it is clear that the situation of evident vulnerability of this sector of the population requires enhanced protection so that such persons may exercise their fundamental rights fully, without being subject to discriminatory measures or arbitrary actions based merely on the fact of suffering this pathology. With this affirmation, this court reiterates, as indicated in the said article 7, that this large sector of the population has a right to respect for their dignity, and also a legal protection regime, care, rehabilitation and safety.” Constitutional Court of Peru. Judgment of August 9, 2011. File No. 04749-2009-PA/TC, para. 31.</w:t>
      </w:r>
    </w:p>
  </w:footnote>
  <w:footnote w:id="27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Office of the United Nations High Commissioner for Human Rights (OHCHR) and the Joint Programme of the United Nations on HIV/AIDS (UNAIDS)</w:t>
      </w:r>
      <w:r w:rsidRPr="00D64D5C">
        <w:rPr>
          <w:szCs w:val="16"/>
          <w:lang w:val="en-US"/>
        </w:rPr>
        <w:t xml:space="preserve">, </w:t>
      </w:r>
      <w:r w:rsidRPr="00D64D5C">
        <w:rPr>
          <w:i/>
          <w:iCs/>
          <w:lang w:val="en-US"/>
        </w:rPr>
        <w:t xml:space="preserve">International Guidelines on HIV/AIDS and  Human Rights. </w:t>
      </w:r>
      <w:r w:rsidRPr="00D64D5C">
        <w:rPr>
          <w:iCs/>
          <w:lang w:val="en-US"/>
        </w:rPr>
        <w:t xml:space="preserve">2006 consolidated </w:t>
      </w:r>
      <w:r w:rsidRPr="00D64D5C">
        <w:rPr>
          <w:iCs/>
          <w:szCs w:val="16"/>
          <w:lang w:val="en-US"/>
        </w:rPr>
        <w:t>version</w:t>
      </w:r>
      <w:r w:rsidRPr="00D64D5C">
        <w:rPr>
          <w:szCs w:val="16"/>
          <w:lang w:val="en-US"/>
        </w:rPr>
        <w:t>.</w:t>
      </w:r>
    </w:p>
  </w:footnote>
  <w:footnote w:id="27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Office of the United Nations High Commissioner for Human Rights (OHCHR) and the Joint Programme of the United Nations on HIV/AIDS (UNAIDS), </w:t>
      </w:r>
      <w:r w:rsidRPr="00D64D5C">
        <w:rPr>
          <w:i/>
          <w:iCs/>
          <w:szCs w:val="16"/>
          <w:lang w:val="en-US"/>
        </w:rPr>
        <w:t xml:space="preserve">International Guidelines on HIV/AIDS and  Human Rights. </w:t>
      </w:r>
      <w:r w:rsidRPr="00D64D5C">
        <w:rPr>
          <w:iCs/>
          <w:szCs w:val="16"/>
          <w:lang w:val="en-US"/>
        </w:rPr>
        <w:t>2006 consolidated version</w:t>
      </w:r>
      <w:r w:rsidRPr="00D64D5C">
        <w:rPr>
          <w:szCs w:val="16"/>
          <w:lang w:val="en-US"/>
        </w:rPr>
        <w:t>, para. 136.</w:t>
      </w:r>
    </w:p>
  </w:footnote>
  <w:footnote w:id="276">
    <w:p w:rsidR="0051351F" w:rsidRPr="00D64D5C" w:rsidRDefault="0051351F" w:rsidP="00FC14B8">
      <w:pPr>
        <w:tabs>
          <w:tab w:val="left" w:pos="540"/>
        </w:tabs>
        <w:spacing w:after="100"/>
        <w:rPr>
          <w:color w:val="00000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Office of the United Nations High Commissioner for Human Rights (OHCHR) and the Joint Programme of the United Nations on HIV/AIDS (UNAIDS), </w:t>
      </w:r>
      <w:r w:rsidRPr="00D64D5C">
        <w:rPr>
          <w:i/>
          <w:iCs/>
          <w:sz w:val="16"/>
          <w:szCs w:val="16"/>
          <w:lang w:val="en-US"/>
        </w:rPr>
        <w:t xml:space="preserve">International Guidelines on HIV/AIDS and  Human Rights. </w:t>
      </w:r>
      <w:r w:rsidRPr="00D64D5C">
        <w:rPr>
          <w:iCs/>
          <w:sz w:val="16"/>
          <w:szCs w:val="16"/>
          <w:lang w:val="en-US"/>
        </w:rPr>
        <w:t>2006 consolidated version,</w:t>
      </w:r>
      <w:r w:rsidRPr="00D64D5C">
        <w:rPr>
          <w:sz w:val="16"/>
          <w:szCs w:val="16"/>
          <w:lang w:val="en-US"/>
        </w:rPr>
        <w:t xml:space="preserve"> para. 137. Meanwhile, article 24 of the Convention on the Rights of Persons with Disabilities, indicates that: “2. </w:t>
      </w:r>
      <w:r w:rsidRPr="00D64D5C">
        <w:rPr>
          <w:color w:val="000000"/>
          <w:sz w:val="16"/>
          <w:szCs w:val="16"/>
          <w:lang w:val="en-US"/>
        </w:rPr>
        <w:t>In realizing this right [to education], States Parties shall ensure that: (a) Persons with disabilities are not excluded from the general education system on the basis of disability, and that children with disabilities are not excluded from free and compulsory primary education, or from secondary education, on the basis of disability; (b) Persons with disabilities can access an inclusive, quality and free primary education and secondary education on an equal basis with others in the communities in which they live.”</w:t>
      </w:r>
    </w:p>
  </w:footnote>
  <w:footnote w:id="27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Office of the United Nations High Commissioner for Human Rights (OHCHR) and the Joint Programme of the United Nations on HIV/AIDS (UNAIDS)</w:t>
      </w:r>
      <w:r w:rsidRPr="00D64D5C">
        <w:rPr>
          <w:szCs w:val="16"/>
          <w:lang w:val="en-US"/>
        </w:rPr>
        <w:t xml:space="preserve">, </w:t>
      </w:r>
      <w:r w:rsidRPr="00D64D5C">
        <w:rPr>
          <w:i/>
          <w:iCs/>
          <w:lang w:val="en-US"/>
        </w:rPr>
        <w:t xml:space="preserve">International Guidelines on HIV/AIDS and  Human Rights. </w:t>
      </w:r>
      <w:r w:rsidRPr="00D64D5C">
        <w:rPr>
          <w:iCs/>
          <w:lang w:val="en-US"/>
        </w:rPr>
        <w:t>2006 consolidated version</w:t>
      </w:r>
      <w:r w:rsidRPr="00D64D5C">
        <w:rPr>
          <w:szCs w:val="16"/>
          <w:lang w:val="en-US"/>
        </w:rPr>
        <w:t>, para. 137.</w:t>
      </w:r>
    </w:p>
  </w:footnote>
  <w:footnote w:id="278">
    <w:p w:rsidR="0051351F" w:rsidRPr="00D64D5C" w:rsidRDefault="0051351F" w:rsidP="00FC14B8">
      <w:pPr>
        <w:pStyle w:val="FootnoteText"/>
        <w:tabs>
          <w:tab w:val="left" w:pos="540"/>
        </w:tabs>
        <w:spacing w:before="0" w:after="100"/>
        <w:ind w:right="-174"/>
        <w:rPr>
          <w:rFonts w:cs="Arial"/>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Cf.</w:t>
      </w:r>
      <w:r w:rsidRPr="00D64D5C">
        <w:rPr>
          <w:szCs w:val="16"/>
          <w:lang w:val="en-US"/>
        </w:rPr>
        <w:t xml:space="preserve"> </w:t>
      </w:r>
      <w:r w:rsidRPr="00D64D5C">
        <w:rPr>
          <w:i/>
          <w:szCs w:val="16"/>
          <w:lang w:val="en-US"/>
        </w:rPr>
        <w:t>Case of Apitz Barbera et al. v. Venezuela.</w:t>
      </w:r>
      <w:r w:rsidRPr="00D64D5C">
        <w:rPr>
          <w:szCs w:val="16"/>
          <w:lang w:val="en-US"/>
        </w:rPr>
        <w:t xml:space="preserve"> </w:t>
      </w:r>
      <w:r w:rsidRPr="00D64D5C">
        <w:rPr>
          <w:i/>
          <w:szCs w:val="16"/>
          <w:lang w:val="en-US"/>
        </w:rPr>
        <w:t>Preliminary objection, Merits, reparations and costs</w:t>
      </w:r>
      <w:r w:rsidRPr="00D64D5C">
        <w:rPr>
          <w:szCs w:val="16"/>
          <w:lang w:val="en-US"/>
        </w:rPr>
        <w:t xml:space="preserve">. Judgment of August 5, 2008. Series C No. 182, para. 209, and </w:t>
      </w:r>
      <w:r w:rsidRPr="00D64D5C">
        <w:rPr>
          <w:rStyle w:val="Strong"/>
          <w:b w:val="0"/>
          <w:i/>
          <w:color w:val="000000"/>
          <w:shd w:val="clear" w:color="auto" w:fill="FFFFFF"/>
          <w:lang w:val="en-US"/>
        </w:rPr>
        <w:t>Case of Granier et al. (Radio Caracas Televisión) v. Venezuela. Preliminary objections, merits, reparations and costs</w:t>
      </w:r>
      <w:r w:rsidRPr="00D64D5C">
        <w:rPr>
          <w:rStyle w:val="Strong"/>
          <w:b w:val="0"/>
          <w:color w:val="000000"/>
          <w:shd w:val="clear" w:color="auto" w:fill="FFFFFF"/>
          <w:lang w:val="en-US"/>
        </w:rPr>
        <w:t>. Judgment of June 22, 2015. Series C No. 293</w:t>
      </w:r>
      <w:r w:rsidRPr="00D64D5C">
        <w:rPr>
          <w:rStyle w:val="Strong"/>
          <w:rFonts w:eastAsia="Times New Roman"/>
          <w:b w:val="0"/>
          <w:szCs w:val="16"/>
          <w:shd w:val="clear" w:color="auto" w:fill="FFFFFF"/>
          <w:lang w:val="en-US"/>
        </w:rPr>
        <w:t>, paras. 216 to 218.</w:t>
      </w:r>
    </w:p>
  </w:footnote>
  <w:footnote w:id="27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8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8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1149).</w:t>
      </w:r>
    </w:p>
  </w:footnote>
  <w:footnote w:id="28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1132).</w:t>
      </w:r>
    </w:p>
  </w:footnote>
  <w:footnote w:id="28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1132).</w:t>
      </w:r>
    </w:p>
  </w:footnote>
  <w:footnote w:id="28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1133).</w:t>
      </w:r>
    </w:p>
  </w:footnote>
  <w:footnote w:id="28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1134).</w:t>
      </w:r>
    </w:p>
  </w:footnote>
  <w:footnote w:id="28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1134).</w:t>
      </w:r>
    </w:p>
  </w:footnote>
  <w:footnote w:id="28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1134).</w:t>
      </w:r>
    </w:p>
  </w:footnote>
  <w:footnote w:id="28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1134).</w:t>
      </w:r>
    </w:p>
  </w:footnote>
  <w:footnote w:id="28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Public hearing on the application for constitutional protection of February 9, 2000 (evidence file, folio 1135). </w:t>
      </w:r>
    </w:p>
  </w:footnote>
  <w:footnote w:id="29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Public hearing on the application for constitutional protection of February 9, 2000 (evidence file, folio 1135). </w:t>
      </w:r>
    </w:p>
  </w:footnote>
  <w:footnote w:id="29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Note of JOM of December 21, 1999 (evidence file, folio 1138).</w:t>
      </w:r>
    </w:p>
  </w:footnote>
  <w:footnote w:id="29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Note of NV of December 7, 1999 (evidence file, folio 1139).</w:t>
      </w:r>
    </w:p>
  </w:footnote>
  <w:footnote w:id="29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Note of RG of February 10, 2000 (evidence file, folios 1140 and 1141). </w:t>
      </w:r>
      <w:r w:rsidRPr="00D64D5C">
        <w:rPr>
          <w:szCs w:val="16"/>
          <w:lang w:val="en-US"/>
        </w:rPr>
        <w:tab/>
      </w:r>
    </w:p>
  </w:footnote>
  <w:footnote w:id="29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9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9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9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298">
    <w:p w:rsidR="0051351F" w:rsidRPr="00D64D5C" w:rsidRDefault="0051351F" w:rsidP="00FC14B8">
      <w:pPr>
        <w:pStyle w:val="MediumGrid1-Accent21"/>
        <w:tabs>
          <w:tab w:val="left" w:pos="540"/>
        </w:tabs>
        <w:spacing w:after="100"/>
        <w:ind w:left="0"/>
        <w:rPr>
          <w:sz w:val="16"/>
          <w:szCs w:val="16"/>
          <w:lang w:val="en-US" w:eastAsia="es-E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See </w:t>
      </w:r>
      <w:r w:rsidRPr="00D64D5C">
        <w:rPr>
          <w:rStyle w:val="Strong"/>
          <w:rFonts w:eastAsia="Times New Roman"/>
          <w:b w:val="0"/>
          <w:i/>
          <w:sz w:val="16"/>
          <w:szCs w:val="16"/>
          <w:shd w:val="clear" w:color="auto" w:fill="FFFFFF"/>
          <w:lang w:val="en-US"/>
        </w:rPr>
        <w:t>Case of Atala Riffo and daughters v. Chile. Merits, reparations and costs</w:t>
      </w:r>
      <w:r w:rsidRPr="00D64D5C">
        <w:rPr>
          <w:rStyle w:val="Strong"/>
          <w:rFonts w:eastAsia="Times New Roman"/>
          <w:b w:val="0"/>
          <w:sz w:val="16"/>
          <w:szCs w:val="16"/>
          <w:shd w:val="clear" w:color="auto" w:fill="FFFFFF"/>
          <w:lang w:val="en-US"/>
        </w:rPr>
        <w:t>. Judgment of February 24, 2012. Series C No. 239, para. 81</w:t>
      </w:r>
      <w:r w:rsidRPr="00D64D5C">
        <w:rPr>
          <w:sz w:val="16"/>
          <w:szCs w:val="16"/>
          <w:lang w:val="en-US"/>
        </w:rPr>
        <w:t xml:space="preserve">, which cites the definition of the Human Rights Committee of the </w:t>
      </w:r>
      <w:r w:rsidRPr="00D64D5C">
        <w:rPr>
          <w:sz w:val="16"/>
          <w:szCs w:val="16"/>
          <w:lang w:val="en-US" w:eastAsia="es-ES"/>
        </w:rPr>
        <w:t>International Covenant on Civil and Political Rights</w:t>
      </w:r>
      <w:r w:rsidRPr="00D64D5C">
        <w:rPr>
          <w:sz w:val="16"/>
          <w:szCs w:val="16"/>
          <w:lang w:val="en-US"/>
        </w:rPr>
        <w:t xml:space="preserve">. United Nations, Human Rights Committee, General comment No. 18, Non-discrimination, 10 November 1989, CCPR/C/37, para. 6. In the universal sphere, the Committee developed that definition, taking as a basis the definition of discrimination established in </w:t>
      </w:r>
      <w:r w:rsidRPr="00D64D5C">
        <w:rPr>
          <w:sz w:val="16"/>
          <w:szCs w:val="16"/>
          <w:lang w:val="en-US" w:eastAsia="es-ES"/>
        </w:rPr>
        <w:t>Article 1(1) of the International Convention on the Elimination of All Forms of Racial Discrimination and Article 1(1) of the Convention on the Elimination of All Forms of Discrimination against Women. In the inter-American sphere, the Inter-American Convention for the Elimination of All Forms of Discrimination against Persons with Disabilities has developed the following definition: “The term ‘disability against persons with disabilities’ means any distinction, exclusion, or restriction based on a disability, record of disability, conditions resulting form a previous disability, or perception of disability, whether present or past, which has the effect or objective of impairing or nullifying the recognition, enjoyment, or exercise by a person with a disability of his or her human rights and fundamental freedoms.</w:t>
      </w:r>
    </w:p>
  </w:footnote>
  <w:footnote w:id="29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Committee on Economic, Social and Cultural Rights, ‘General comment No. 14: The right to enjoy the highest attainable standard of health’ of 11 August 2000. UN Doc E/C.12/2000/4, para. 18.</w:t>
      </w:r>
    </w:p>
  </w:footnote>
  <w:footnote w:id="30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Committee on the Rights of the Child of the United Nations, ‘General comment No. 3:  HIV/AIDS and the rights of the child’ of March 17 2003. UN Doc CRC/GC/2003/3, para. 9.</w:t>
      </w:r>
    </w:p>
  </w:footnote>
  <w:footnote w:id="30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the former Commission indicated that: “discrimination on the basis of AIDS or HIV status, actual or presumed, is prohibited by existing international human rights standards, and that the term "or other status" in non-discrimination provisions in international human rights texts can be interpreted to cover health status, including HIV/AIDS” </w:t>
      </w:r>
      <w:r w:rsidRPr="00D64D5C">
        <w:rPr>
          <w:i/>
          <w:szCs w:val="16"/>
          <w:lang w:val="en-US"/>
        </w:rPr>
        <w:t>Cf.</w:t>
      </w:r>
      <w:r w:rsidRPr="00D64D5C">
        <w:rPr>
          <w:szCs w:val="16"/>
          <w:lang w:val="en-US"/>
        </w:rPr>
        <w:t xml:space="preserve"> </w:t>
      </w:r>
      <w:r w:rsidRPr="00D64D5C">
        <w:rPr>
          <w:i/>
          <w:szCs w:val="16"/>
          <w:lang w:val="en-US"/>
        </w:rPr>
        <w:t>The Protection of Human Rights in the Context of Human Immunodeficiency Virus (HIV) and Acquired Immune Deficiency Syndrome (AIDS)</w:t>
      </w:r>
      <w:r w:rsidRPr="00D64D5C">
        <w:rPr>
          <w:szCs w:val="16"/>
          <w:lang w:val="en-US"/>
        </w:rPr>
        <w:t>, United Nations Commission on Human Rights, Resolution 1995/44, 3 March 1995, para. 1.</w:t>
      </w:r>
    </w:p>
  </w:footnote>
  <w:footnote w:id="302">
    <w:p w:rsidR="0051351F" w:rsidRPr="00D64D5C" w:rsidRDefault="0051351F" w:rsidP="00555783">
      <w:pPr>
        <w:tabs>
          <w:tab w:val="left" w:pos="540"/>
        </w:tabs>
        <w:spacing w:after="100"/>
        <w:rPr>
          <w:rFonts w:eastAsia="Times New Roman" w:cs="Times New Roman"/>
          <w:noProof w:val="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United Nations Commission on Human Rights, ‘Report of the Special Rapporteur on the right </w:t>
      </w:r>
      <w:r w:rsidRPr="00D64D5C">
        <w:rPr>
          <w:rFonts w:eastAsia="Times New Roman" w:cs="Times New Roman"/>
          <w:noProof w:val="0"/>
          <w:sz w:val="16"/>
          <w:szCs w:val="16"/>
          <w:lang w:val="en-US"/>
        </w:rPr>
        <w:t xml:space="preserve">of everyone to the enjoyment of the highest attainable standard of physical and mental health.” </w:t>
      </w:r>
      <w:proofErr w:type="gramStart"/>
      <w:r w:rsidRPr="00D64D5C">
        <w:rPr>
          <w:rFonts w:eastAsia="Times New Roman" w:cs="Times New Roman"/>
          <w:noProof w:val="0"/>
          <w:sz w:val="16"/>
          <w:szCs w:val="16"/>
          <w:lang w:val="en-US"/>
        </w:rPr>
        <w:t>(</w:t>
      </w:r>
      <w:r w:rsidRPr="00D64D5C">
        <w:rPr>
          <w:sz w:val="16"/>
          <w:szCs w:val="16"/>
          <w:lang w:val="en-US"/>
        </w:rPr>
        <w:t>2003) UN Doc E/CN.4/2003/58 15, paras.</w:t>
      </w:r>
      <w:proofErr w:type="gramEnd"/>
      <w:r w:rsidRPr="00D64D5C">
        <w:rPr>
          <w:sz w:val="16"/>
          <w:szCs w:val="16"/>
          <w:lang w:val="en-US"/>
        </w:rPr>
        <w:t xml:space="preserve"> 64 to 75; General Assembly of the United Nations, ‘Report of the Special Rapporteur of the Commission on Human Rights  on the right </w:t>
      </w:r>
      <w:r w:rsidRPr="00D64D5C">
        <w:rPr>
          <w:rFonts w:eastAsia="Times New Roman" w:cs="Times New Roman"/>
          <w:noProof w:val="0"/>
          <w:sz w:val="16"/>
          <w:szCs w:val="16"/>
          <w:lang w:val="en-US"/>
        </w:rPr>
        <w:t>of everyone to the enjoyment of the highest attainable standard of physical and mental health</w:t>
      </w:r>
      <w:r w:rsidRPr="00D64D5C">
        <w:rPr>
          <w:sz w:val="16"/>
          <w:szCs w:val="16"/>
          <w:lang w:val="en-US"/>
        </w:rPr>
        <w:t>.’ (2010) UN Doc A/65/255, para. 8.</w:t>
      </w:r>
    </w:p>
  </w:footnote>
  <w:footnote w:id="30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 Classifications based on race or national origin […] and classifications affecting fundamental rights, […] are given the most exacting scrutiny. Between these extremes of rational basis review and strict scrutiny lies a level of intermediate scrutiny, which generally has been applied to discriminatory classifications based on sex or illegitimacy. […] To withstand intermediate scrutiny, a statutory classification must be substantially related to an important governmental objective.” </w:t>
      </w:r>
      <w:r w:rsidRPr="00D64D5C">
        <w:rPr>
          <w:i/>
          <w:szCs w:val="16"/>
          <w:lang w:val="en-US"/>
        </w:rPr>
        <w:t>Cf.</w:t>
      </w:r>
      <w:r w:rsidRPr="00D64D5C">
        <w:rPr>
          <w:szCs w:val="16"/>
          <w:lang w:val="en-US"/>
        </w:rPr>
        <w:t xml:space="preserve"> </w:t>
      </w:r>
      <w:r w:rsidRPr="00D64D5C">
        <w:rPr>
          <w:i/>
          <w:szCs w:val="16"/>
          <w:lang w:val="en-US"/>
        </w:rPr>
        <w:t>Clark v. Jeter</w:t>
      </w:r>
      <w:r w:rsidRPr="00D64D5C">
        <w:rPr>
          <w:szCs w:val="16"/>
          <w:lang w:val="en-US"/>
        </w:rPr>
        <w:t xml:space="preserve">, 486 U.S. 456, 461 (1988); </w:t>
      </w:r>
      <w:r w:rsidRPr="00D64D5C">
        <w:rPr>
          <w:i/>
          <w:szCs w:val="16"/>
          <w:lang w:val="en-US"/>
        </w:rPr>
        <w:t>Korematsu v. United States</w:t>
      </w:r>
      <w:r w:rsidRPr="00D64D5C">
        <w:rPr>
          <w:szCs w:val="16"/>
          <w:lang w:val="en-US"/>
        </w:rPr>
        <w:t xml:space="preserve">, 323 U.S. 214, 216 (1944) and </w:t>
      </w:r>
      <w:r w:rsidRPr="00D64D5C">
        <w:rPr>
          <w:i/>
          <w:szCs w:val="16"/>
          <w:lang w:val="en-US"/>
        </w:rPr>
        <w:t>McLaughlin v. Florida</w:t>
      </w:r>
      <w:r w:rsidRPr="00D64D5C">
        <w:rPr>
          <w:szCs w:val="16"/>
          <w:lang w:val="en-US"/>
        </w:rPr>
        <w:t>, 379 U.S. 184, 196 (1964).</w:t>
      </w:r>
    </w:p>
  </w:footnote>
  <w:footnote w:id="30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In judgments C-093 and C-671 of 2001, the Constitutional Court explained the scope of this type of scrutiny, called the integrated equality test: “[i]n order to determine whether the discriminatory treatment violates the fundamental right to equality, the Court has elaborated a model of analysis that integrates the assessment of proportionality and the test of equality. What this model does, basically, is repeat and harmonize the elements of the European test or proportionality assessment with the contributions of the United States tendency. Thus, the methodological stages of the European test are used, which include the following stages of analysis: (i) the court examines whether the measures is suitable; in other words, whether it is an appropriate means to achieve a constitutionally-valid end; (ii) it analyzes whether the different treatment is necessary or essential, and (iii) it analyzes the proportionality in its strict sense in order to determine whether the unequal treatment sacrifices constitutional values and principles that have greater relevance than those achieved with the different measures. In addition, the court looks at the different levels of intensity when applying the equality scrutinies or tests. These levels may vary between (i) strict, in which the different treatment must constitute a necessary measure to achieve a constitutionally-essential objective</w:t>
      </w:r>
      <w:r w:rsidRPr="00D64D5C">
        <w:rPr>
          <w:szCs w:val="16"/>
          <w:shd w:val="clear" w:color="auto" w:fill="FFFFFF"/>
          <w:lang w:val="en-US"/>
        </w:rPr>
        <w:t>; (ii) intermediate, in which the end must be constituionally important and the means must be highly conducive to achieve the proposed objective, and (iii) flexible or merely reasonable; in other words, that it is sufficient that the measure is potentially suitable to achieve the purpose that is not prohibited by law. This must be applied according to the nature of the disputed legislative provision or administrative measure.” The integrated test was applied in a case of discrimination based on HIV in Judgment</w:t>
      </w:r>
      <w:r w:rsidRPr="00D64D5C">
        <w:rPr>
          <w:szCs w:val="16"/>
          <w:lang w:val="en-US"/>
        </w:rPr>
        <w:t xml:space="preserve"> T-376 of 2013. </w:t>
      </w:r>
    </w:p>
  </w:footnote>
  <w:footnote w:id="305">
    <w:p w:rsidR="0051351F" w:rsidRPr="00D64D5C" w:rsidRDefault="0051351F" w:rsidP="00FC14B8">
      <w:pPr>
        <w:pStyle w:val="FootnoteText"/>
        <w:tabs>
          <w:tab w:val="left" w:pos="540"/>
        </w:tabs>
        <w:spacing w:before="0" w:after="100"/>
        <w:rPr>
          <w:rFonts w:cs="Courier New"/>
          <w:szCs w:val="16"/>
          <w:lang w:val="en-US"/>
        </w:rPr>
      </w:pPr>
      <w:r w:rsidRPr="00D64D5C">
        <w:rPr>
          <w:rStyle w:val="FootnoteReference"/>
          <w:szCs w:val="16"/>
          <w:lang w:val="en-US"/>
        </w:rPr>
        <w:footnoteRef/>
      </w:r>
      <w:r w:rsidRPr="00D64D5C">
        <w:rPr>
          <w:i/>
          <w:szCs w:val="16"/>
          <w:lang w:val="en-US"/>
        </w:rPr>
        <w:t xml:space="preserve"> </w:t>
      </w:r>
      <w:r w:rsidRPr="00D64D5C">
        <w:rPr>
          <w:i/>
          <w:szCs w:val="16"/>
          <w:lang w:val="en-US"/>
        </w:rPr>
        <w:tab/>
        <w:t>“</w:t>
      </w:r>
      <w:r w:rsidRPr="00D64D5C">
        <w:rPr>
          <w:rFonts w:cs="Courier New"/>
          <w:szCs w:val="16"/>
          <w:lang w:val="en-US"/>
        </w:rPr>
        <w:t xml:space="preserve">Presumption of the unconstitutionality of the local norm could only be eliminated by the defendant province by providing meticulous evidence on the objectives that it had tried to safeguard and on the means it had used to this end. Regarding the former, they must be substantial and it is not sufficient that they are merely convenient. Regarding the latter, a general “appropriateness” for those objectives shall be insufficient; rather it should be considered whether the means promote those objectives effectively and, also, whether there are other alternatives that are less restrictive of the rights in play than those imposed by the contested regulation.” Supreme Court of Justice of the Nation of Argentina, </w:t>
      </w:r>
      <w:r w:rsidRPr="00D64D5C">
        <w:rPr>
          <w:szCs w:val="16"/>
          <w:lang w:val="en-US"/>
        </w:rPr>
        <w:t xml:space="preserve">Case of Hooft, Pedro Cornelio Federico </w:t>
      </w:r>
      <w:r w:rsidRPr="00D64D5C">
        <w:rPr>
          <w:i/>
          <w:szCs w:val="16"/>
          <w:lang w:val="en-US"/>
        </w:rPr>
        <w:t>v.</w:t>
      </w:r>
      <w:r w:rsidRPr="00D64D5C">
        <w:rPr>
          <w:szCs w:val="16"/>
          <w:lang w:val="en-US"/>
        </w:rPr>
        <w:t xml:space="preserve"> Province of Buenos Aires, Ref. action to declare unconstitutionality, November 16, 2004, para. 6. </w:t>
      </w:r>
    </w:p>
  </w:footnote>
  <w:footnote w:id="30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Constitutional Chamber has emphasized that when unnecessary and unreasonable restrictions are imposed on persons with AIDS in the workplace, this constitutes discrimination. Any distinction of treatment or any normative differentiation requires a strong, reasonable and proportionate justification. Supreme Court of Justice of Costa Rica. </w:t>
      </w:r>
      <w:r w:rsidRPr="00D64D5C">
        <w:rPr>
          <w:rFonts w:cs="Arial"/>
          <w:bCs/>
          <w:szCs w:val="16"/>
          <w:shd w:val="clear" w:color="auto" w:fill="FFFFFF"/>
          <w:lang w:val="en-US"/>
        </w:rPr>
        <w:t>Judgment No. 01874 of January 29, 2010</w:t>
      </w:r>
      <w:r w:rsidRPr="00D64D5C">
        <w:rPr>
          <w:szCs w:val="16"/>
          <w:lang w:val="en-US"/>
        </w:rPr>
        <w:t>.</w:t>
      </w:r>
      <w:r w:rsidRPr="00D64D5C">
        <w:rPr>
          <w:rStyle w:val="apple-converted-space"/>
          <w:szCs w:val="16"/>
          <w:lang w:val="en-US"/>
        </w:rPr>
        <w:t> </w:t>
      </w:r>
    </w:p>
  </w:footnote>
  <w:footnote w:id="30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Cf.</w:t>
      </w:r>
      <w:r w:rsidRPr="00D64D5C">
        <w:rPr>
          <w:szCs w:val="16"/>
          <w:lang w:val="en-US"/>
        </w:rPr>
        <w:t xml:space="preserve"> </w:t>
      </w:r>
      <w:r w:rsidRPr="00D64D5C">
        <w:rPr>
          <w:i/>
          <w:szCs w:val="16"/>
          <w:lang w:val="en-US"/>
        </w:rPr>
        <w:t>Mutatis mutandi</w:t>
      </w:r>
      <w:r w:rsidRPr="00D64D5C">
        <w:rPr>
          <w:szCs w:val="16"/>
          <w:lang w:val="en-US"/>
        </w:rPr>
        <w:t xml:space="preserve">, </w:t>
      </w:r>
      <w:r w:rsidRPr="00D64D5C">
        <w:rPr>
          <w:rStyle w:val="Strong"/>
          <w:rFonts w:eastAsia="Times New Roman"/>
          <w:b w:val="0"/>
          <w:i/>
          <w:szCs w:val="16"/>
          <w:shd w:val="clear" w:color="auto" w:fill="FFFFFF"/>
          <w:lang w:val="en-US"/>
        </w:rPr>
        <w:t>Case of Atala Riffo and daughters v. Chile</w:t>
      </w:r>
      <w:r w:rsidRPr="00D64D5C">
        <w:rPr>
          <w:rStyle w:val="Strong"/>
          <w:rFonts w:eastAsia="Times New Roman"/>
          <w:b w:val="0"/>
          <w:szCs w:val="16"/>
          <w:shd w:val="clear" w:color="auto" w:fill="FFFFFF"/>
          <w:lang w:val="en-US"/>
        </w:rPr>
        <w:t>, para. 124,</w:t>
      </w:r>
      <w:r w:rsidRPr="00D64D5C">
        <w:rPr>
          <w:b/>
          <w:szCs w:val="16"/>
          <w:lang w:val="en-US"/>
        </w:rPr>
        <w:t xml:space="preserve"> </w:t>
      </w:r>
      <w:r w:rsidRPr="00D64D5C">
        <w:rPr>
          <w:szCs w:val="16"/>
          <w:lang w:val="en-US"/>
        </w:rPr>
        <w:t>and</w:t>
      </w:r>
      <w:r w:rsidRPr="00D64D5C">
        <w:rPr>
          <w:b/>
          <w:szCs w:val="16"/>
          <w:lang w:val="en-US"/>
        </w:rPr>
        <w:t xml:space="preserve"> </w:t>
      </w:r>
      <w:r w:rsidRPr="00D64D5C">
        <w:rPr>
          <w:i/>
          <w:szCs w:val="16"/>
          <w:lang w:val="en-US"/>
        </w:rPr>
        <w:t>Case of Granier et al. (Radio Caracas Televisión) v. Venezuela</w:t>
      </w:r>
      <w:r w:rsidRPr="00D64D5C">
        <w:rPr>
          <w:szCs w:val="16"/>
          <w:lang w:val="en-US"/>
        </w:rPr>
        <w:t>, para. 228.</w:t>
      </w:r>
    </w:p>
  </w:footnote>
  <w:footnote w:id="308">
    <w:p w:rsidR="0051351F" w:rsidRPr="00D64D5C" w:rsidRDefault="0051351F" w:rsidP="00FC14B8">
      <w:pPr>
        <w:pStyle w:val="MediumGrid1-Accent21"/>
        <w:tabs>
          <w:tab w:val="left" w:pos="540"/>
          <w:tab w:val="left" w:pos="720"/>
        </w:tabs>
        <w:autoSpaceDE w:val="0"/>
        <w:autoSpaceDN w:val="0"/>
        <w:adjustRightInd w:val="0"/>
        <w:spacing w:after="100"/>
        <w:ind w:left="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This principle requires that a measure must have a legitimate purpose or objective and that it is a suitable, necessary proportionate measure to achieve the purpose. To this end, the Court will: (i) verify whether the differentiation in treatment is founded on a legitimate objective pursuant to the Convention; (ii) examine whether the differentiation was appropriate or suitable to achieve the objective sought; in other words, whether there is a logical relationship of the means to an end between the objective and the means</w:t>
      </w:r>
      <w:r w:rsidRPr="00D64D5C">
        <w:rPr>
          <w:i/>
          <w:sz w:val="16"/>
          <w:szCs w:val="16"/>
          <w:lang w:val="en-US"/>
        </w:rPr>
        <w:t xml:space="preserve"> (cf. Case of Kimel v. Argentina</w:t>
      </w:r>
      <w:r w:rsidRPr="00D64D5C">
        <w:rPr>
          <w:sz w:val="16"/>
          <w:szCs w:val="16"/>
          <w:lang w:val="en-US"/>
        </w:rPr>
        <w:t>, para. 70)</w:t>
      </w:r>
      <w:r w:rsidRPr="00D64D5C">
        <w:rPr>
          <w:rFonts w:eastAsia="Calibri"/>
          <w:sz w:val="16"/>
          <w:szCs w:val="16"/>
          <w:lang w:val="en-US"/>
        </w:rPr>
        <w:t xml:space="preserve">; (iii) assess the need for this measure; this requires it to examine whether alternatives exist to achieve the legtimate end sought and to specify their greater or lesser harmfulness </w:t>
      </w:r>
      <w:r w:rsidRPr="00D64D5C">
        <w:rPr>
          <w:sz w:val="16"/>
          <w:szCs w:val="16"/>
          <w:lang w:val="en-US"/>
        </w:rPr>
        <w:t>(</w:t>
      </w:r>
      <w:r w:rsidRPr="00D64D5C">
        <w:rPr>
          <w:i/>
          <w:sz w:val="16"/>
          <w:szCs w:val="16"/>
          <w:lang w:val="en-US"/>
        </w:rPr>
        <w:t>cf.</w:t>
      </w:r>
      <w:r w:rsidRPr="00D64D5C">
        <w:rPr>
          <w:sz w:val="16"/>
          <w:szCs w:val="16"/>
          <w:lang w:val="en-US"/>
        </w:rPr>
        <w:t xml:space="preserve"> </w:t>
      </w:r>
      <w:r w:rsidRPr="00D64D5C">
        <w:rPr>
          <w:i/>
          <w:sz w:val="16"/>
          <w:szCs w:val="16"/>
          <w:lang w:val="en-US"/>
        </w:rPr>
        <w:t>Case of Chaparro Álvarez and Lapo Íñiguez v. Ecuador. Preliminary objections, merits, reparations and costs.</w:t>
      </w:r>
      <w:r w:rsidRPr="00D64D5C">
        <w:rPr>
          <w:sz w:val="16"/>
          <w:szCs w:val="16"/>
          <w:lang w:val="en-US"/>
        </w:rPr>
        <w:t xml:space="preserve"> Judgment of November 21, 2007. Series C No. 170, para. </w:t>
      </w:r>
      <w:r w:rsidRPr="0051351F">
        <w:rPr>
          <w:sz w:val="16"/>
          <w:szCs w:val="16"/>
        </w:rPr>
        <w:t xml:space="preserve">93; </w:t>
      </w:r>
      <w:r w:rsidRPr="0051351F">
        <w:rPr>
          <w:i/>
          <w:sz w:val="16"/>
          <w:szCs w:val="16"/>
        </w:rPr>
        <w:t>Case of Kimel v. Argentina</w:t>
      </w:r>
      <w:r w:rsidRPr="0051351F">
        <w:rPr>
          <w:sz w:val="16"/>
          <w:szCs w:val="16"/>
        </w:rPr>
        <w:t xml:space="preserve">, para. 74; </w:t>
      </w:r>
      <w:r w:rsidRPr="0051351F">
        <w:rPr>
          <w:i/>
          <w:sz w:val="16"/>
          <w:szCs w:val="16"/>
        </w:rPr>
        <w:t>Case of Castañeda Gutman v. Mexico</w:t>
      </w:r>
      <w:r w:rsidRPr="0051351F">
        <w:rPr>
          <w:sz w:val="16"/>
          <w:szCs w:val="16"/>
        </w:rPr>
        <w:t xml:space="preserve">, para. </w:t>
      </w:r>
      <w:r w:rsidRPr="00D64D5C">
        <w:rPr>
          <w:sz w:val="16"/>
          <w:szCs w:val="16"/>
          <w:lang w:val="en-US"/>
        </w:rPr>
        <w:t xml:space="preserve">196; </w:t>
      </w:r>
      <w:r w:rsidRPr="00D64D5C">
        <w:rPr>
          <w:i/>
          <w:sz w:val="16"/>
          <w:szCs w:val="16"/>
          <w:lang w:val="en-US"/>
        </w:rPr>
        <w:t>Case of Usón Ramírez v. Venezuela. Preliminary objection, merits, reparations and costs.</w:t>
      </w:r>
      <w:r w:rsidRPr="00D64D5C">
        <w:rPr>
          <w:sz w:val="16"/>
          <w:szCs w:val="16"/>
          <w:lang w:val="en-US"/>
        </w:rPr>
        <w:t xml:space="preserve"> Judgment of November 20, 2009. Series C No. 207, para. 72)</w:t>
      </w:r>
      <w:r w:rsidRPr="00D64D5C">
        <w:rPr>
          <w:rFonts w:eastAsia="Calibri"/>
          <w:sz w:val="16"/>
          <w:szCs w:val="16"/>
          <w:lang w:val="en-US"/>
        </w:rPr>
        <w:t>, and (iv) analyze the strict proportionality of the measure; in other words, whether the differentiation of treatment guarantees, broadly, the objective sought, without nullifying the right to equality and the right to education.</w:t>
      </w:r>
      <w:r w:rsidRPr="00D64D5C">
        <w:rPr>
          <w:sz w:val="16"/>
          <w:szCs w:val="16"/>
          <w:lang w:val="en-US"/>
        </w:rPr>
        <w:t xml:space="preserve"> To make this weighing up, the Court must examine three elements: the degree to which one of the rights in play has been affected, determining whether the intensity of these effects was serious, intermediate or moderate; the importance of satisfying the contrary right, and whether the satisfaction of the latter right justifies the restriction of the other right (</w:t>
      </w:r>
      <w:r w:rsidRPr="00D64D5C">
        <w:rPr>
          <w:i/>
          <w:sz w:val="16"/>
          <w:szCs w:val="16"/>
          <w:lang w:val="en-US"/>
        </w:rPr>
        <w:t>Case of Kimel v. Argentina</w:t>
      </w:r>
      <w:r w:rsidRPr="00D64D5C">
        <w:rPr>
          <w:sz w:val="16"/>
          <w:szCs w:val="16"/>
          <w:lang w:val="en-US"/>
        </w:rPr>
        <w:t xml:space="preserve">, para. </w:t>
      </w:r>
      <w:r w:rsidRPr="0051351F">
        <w:rPr>
          <w:sz w:val="16"/>
          <w:szCs w:val="16"/>
        </w:rPr>
        <w:t xml:space="preserve">84; </w:t>
      </w:r>
      <w:r w:rsidRPr="0051351F">
        <w:rPr>
          <w:i/>
          <w:sz w:val="16"/>
          <w:szCs w:val="16"/>
        </w:rPr>
        <w:t>Case of Usón Ramírez v. Venezuela</w:t>
      </w:r>
      <w:r w:rsidRPr="0051351F">
        <w:rPr>
          <w:sz w:val="16"/>
          <w:szCs w:val="16"/>
        </w:rPr>
        <w:t xml:space="preserve">, para. 80; </w:t>
      </w:r>
      <w:r w:rsidRPr="0051351F">
        <w:rPr>
          <w:rFonts w:cs="Times New Roman"/>
          <w:i/>
          <w:iCs/>
          <w:sz w:val="16"/>
          <w:szCs w:val="16"/>
        </w:rPr>
        <w:t xml:space="preserve">Case of Artavia Murillo et al. </w:t>
      </w:r>
      <w:r w:rsidRPr="00D64D5C">
        <w:rPr>
          <w:rFonts w:cs="Times New Roman"/>
          <w:i/>
          <w:iCs/>
          <w:sz w:val="16"/>
          <w:szCs w:val="16"/>
          <w:lang w:val="en-US"/>
        </w:rPr>
        <w:t>(In vitro fertilization) v. Costa Rica</w:t>
      </w:r>
      <w:r w:rsidRPr="00D64D5C">
        <w:rPr>
          <w:rFonts w:cs="Times New Roman"/>
          <w:iCs/>
          <w:sz w:val="16"/>
          <w:szCs w:val="16"/>
          <w:lang w:val="en-US"/>
        </w:rPr>
        <w:t xml:space="preserve">, paras. 273 and 274, and </w:t>
      </w:r>
      <w:r w:rsidRPr="00D64D5C">
        <w:rPr>
          <w:i/>
          <w:sz w:val="16"/>
          <w:szCs w:val="16"/>
          <w:lang w:val="en-US"/>
        </w:rPr>
        <w:t>Case of Granier et al. (Radio Caracas Televisión) v. Venezuela</w:t>
      </w:r>
      <w:r w:rsidRPr="00D64D5C">
        <w:rPr>
          <w:sz w:val="16"/>
          <w:szCs w:val="16"/>
          <w:lang w:val="en-US"/>
        </w:rPr>
        <w:t xml:space="preserve">, para. 144). </w:t>
      </w:r>
    </w:p>
  </w:footnote>
  <w:footnote w:id="309">
    <w:p w:rsidR="0051351F" w:rsidRPr="00D64D5C" w:rsidRDefault="0051351F" w:rsidP="00FC14B8">
      <w:pPr>
        <w:tabs>
          <w:tab w:val="left" w:pos="540"/>
        </w:tabs>
        <w:spacing w:after="100"/>
        <w:textAlignment w:val="baseline"/>
        <w:rPr>
          <w:rFonts w:eastAsia="Times New Roman" w:cs="Times New Roman"/>
          <w:sz w:val="16"/>
          <w:szCs w:val="16"/>
          <w:bdr w:val="none" w:sz="0" w:space="0" w:color="auto" w:frame="1"/>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r>
      <w:r w:rsidRPr="00D64D5C">
        <w:rPr>
          <w:i/>
          <w:sz w:val="16"/>
          <w:szCs w:val="16"/>
          <w:lang w:val="en-US"/>
        </w:rPr>
        <w:t>Cf.</w:t>
      </w:r>
      <w:r w:rsidRPr="00D64D5C">
        <w:rPr>
          <w:sz w:val="16"/>
          <w:szCs w:val="16"/>
          <w:lang w:val="en-US"/>
        </w:rPr>
        <w:t xml:space="preserve"> </w:t>
      </w:r>
      <w:r w:rsidRPr="00D64D5C">
        <w:rPr>
          <w:i/>
          <w:sz w:val="16"/>
          <w:szCs w:val="16"/>
          <w:lang w:val="en-US"/>
        </w:rPr>
        <w:t>ECHR. Case of Kiyutin v. Russia</w:t>
      </w:r>
      <w:r w:rsidRPr="00D64D5C">
        <w:rPr>
          <w:sz w:val="16"/>
          <w:szCs w:val="16"/>
          <w:lang w:val="en-US"/>
        </w:rPr>
        <w:t xml:space="preserve"> (Application No. 2700/10), 15 September 2011. For its part, the Colombian Constitutional Court, when examing the violation of the right to equality of a student with HIV who was prohibited from carrying out his practicum as a nursing auxiliary in a hospital during his studies owing to the alleged risk of infection, indicated that it was necessary to make a strict assessment of equality, because the differentiated treatment was based: (i) on a criterion of suspected discrimination (health status of the petitioner as an HIV carrier), and (ii) because the measure could be unlawfully restricting fundamental rights such as the right to education or the right to freedom to choose a profession or trade, among others, of a person who, owing to his health condition was in an evident situation of vulnerability. </w:t>
      </w:r>
      <w:r w:rsidRPr="00D64D5C">
        <w:rPr>
          <w:rFonts w:eastAsia="Times New Roman" w:cs="Times New Roman"/>
          <w:sz w:val="16"/>
          <w:szCs w:val="16"/>
          <w:bdr w:val="none" w:sz="0" w:space="0" w:color="auto" w:frame="1"/>
          <w:lang w:val="en-US"/>
        </w:rPr>
        <w:t xml:space="preserve">The Constitutional Court indicated that “[t] mere condition of HIV carrier cannot be argued to curtail the profession or career of a person even though he is an HIV carrier, because this condition does not constitute a sufficient reason to recommend other professional options. […] The factors that determine the health risk of a health professional infected with HIV relate to his immunological status, the type of occupational environment to which he is exposed and the correct use of protection barriers, because the careful practice of the procedures to control infections protect the patients and the health care providers against infectious-contagious diseases. Consequently, in principle, any restrictive measures adopted against this group that has been discriminated against in the past, cannot signify the limitation of the exercise of a profession, based merely on the condition, and also, in each specific case, its characteristics must be analyzed, observing whether or not the restrictive measure or the differentiated treatment is in keeping with the Constitution.” See </w:t>
      </w:r>
      <w:r w:rsidRPr="00D64D5C">
        <w:rPr>
          <w:sz w:val="16"/>
          <w:szCs w:val="16"/>
          <w:lang w:val="en-US"/>
        </w:rPr>
        <w:t xml:space="preserve">Judgment T-948 of 2008. Meanwhile, the Supreme Court of Justice of Mexico has indicated that discharging a person from the armed forces because they were HIV seropositive was illegal, because it violated the constitutional principle of non-discrimination based on health. Supreme Court of Justice of Mexico in plenary session 131/2007. </w:t>
      </w:r>
      <w:r w:rsidRPr="00D64D5C">
        <w:rPr>
          <w:i/>
          <w:sz w:val="16"/>
          <w:szCs w:val="16"/>
          <w:lang w:val="en-US"/>
        </w:rPr>
        <w:t>Amparo</w:t>
      </w:r>
      <w:r w:rsidRPr="00D64D5C">
        <w:rPr>
          <w:sz w:val="16"/>
          <w:szCs w:val="16"/>
          <w:lang w:val="en-US"/>
        </w:rPr>
        <w:t xml:space="preserve"> under view 307/2007.</w:t>
      </w:r>
    </w:p>
  </w:footnote>
  <w:footnote w:id="31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ECHR. Case of Kiyutin v. Russia</w:t>
      </w:r>
      <w:r w:rsidRPr="00D64D5C">
        <w:rPr>
          <w:szCs w:val="16"/>
          <w:lang w:val="en-US"/>
        </w:rPr>
        <w:t xml:space="preserve"> (Application No. 2700/10), 15 September 2011.</w:t>
      </w:r>
    </w:p>
  </w:footnote>
  <w:footnote w:id="31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Similarly, the Colombian Constitutional Court has analyzed discrimination against a person with HIV deprived of liberty who, because he was the victim of constant attacks owing to his condition, was transferred to a prison located in another city in which his family lived. However, following another decision, he was returned to the previous prison where he had been the victim of several attacks. To justify the transfer, the prison authorities alleged that this person had threatened to inject other prisoners with his blood. The Constitutional Court asserted that the medical condition and, in particular, having HIV/AIDS, is a protected category and a questionable criterion for differentiation. On making a strict assessment of equality, it indicated that: “although the safety of the prison population, and especially the importance of avoiding that a person injects prisoners with blood contaminated with the HIV virus, could be considered a legitimate and even essential reason, and that the transfer from the Barranquilla prison to Sincelejo appears suitable to achieve this, the Chamber does not consider that it is a </w:t>
      </w:r>
      <w:r w:rsidRPr="00D64D5C">
        <w:rPr>
          <w:i/>
          <w:szCs w:val="16"/>
          <w:lang w:val="en-US"/>
        </w:rPr>
        <w:t>necessary</w:t>
      </w:r>
      <w:r w:rsidRPr="00D64D5C">
        <w:rPr>
          <w:szCs w:val="16"/>
          <w:lang w:val="en-US"/>
        </w:rPr>
        <w:t xml:space="preserve"> measure, because the prison authorities should be able to control the access to syringes and other elements of risk, especially if they have identified this kind of threat. In addition, they have the obligation to control acts of violence among persons deprived of liberty, and the duty to provide appropriate social and psychological treatment, if a person should be considered a threat to that entity. Similarly, the measure is evidently disproportionate because the effect on the rights of the petitioner, a person under special constitutional protection is particularly intense, while the supposed threat to the public safety of the prison has not been factually proved, because the Director of El Bosque merely indicated that “apparently” two inmates with HIV intended to attack the whole prison population. This clearly reveals the existence of discriminatory conduct against the petitioner by the Director of the El Bosque Prison, because the Chamber finds that, without any factual basis, this official attributes to Rubén a particularly censurable conduct, and this is an aspect in which this case differs from others in which a presumption of discrimination has been applied indicating the use of a rule of assessment of the evidence designed to fill the probative gaps derived from the difficulty of proving a discriminatory act.” Judgment T-376 of 2013. </w:t>
      </w:r>
    </w:p>
  </w:footnote>
  <w:footnote w:id="31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Cf. </w:t>
      </w:r>
      <w:r w:rsidRPr="00D64D5C">
        <w:rPr>
          <w:i/>
          <w:szCs w:val="16"/>
          <w:lang w:val="en-US"/>
        </w:rPr>
        <w:t>Case of Norín Catrimán et al. (Leaders, members and activist of the Mapuche Indigenous People) v. Chile</w:t>
      </w:r>
      <w:r w:rsidRPr="00D64D5C">
        <w:rPr>
          <w:szCs w:val="16"/>
          <w:lang w:val="en-US"/>
        </w:rPr>
        <w:t xml:space="preserve">. Merits, reparations and costs. Judgment of May 29, 2014. Series C No. 279, para.226 and </w:t>
      </w:r>
      <w:r w:rsidRPr="00D64D5C">
        <w:rPr>
          <w:i/>
          <w:szCs w:val="16"/>
          <w:lang w:val="en-US"/>
        </w:rPr>
        <w:t>Case of Case of Atala Riffo and daughters v. Chile</w:t>
      </w:r>
      <w:r w:rsidRPr="00D64D5C">
        <w:rPr>
          <w:szCs w:val="16"/>
          <w:lang w:val="en-US"/>
        </w:rPr>
        <w:t>, para. 95.</w:t>
      </w:r>
    </w:p>
  </w:footnote>
  <w:footnote w:id="313">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To the contrary, high courts such as the Constitutional Chamber of the Supreme Court of Justice of Costa Rica have indicated that, in certain cases, the best interests of the child prevail over other legitimate rights, as well as the State’s obligation to ensure the right to education and to take steps to eliminate discrimination in matters concerning education. This was asserted in the case of a child with Asperger’s Syndrome who was in the custody the Child Welfare Institute and who was not being taken to school because the Institute argued that it did not have the means to provide him with access to the right to education. The Constitutional Chamber of the Supreme Court determined that, based on the principle of the child’s best interests, “the right of the child, depending on the specific case, prevails over other rights, even though these may be legitimate.” In addition, it indicated that, with regard to education, adaptation of the curriculum also entailed adaptations in access in order to ensure the right to education under equal conditions. The Chamber considered that, “when a child requires special adjustments for his schooling, the right to education is not guaranteed by mere enrolment in an educational establishment, but it should be provided in accordance with his needs. If not, the minor would be studying under discriminatory conditions.” It also emphasized that the State should take measures to eliminate discrimination progressively and to provide persons with disabilities with the required support services and technical assistance to ensure that they were able to exercise their rights and obligations. Judgment of the Supreme Court of Justice of Costa Rica, Constitutional Chamber. Ruling No. 2014-012897 of 2014. Available at: </w:t>
      </w:r>
      <w:hyperlink r:id="rId17" w:history="1">
        <w:r w:rsidRPr="00D64D5C">
          <w:rPr>
            <w:rStyle w:val="Hyperlink"/>
            <w:sz w:val="16"/>
            <w:szCs w:val="16"/>
            <w:lang w:val="en-US"/>
          </w:rPr>
          <w:t>http://jurisprudencia.poderjudicial.go.cr/SCIJ_PJ/busqueda/jurisprudenciajur_Documento.aspx?param1 =Ficha_Judgment&amp;nValor1=1&amp;nValor2=631082&amp;strTipM=T&amp;strDirSel=directo</w:t>
        </w:r>
      </w:hyperlink>
      <w:r w:rsidRPr="00D64D5C">
        <w:rPr>
          <w:sz w:val="16"/>
          <w:szCs w:val="16"/>
          <w:lang w:val="en-US"/>
        </w:rPr>
        <w:t xml:space="preserve"> </w:t>
      </w:r>
    </w:p>
  </w:footnote>
  <w:footnote w:id="31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United Nations, Committee on Economic, Social and Cultural Rights</w:t>
      </w:r>
      <w:r w:rsidRPr="00D64D5C">
        <w:rPr>
          <w:szCs w:val="16"/>
          <w:lang w:val="en-US" w:bidi="ar-OM"/>
        </w:rPr>
        <w:t>. General comment 13</w:t>
      </w:r>
      <w:r w:rsidRPr="00D64D5C">
        <w:rPr>
          <w:i/>
          <w:szCs w:val="16"/>
          <w:lang w:val="en-US" w:bidi="ar-OM"/>
        </w:rPr>
        <w:t xml:space="preserve">, The right to education </w:t>
      </w:r>
      <w:r w:rsidRPr="00D64D5C">
        <w:rPr>
          <w:szCs w:val="16"/>
          <w:lang w:val="en-US" w:bidi="ar-OM"/>
        </w:rPr>
        <w:t xml:space="preserve">(Article 13 of the Covenant) </w:t>
      </w:r>
      <w:r w:rsidRPr="00D64D5C">
        <w:rPr>
          <w:bCs/>
          <w:szCs w:val="16"/>
          <w:lang w:val="en-US" w:bidi="ar-OM"/>
        </w:rPr>
        <w:t>UN Doc. E/C.12/1999/10,</w:t>
      </w:r>
      <w:r w:rsidRPr="00D64D5C">
        <w:rPr>
          <w:szCs w:val="16"/>
          <w:lang w:val="en-US" w:bidi="ar-OM"/>
        </w:rPr>
        <w:t xml:space="preserve"> para. 6.</w:t>
      </w:r>
    </w:p>
  </w:footnote>
  <w:footnote w:id="31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Committee on the Rights of the Child. General comment No. 1</w:t>
      </w:r>
      <w:r w:rsidRPr="00D64D5C">
        <w:rPr>
          <w:szCs w:val="16"/>
          <w:lang w:val="en-US" w:bidi="ar-OM"/>
        </w:rPr>
        <w:t>,</w:t>
      </w:r>
      <w:r w:rsidRPr="00D64D5C">
        <w:rPr>
          <w:szCs w:val="16"/>
          <w:lang w:val="en-US"/>
        </w:rPr>
        <w:t xml:space="preserve"> </w:t>
      </w:r>
      <w:r w:rsidRPr="00D64D5C">
        <w:rPr>
          <w:szCs w:val="16"/>
          <w:lang w:val="en-US" w:bidi="ar-OM"/>
        </w:rPr>
        <w:t>The Aims of Education.</w:t>
      </w:r>
      <w:r w:rsidRPr="00D64D5C">
        <w:rPr>
          <w:b/>
          <w:bCs/>
          <w:szCs w:val="16"/>
          <w:lang w:val="en-US"/>
        </w:rPr>
        <w:t> </w:t>
      </w:r>
      <w:r w:rsidRPr="00D64D5C">
        <w:rPr>
          <w:bCs/>
          <w:szCs w:val="16"/>
          <w:lang w:val="en-US"/>
        </w:rPr>
        <w:t>UN Doc. HRI/GEN/1/Rev.7 at 332,</w:t>
      </w:r>
      <w:r w:rsidRPr="00D64D5C">
        <w:rPr>
          <w:szCs w:val="16"/>
          <w:lang w:val="en-US"/>
        </w:rPr>
        <w:t xml:space="preserve"> para. 9.</w:t>
      </w:r>
    </w:p>
  </w:footnote>
  <w:footnote w:id="316">
    <w:p w:rsidR="0051351F" w:rsidRPr="00D64D5C" w:rsidRDefault="0051351F" w:rsidP="00FC14B8">
      <w:pPr>
        <w:tabs>
          <w:tab w:val="left" w:pos="540"/>
          <w:tab w:val="left" w:pos="656"/>
          <w:tab w:val="left" w:pos="1246"/>
          <w:tab w:val="left" w:pos="1790"/>
          <w:tab w:val="left" w:pos="2686"/>
          <w:tab w:val="left" w:pos="3406"/>
          <w:tab w:val="left" w:pos="4126"/>
          <w:tab w:val="left" w:pos="4846"/>
          <w:tab w:val="left" w:pos="5566"/>
          <w:tab w:val="left" w:pos="6286"/>
          <w:tab w:val="left" w:pos="7006"/>
          <w:tab w:val="left" w:pos="7726"/>
          <w:tab w:val="left" w:pos="8446"/>
          <w:tab w:val="left" w:pos="9166"/>
          <w:tab w:val="left" w:pos="9886"/>
          <w:tab w:val="left" w:pos="10606"/>
          <w:tab w:val="left" w:pos="11326"/>
          <w:tab w:val="left" w:pos="12046"/>
          <w:tab w:val="left" w:pos="12766"/>
          <w:tab w:val="left" w:pos="13486"/>
          <w:tab w:val="left" w:pos="14206"/>
        </w:tabs>
        <w:autoSpaceDE w:val="0"/>
        <w:autoSpaceDN w:val="0"/>
        <w:adjustRightInd w:val="0"/>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The former Commission established that it: “f</w:t>
      </w:r>
      <w:r w:rsidRPr="00D64D5C">
        <w:rPr>
          <w:rFonts w:cs="Tms Rmn"/>
          <w:color w:val="000000"/>
          <w:sz w:val="16"/>
          <w:szCs w:val="16"/>
          <w:lang w:val="en-US"/>
        </w:rPr>
        <w:t>urther requests States to take all the necessary steps, including appropriate education, training and media programmes, to combat discrimination, prejudice and stigma, and to ensure the full enjoyment of civil, political, economic, social and cultural rights by people infected and affected by HIV/AIDS.</w:t>
      </w:r>
      <w:r w:rsidRPr="00D64D5C">
        <w:rPr>
          <w:sz w:val="16"/>
          <w:szCs w:val="16"/>
          <w:lang w:val="en-US"/>
        </w:rPr>
        <w:t xml:space="preserve">” </w:t>
      </w:r>
      <w:r w:rsidRPr="00D64D5C">
        <w:rPr>
          <w:i/>
          <w:sz w:val="16"/>
          <w:szCs w:val="16"/>
          <w:lang w:val="en-US"/>
        </w:rPr>
        <w:t>Cf.</w:t>
      </w:r>
      <w:r w:rsidRPr="00D64D5C">
        <w:rPr>
          <w:sz w:val="16"/>
          <w:szCs w:val="16"/>
          <w:lang w:val="en-US"/>
        </w:rPr>
        <w:t xml:space="preserve"> United Nations, Commission on Human Rights.</w:t>
      </w:r>
      <w:r w:rsidRPr="00D64D5C">
        <w:rPr>
          <w:bCs/>
          <w:i/>
          <w:sz w:val="16"/>
          <w:szCs w:val="16"/>
          <w:lang w:val="en-US"/>
        </w:rPr>
        <w:t xml:space="preserve"> </w:t>
      </w:r>
      <w:r w:rsidRPr="00D64D5C">
        <w:rPr>
          <w:rFonts w:cs="Tms Rmn"/>
          <w:bCs/>
          <w:i/>
          <w:color w:val="000000"/>
          <w:sz w:val="16"/>
          <w:szCs w:val="16"/>
          <w:lang w:val="en-US"/>
        </w:rPr>
        <w:t xml:space="preserve">The protection of human rights in the context of human immunodeficiency virus (HIV) and acquired immune deficiency syndrome (AIDS). </w:t>
      </w:r>
      <w:r w:rsidRPr="00D64D5C">
        <w:rPr>
          <w:sz w:val="16"/>
          <w:szCs w:val="16"/>
          <w:lang w:val="en-US"/>
        </w:rPr>
        <w:t>UN Doc. E/CN.4/RES/1999/49, 27 April 1999, para. 7.</w:t>
      </w:r>
    </w:p>
  </w:footnote>
  <w:footnote w:id="317">
    <w:p w:rsidR="0051351F" w:rsidRPr="00D64D5C" w:rsidRDefault="0051351F" w:rsidP="00FC14B8">
      <w:pPr>
        <w:pStyle w:val="FootnoteText"/>
        <w:tabs>
          <w:tab w:val="left" w:pos="540"/>
        </w:tabs>
        <w:spacing w:before="0" w:after="100"/>
        <w:rPr>
          <w:szCs w:val="16"/>
          <w:lang w:val="en-US" w:eastAsia="es-E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Thus, for example, </w:t>
      </w:r>
      <w:r w:rsidRPr="00D64D5C">
        <w:rPr>
          <w:szCs w:val="16"/>
          <w:lang w:val="en-US" w:eastAsia="es-ES"/>
        </w:rPr>
        <w:t xml:space="preserve">the Colombian Constitutional Court had to examine the above-mentioned case on whether the right to equality of a student had been violated by the decision of a hospital to prevent him from carrying out the necessary professional practicum in its facilities to graduate as a nursing assistant, with the argument that he was a carrier of HIV/AIDS, because this represented a risk to both the patients and the student himself, owing to the nature of the activities involved in this type of medical practice. The Court indicated that, when weighing issues of the risks involved for individuals and the situation of a person who is an HIV carrier: </w:t>
      </w:r>
    </w:p>
    <w:p w:rsidR="0051351F" w:rsidRPr="00D64D5C" w:rsidRDefault="0051351F" w:rsidP="00FC14B8">
      <w:pPr>
        <w:pStyle w:val="FootnoteText"/>
        <w:tabs>
          <w:tab w:val="left" w:pos="540"/>
        </w:tabs>
        <w:spacing w:before="0" w:after="100"/>
        <w:ind w:left="360" w:right="295"/>
        <w:rPr>
          <w:szCs w:val="16"/>
          <w:lang w:val="en-US" w:eastAsia="es-ES"/>
        </w:rPr>
      </w:pPr>
      <w:r w:rsidRPr="00D64D5C">
        <w:rPr>
          <w:szCs w:val="16"/>
          <w:lang w:val="en-US" w:eastAsia="es-ES"/>
        </w:rPr>
        <w:t xml:space="preserve"> “Returning to the application of the test to this case, and weighing what has been established by the concepts transcribed above, the decision taken by the manager of the defendant entity, which consisted in preventing the exercise of the professional practice in the Clinic’s facilities arguing the protection of X-503 as an HIV carrier and that of the patients who might have contact with him, the Chamber concludes that the measures was not necessary, because a nursing assistant student is exposed to the same risks arising from a hospital environment in which activities inherent in this profession are performed, which, in the specific case of X-503, are not increased in a </w:t>
      </w:r>
      <w:r w:rsidRPr="00D64D5C">
        <w:rPr>
          <w:bCs/>
          <w:lang w:val="en-US"/>
        </w:rPr>
        <w:t>gynecological-obstetric</w:t>
      </w:r>
      <w:r w:rsidRPr="00D64D5C">
        <w:rPr>
          <w:szCs w:val="16"/>
          <w:lang w:val="en-US" w:eastAsia="es-ES"/>
        </w:rPr>
        <w:t xml:space="preserve"> practice or in the future exercise of his profession as a nursing assistant. </w:t>
      </w:r>
    </w:p>
    <w:p w:rsidR="0051351F" w:rsidRPr="00D64D5C" w:rsidRDefault="0051351F" w:rsidP="00FC14B8">
      <w:pPr>
        <w:pStyle w:val="FootnoteText"/>
        <w:tabs>
          <w:tab w:val="left" w:pos="540"/>
        </w:tabs>
        <w:spacing w:before="0" w:after="100"/>
        <w:ind w:left="360" w:right="295"/>
        <w:rPr>
          <w:szCs w:val="16"/>
          <w:lang w:val="en-US" w:eastAsia="es-ES"/>
        </w:rPr>
      </w:pPr>
      <w:r w:rsidRPr="00D64D5C">
        <w:rPr>
          <w:szCs w:val="16"/>
          <w:lang w:val="en-US" w:eastAsia="es-ES"/>
        </w:rPr>
        <w:t xml:space="preserve">In addition, the condition as a HIV seropositive carrier of X-503, according to the opinions and arguments of the defendant entities, does not represent any additional risk for the patients of any service in general and of the </w:t>
      </w:r>
      <w:r w:rsidRPr="00D64D5C">
        <w:rPr>
          <w:bCs/>
          <w:lang w:val="en-US"/>
        </w:rPr>
        <w:t>gynecological-obstetric</w:t>
      </w:r>
      <w:r w:rsidRPr="00D64D5C">
        <w:rPr>
          <w:szCs w:val="16"/>
          <w:lang w:val="en-US" w:eastAsia="es-ES"/>
        </w:rPr>
        <w:t xml:space="preserve"> service in particular who might come into contact with the petitioner, because this is the opinion of the experts in this area, concluding that tranmission by health professionals is improbable. </w:t>
      </w:r>
    </w:p>
    <w:p w:rsidR="0051351F" w:rsidRPr="00D64D5C" w:rsidRDefault="0051351F" w:rsidP="00FC14B8">
      <w:pPr>
        <w:pStyle w:val="FootnoteText"/>
        <w:tabs>
          <w:tab w:val="left" w:pos="540"/>
        </w:tabs>
        <w:spacing w:before="0" w:after="100"/>
        <w:ind w:left="360" w:right="295"/>
        <w:rPr>
          <w:szCs w:val="16"/>
          <w:lang w:val="en-US" w:eastAsia="es-ES"/>
        </w:rPr>
      </w:pPr>
      <w:r w:rsidRPr="00D64D5C">
        <w:rPr>
          <w:szCs w:val="16"/>
          <w:lang w:val="en-US" w:eastAsia="es-ES"/>
        </w:rPr>
        <w:t xml:space="preserve">In sum, the measure is not necessary because there is an alternative to the decision to completely prevent him from carrying out the practice; that is, the entity, as an institution that provides health care services, is obliged to provide general measures of biosafety and to ensure the availability of methods of protection for all the personnel under the occupational health program. Likewise, protocols exist for the prevention of biological risks that, when publicized and applied, significantly reduce the risks of contagion on both sides.” </w:t>
      </w:r>
      <w:r w:rsidRPr="00D64D5C">
        <w:rPr>
          <w:szCs w:val="16"/>
          <w:shd w:val="clear" w:color="auto" w:fill="FFFFFF"/>
          <w:lang w:val="en-US"/>
        </w:rPr>
        <w:t xml:space="preserve">Judgment </w:t>
      </w:r>
      <w:r w:rsidRPr="00D64D5C">
        <w:rPr>
          <w:szCs w:val="16"/>
          <w:lang w:val="en-US"/>
        </w:rPr>
        <w:t xml:space="preserve">T-948 </w:t>
      </w:r>
      <w:r w:rsidRPr="00D64D5C">
        <w:rPr>
          <w:szCs w:val="16"/>
          <w:shd w:val="clear" w:color="auto" w:fill="FFFFFF"/>
          <w:lang w:val="en-US"/>
        </w:rPr>
        <w:t xml:space="preserve">of </w:t>
      </w:r>
      <w:r w:rsidRPr="00D64D5C">
        <w:rPr>
          <w:szCs w:val="16"/>
          <w:lang w:val="en-US"/>
        </w:rPr>
        <w:t xml:space="preserve">2008. </w:t>
      </w:r>
    </w:p>
  </w:footnote>
  <w:footnote w:id="31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i/>
          <w:szCs w:val="16"/>
          <w:lang w:val="en-US"/>
        </w:rPr>
        <w:t>Case of Atala Riffo and daughters v. Chile</w:t>
      </w:r>
      <w:r w:rsidRPr="00D64D5C">
        <w:rPr>
          <w:szCs w:val="16"/>
          <w:lang w:val="en-US"/>
        </w:rPr>
        <w:t xml:space="preserve">, para. 110. Similarly, another relevant case is revealed by the content of Judgment T-816 of 2005 of the Constitutional Court of Colombia, in which a person tried to enter the executive level of the National Police of Colombia, having passed the different examinations required to join the institution. In this case, the Police considered that the petitioner was not suitable because he was a person “infected” with HIV. Consequently, based on the precedent in this matter and protecting the right to equality, the Court stated: “It should be emphasized that although the decision to declare that the HIV carrier was not suitable was based on legitimate objectives, it does not comply with them, because this Chamber finds it evident that the person’s condition, in relation to the execution of the academic activities of the National Police School, and even the activities of the National Police, does not constitute a threat to his life, or to that of his colleagues and, especially, is contrary to the prevalence of the general interest. Consequently, the action of the defendant entity in the petitioner’s selection and admission procedure for the institution’s executive course, does not comply with the mandates of the Constitution […]. [There has been] evident discrimination against the petitioner, when he is considered “unsuitable” merely because of his condition as a healthy carrier of the virus. […] [B]eyond any doubt, as revealed by the evidence in the case file, the petitioner has been a direct victim of discrimination that, consequently, has violated his right to equality, to the free development of his personality, and thus, to choose freely his profession or trade, which inevitably poses a threat to his life project.” </w:t>
      </w:r>
      <w:r w:rsidRPr="00D64D5C">
        <w:rPr>
          <w:szCs w:val="16"/>
          <w:shd w:val="clear" w:color="auto" w:fill="FFFFFF"/>
          <w:lang w:val="en-US"/>
        </w:rPr>
        <w:t xml:space="preserve">Judgment </w:t>
      </w:r>
      <w:r w:rsidRPr="00D64D5C">
        <w:rPr>
          <w:szCs w:val="16"/>
          <w:lang w:val="en-US"/>
        </w:rPr>
        <w:t>T-816 2005.</w:t>
      </w:r>
    </w:p>
  </w:footnote>
  <w:footnote w:id="319">
    <w:p w:rsidR="0051351F" w:rsidRPr="00D64D5C" w:rsidRDefault="0051351F" w:rsidP="00FC14B8">
      <w:pPr>
        <w:pStyle w:val="FootnoteText"/>
        <w:tabs>
          <w:tab w:val="left" w:pos="540"/>
        </w:tabs>
        <w:spacing w:before="0" w:after="100"/>
        <w:rPr>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On this point, the Constitutional Chamber of the Supreme Court of Justice of Costa Rica had to analyze the situation of a child with Asperger’s syndrome who was in sixth grade at school. The child suffered a crisis, became angry, and insulted and kicked his teacher. As a result, the teacher refused to accept the child in his classes, and the child therefore stopped receiving lessons regularly. The Constitutional Chamber ordered the Director of the school immediately to take the necessary steps, within her terms of reference, to ensure that the protected child was provided with the classes of science, mathematics and agriculture that he had missed owing to the alleged situation, as well as to apply the recommendations made by the National Special Education Counselor to adapt the educational process of the protected child to his particular situation. The Court underscores that this case is exemplary because the result of weighing the rights required the protection of the child’s right to education and orders were given that the necessary adjustments be made so that the child could continue receiving classes, even if he suffered a crisis that could affect third parties. Judgment of the Supreme Court of Justice of Costa Rica, Constitutional Chamber. Ruling No. 15334-08. In another case of a child with Asperger’s syndrome, the same Constitutional Chamber had to examine the refusal to enrol a child in school on the excuse that the authorities were not prepared to accept him in the institution. The Constitutional Chamber ordered the Ministry of Public Education to take the necessary steps to ensure that, within five days, the Ministry’s experts would analyze the case of the protected child – with the participation of his mother, the psychologist and the neurologist who treated him – and determine where it was best to place him, considering his personal circumstances, as well as the characteristics of the educational establishments in the area. It also ordered that the necessary support be provided if the decision entailed a change of school. As can be seen, this case reveals the way in which the Chamber, protecting the child’s right to education, ordered the Ministry of Public Education to become involved and to decide which would be the best school to attend to the child’s needs. Judgment of the Supreme Court of Justice of Costa Rica, Constitutional Chamber. Ruling No. 7784-05</w:t>
      </w:r>
      <w:r w:rsidRPr="00D64D5C">
        <w:rPr>
          <w:szCs w:val="16"/>
          <w:lang w:val="en-US"/>
        </w:rPr>
        <w:t xml:space="preserve">. </w:t>
      </w:r>
    </w:p>
  </w:footnote>
  <w:footnote w:id="320">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Regarding the concept of stereotypes, </w:t>
      </w:r>
      <w:r w:rsidRPr="00D64D5C">
        <w:rPr>
          <w:i/>
          <w:szCs w:val="16"/>
          <w:lang w:val="en-US"/>
        </w:rPr>
        <w:t>mutatis mutandi</w:t>
      </w:r>
      <w:r w:rsidRPr="00D64D5C">
        <w:rPr>
          <w:szCs w:val="16"/>
          <w:lang w:val="en-US"/>
        </w:rPr>
        <w:t xml:space="preserve">, </w:t>
      </w:r>
      <w:r w:rsidRPr="00D64D5C">
        <w:rPr>
          <w:i/>
          <w:szCs w:val="16"/>
          <w:lang w:val="en-US"/>
        </w:rPr>
        <w:t>Cf. Case of Atala Riffo and daughters v. Chile</w:t>
      </w:r>
      <w:r w:rsidRPr="00D64D5C">
        <w:rPr>
          <w:szCs w:val="16"/>
          <w:lang w:val="en-US"/>
        </w:rPr>
        <w:t>, para. 111</w:t>
      </w:r>
      <w:r w:rsidRPr="00D64D5C">
        <w:rPr>
          <w:i/>
          <w:szCs w:val="16"/>
          <w:lang w:val="en-US"/>
        </w:rPr>
        <w:t xml:space="preserve"> and Case of González et al. (“Cotton Field”) v. Mexico</w:t>
      </w:r>
      <w:r w:rsidRPr="00D64D5C">
        <w:rPr>
          <w:szCs w:val="16"/>
          <w:lang w:val="en-US"/>
        </w:rPr>
        <w:t>, para. 401.</w:t>
      </w:r>
    </w:p>
  </w:footnote>
  <w:footnote w:id="32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bCs/>
          <w:i/>
          <w:szCs w:val="16"/>
          <w:lang w:val="en-US"/>
        </w:rPr>
        <w:t xml:space="preserve">Rights and Guarantees of Children in the Context of Migration and/or in Need of International Protection. </w:t>
      </w:r>
      <w:r w:rsidRPr="00D64D5C">
        <w:rPr>
          <w:bCs/>
          <w:szCs w:val="16"/>
          <w:lang w:val="en-US"/>
        </w:rPr>
        <w:t xml:space="preserve">Advisory Opinion OC-21/14 of August 19, 2014. Series A No. 21, para. 66 and </w:t>
      </w:r>
      <w:r w:rsidRPr="00D64D5C">
        <w:rPr>
          <w:i/>
          <w:szCs w:val="16"/>
          <w:lang w:val="en-US"/>
        </w:rPr>
        <w:t xml:space="preserve">Juridical Status and Human Rights of the Child. </w:t>
      </w:r>
      <w:r w:rsidRPr="00D64D5C">
        <w:rPr>
          <w:szCs w:val="16"/>
          <w:lang w:val="en-US"/>
        </w:rPr>
        <w:t>Advisory Opinion OC-17/02 of August 28, 2002. Series A No. 17, para. 56. Similarly, see: Preamble to the American Convention.</w:t>
      </w:r>
    </w:p>
  </w:footnote>
  <w:footnote w:id="32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bCs/>
          <w:i/>
          <w:szCs w:val="16"/>
          <w:lang w:val="en-US"/>
        </w:rPr>
        <w:t>Rights and Guarantees of Children in the Context of Migration and/or in Need of International Protection</w:t>
      </w:r>
      <w:r w:rsidRPr="00D64D5C">
        <w:rPr>
          <w:bCs/>
          <w:szCs w:val="16"/>
          <w:lang w:val="en-US"/>
        </w:rPr>
        <w:t xml:space="preserve">, para. 164 and </w:t>
      </w:r>
      <w:r w:rsidRPr="00D64D5C">
        <w:rPr>
          <w:i/>
          <w:szCs w:val="16"/>
          <w:lang w:val="en-US"/>
        </w:rPr>
        <w:t>Juridical Status and Human Rights of the Child</w:t>
      </w:r>
      <w:r w:rsidRPr="00D64D5C">
        <w:rPr>
          <w:szCs w:val="16"/>
          <w:lang w:val="en-US"/>
        </w:rPr>
        <w:t xml:space="preserve">, Advisory Opinion, para. 60. Similarly, see: Preamble to the American Convention. </w:t>
      </w:r>
    </w:p>
  </w:footnote>
  <w:footnote w:id="32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Note of NV of December 7, 1999 (evidence file, folio 1139).</w:t>
      </w:r>
    </w:p>
  </w:footnote>
  <w:footnote w:id="32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Public hearing on the application for constitutional protection of February 9, 2000 (evidence file, folio 1134).</w:t>
      </w:r>
    </w:p>
  </w:footnote>
  <w:footnote w:id="32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Note of JOM of December 21, 1999 (evidence file, folio 1138).</w:t>
      </w:r>
    </w:p>
  </w:footnote>
  <w:footnote w:id="32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Amparo</w:t>
      </w:r>
      <w:r w:rsidRPr="00D64D5C">
        <w:rPr>
          <w:szCs w:val="16"/>
          <w:lang w:val="en-US"/>
        </w:rPr>
        <w:t xml:space="preserve"> judgment of the Third Contentious Court of Cuenca of February 11, 2000 (evidence file, folio 1148).</w:t>
      </w:r>
    </w:p>
  </w:footnote>
  <w:footnote w:id="327">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Affidavit made by Teresa Lluy on April 22, 2014 (evidence file, folio 1082).</w:t>
      </w:r>
    </w:p>
  </w:footnote>
  <w:footnote w:id="328">
    <w:p w:rsidR="0051351F" w:rsidRPr="00D64D5C" w:rsidRDefault="0051351F" w:rsidP="00FC14B8">
      <w:pPr>
        <w:pStyle w:val="FootnoteText"/>
        <w:tabs>
          <w:tab w:val="left" w:pos="540"/>
        </w:tabs>
        <w:spacing w:before="0" w:after="100"/>
        <w:rPr>
          <w:szCs w:val="16"/>
          <w:lang w:val="en-US" w:eastAsia="es-E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Office of the United Nations High Commissioner for Human Rights and Joint United Nations Programme on HIV/AIDS</w:t>
      </w:r>
      <w:r w:rsidRPr="00D64D5C">
        <w:rPr>
          <w:szCs w:val="16"/>
          <w:lang w:val="en-US"/>
        </w:rPr>
        <w:t xml:space="preserve">, </w:t>
      </w:r>
      <w:r w:rsidRPr="00D64D5C">
        <w:rPr>
          <w:i/>
          <w:iCs/>
          <w:lang w:val="en-US"/>
        </w:rPr>
        <w:t>International Guidelines on HIV/AIDS and  Human Rights</w:t>
      </w:r>
      <w:r w:rsidRPr="00D64D5C">
        <w:rPr>
          <w:iCs/>
          <w:lang w:val="en-US"/>
        </w:rPr>
        <w:t>, 1996 and 2006,</w:t>
      </w:r>
      <w:r w:rsidRPr="00D64D5C">
        <w:rPr>
          <w:szCs w:val="16"/>
          <w:lang w:val="en-US"/>
        </w:rPr>
        <w:t xml:space="preserve"> para. 107. Available at: </w:t>
      </w:r>
      <w:hyperlink r:id="rId18" w:history="1">
        <w:r w:rsidRPr="00D64D5C">
          <w:rPr>
            <w:rStyle w:val="Hyperlink"/>
            <w:szCs w:val="16"/>
            <w:lang w:val="en-US"/>
          </w:rPr>
          <w:t>http://www.ohchr.org/Documents/Publications/HIVAIDSGuidelinesen.pdf.</w:t>
        </w:r>
      </w:hyperlink>
      <w:r w:rsidRPr="00D64D5C">
        <w:rPr>
          <w:szCs w:val="16"/>
          <w:lang w:val="en-US"/>
        </w:rPr>
        <w:t xml:space="preserve"> </w:t>
      </w:r>
      <w:r w:rsidRPr="00D64D5C">
        <w:rPr>
          <w:szCs w:val="16"/>
          <w:lang w:val="en-US" w:eastAsia="es-ES"/>
        </w:rPr>
        <w:t xml:space="preserve">UNAIDS has also indicated that: “[t]he stigma is linked to power and control at all levels of society as a whole; it creates social inequality and is strengthened by this. […] The stigma related to HIV/AIDS frequently leads to discrimination based on HIV/AIDS. In turn, this leads to the violation of the human rights of people living with HIV/AIDS [and] their families.” Regarding the social stigma caused by HIV, UNAIDS has indicated that this is a characteristic that results in “considerable discredit” to an individual in the eyes of others. It also has important consequences on the way in which individuals see themselves. Much of the stigma related to HIV and AIDS is built on previous negative conceptions and reinforces them. The family and the community often perpetuate the stigma and discrimination, partly from fear, partly from ignorance, and partly because it is convenient to blame those who have been affected first. Often the stigma related to HIV uses and reinforces existing social inequalities. These include gender inequalities, inequalities that deny the rights of sexual workers, inequalities based on ethnic origin and inequalities associated with sexuality in general and with homosexuality and transexuality in particular. </w:t>
      </w:r>
      <w:r w:rsidRPr="0051351F">
        <w:rPr>
          <w:szCs w:val="16"/>
        </w:rPr>
        <w:t>UNAIDS, “</w:t>
      </w:r>
      <w:r w:rsidRPr="0051351F">
        <w:rPr>
          <w:i/>
          <w:szCs w:val="16"/>
        </w:rPr>
        <w:t>Comunicar en VIH y SIDA. Manual de capacitación en VIH y SIDA para comunicadores sociales</w:t>
      </w:r>
      <w:r w:rsidRPr="0051351F">
        <w:rPr>
          <w:szCs w:val="16"/>
        </w:rPr>
        <w:t xml:space="preserve">,” 2006. </w:t>
      </w:r>
      <w:r w:rsidRPr="00D64D5C">
        <w:rPr>
          <w:szCs w:val="16"/>
          <w:lang w:val="en-US"/>
        </w:rPr>
        <w:t xml:space="preserve">Available at: </w:t>
      </w:r>
      <w:hyperlink r:id="rId19" w:history="1">
        <w:r w:rsidRPr="00D64D5C">
          <w:rPr>
            <w:rStyle w:val="Hyperlink"/>
            <w:szCs w:val="16"/>
            <w:lang w:val="en-US"/>
          </w:rPr>
          <w:t>http://www.unicef.org/venezuela/spanish/Comunicar_sobre_VIH_ Sida.pdf</w:t>
        </w:r>
      </w:hyperlink>
      <w:r w:rsidRPr="00D64D5C">
        <w:rPr>
          <w:lang w:val="en-US"/>
        </w:rPr>
        <w:t xml:space="preserve"> </w:t>
      </w:r>
      <w:r w:rsidRPr="00D64D5C">
        <w:rPr>
          <w:szCs w:val="16"/>
          <w:lang w:val="en-US"/>
        </w:rPr>
        <w:t>p. 32.</w:t>
      </w:r>
    </w:p>
  </w:footnote>
  <w:footnote w:id="329">
    <w:p w:rsidR="0051351F" w:rsidRPr="00D64D5C" w:rsidRDefault="0051351F" w:rsidP="00FC14B8">
      <w:pPr>
        <w:tabs>
          <w:tab w:val="left" w:pos="540"/>
        </w:tabs>
        <w:spacing w:after="100"/>
        <w:rPr>
          <w:rFonts w:cs="Times New Roman"/>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States should enact or strengthen anti-discrimination and other protective laws that protect vulnerable groups, people living with HIV and people with disabilities from discrimination in both the public and private sectors. </w:t>
      </w:r>
      <w:r w:rsidRPr="00D64D5C">
        <w:rPr>
          <w:rFonts w:cs="Arial"/>
          <w:sz w:val="16"/>
          <w:szCs w:val="16"/>
          <w:lang w:val="en-US"/>
        </w:rPr>
        <w:t>States should, in collaboration with and through the community, promote a supportive and enabling environment for women, children and other vulnerable groups by addressing underlying prejudices and inequalities through community dialogue, specially designed social and health services and support to community group</w:t>
      </w:r>
      <w:r w:rsidRPr="00D64D5C">
        <w:rPr>
          <w:rFonts w:cs="Times New Roman"/>
          <w:sz w:val="16"/>
          <w:szCs w:val="16"/>
          <w:lang w:val="en-US"/>
        </w:rPr>
        <w:t>s</w:t>
      </w:r>
      <w:r w:rsidRPr="00D64D5C">
        <w:rPr>
          <w:sz w:val="16"/>
          <w:szCs w:val="16"/>
          <w:lang w:val="en-US"/>
        </w:rPr>
        <w:t xml:space="preserve">. Office of the United Nations High Commissioner for Human Rights (OHCHR) and the Joint Programme of the United Nations on HIV/AIDS (UNAIDS), </w:t>
      </w:r>
      <w:r w:rsidRPr="00D64D5C">
        <w:rPr>
          <w:i/>
          <w:iCs/>
          <w:sz w:val="16"/>
          <w:szCs w:val="16"/>
          <w:lang w:val="en-US"/>
        </w:rPr>
        <w:t xml:space="preserve">International Guidelines on HIV/AIDS and Human Rights. </w:t>
      </w:r>
      <w:r w:rsidRPr="00D64D5C">
        <w:rPr>
          <w:iCs/>
          <w:sz w:val="16"/>
          <w:szCs w:val="16"/>
          <w:lang w:val="en-US"/>
        </w:rPr>
        <w:t>2006 consolidated version</w:t>
      </w:r>
      <w:r w:rsidRPr="00D64D5C">
        <w:rPr>
          <w:sz w:val="16"/>
          <w:szCs w:val="16"/>
          <w:lang w:val="en-US"/>
        </w:rPr>
        <w:t xml:space="preserve">. Available at: </w:t>
      </w:r>
      <w:hyperlink r:id="rId20" w:history="1">
        <w:r w:rsidRPr="00D64D5C">
          <w:rPr>
            <w:rStyle w:val="Hyperlink"/>
            <w:sz w:val="16"/>
            <w:szCs w:val="16"/>
            <w:lang w:val="en-US"/>
          </w:rPr>
          <w:t>http://www.ohchr.org/Documents/Publications/HIVAIDSGuidelinesen.pdf.</w:t>
        </w:r>
      </w:hyperlink>
    </w:p>
  </w:footnote>
  <w:footnote w:id="33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Sworn statement by Teresa Lluy on April 22, 2014 (evidence file, folios 1082 and 1083).</w:t>
      </w:r>
    </w:p>
  </w:footnote>
  <w:footnote w:id="331">
    <w:p w:rsidR="0051351F" w:rsidRPr="00D64D5C" w:rsidRDefault="0051351F" w:rsidP="00FC14B8">
      <w:pPr>
        <w:tabs>
          <w:tab w:val="left" w:pos="540"/>
        </w:tabs>
        <w:spacing w:after="100"/>
        <w:rPr>
          <w:sz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Committee on the Rights of the Child. General Comment No. 1, The Aims of Education, 2001, para. 9.</w:t>
      </w:r>
    </w:p>
  </w:footnote>
  <w:footnote w:id="33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Committee on the Rights of the Child. General Comment No. 3, </w:t>
      </w:r>
      <w:r w:rsidRPr="00D64D5C">
        <w:rPr>
          <w:color w:val="000000"/>
          <w:szCs w:val="16"/>
          <w:shd w:val="clear" w:color="auto" w:fill="FFFFFF"/>
          <w:lang w:val="en-US"/>
        </w:rPr>
        <w:t>HIV/AIDS and the rights of the child</w:t>
      </w:r>
      <w:r w:rsidRPr="00D64D5C">
        <w:rPr>
          <w:szCs w:val="16"/>
          <w:lang w:val="en-US"/>
        </w:rPr>
        <w:t>, 2003, para. 18.</w:t>
      </w:r>
    </w:p>
  </w:footnote>
  <w:footnote w:id="333">
    <w:p w:rsidR="0051351F" w:rsidRPr="00D64D5C" w:rsidRDefault="0051351F" w:rsidP="00FC14B8">
      <w:pPr>
        <w:tabs>
          <w:tab w:val="left" w:pos="540"/>
        </w:tabs>
        <w:spacing w:after="100"/>
        <w:rPr>
          <w:sz w:val="16"/>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sz w:val="16"/>
          <w:szCs w:val="16"/>
          <w:lang w:val="en-US"/>
        </w:rPr>
        <w:t>Committee on the Rights of the Child. General Comment No. 7, Implementing child rights in early childhood</w:t>
      </w:r>
      <w:r w:rsidRPr="00D64D5C">
        <w:rPr>
          <w:color w:val="000000"/>
          <w:sz w:val="16"/>
          <w:szCs w:val="16"/>
          <w:shd w:val="clear" w:color="auto" w:fill="FFFFFF"/>
          <w:lang w:val="en-US"/>
        </w:rPr>
        <w:t>, 2006,</w:t>
      </w:r>
      <w:r w:rsidRPr="00D64D5C">
        <w:rPr>
          <w:sz w:val="16"/>
          <w:szCs w:val="16"/>
          <w:lang w:val="en-US"/>
        </w:rPr>
        <w:t xml:space="preserve"> para. 11.</w:t>
      </w:r>
    </w:p>
  </w:footnote>
  <w:footnote w:id="33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Affidavit made by Clara Vinueza on February 12, 2015 (evidence file, folio 3595). The State did not contest Ms. Vinueza’s testimony. </w:t>
      </w:r>
    </w:p>
  </w:footnote>
  <w:footnote w:id="33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Clara Vinueza on February 12, 2015, (evidence file, folio 3596).</w:t>
      </w:r>
    </w:p>
  </w:footnote>
  <w:footnote w:id="33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Clara Vinueza on February 12, 2015, (evidence file, folio 3596).</w:t>
      </w:r>
    </w:p>
  </w:footnote>
  <w:footnote w:id="33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Clara Vinueza on February 12, 2015, (evidence file, folio 3597).</w:t>
      </w:r>
    </w:p>
  </w:footnote>
  <w:footnote w:id="33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Clara Vinueza on February 12, 2015, (evidence file, folio 3598).</w:t>
      </w:r>
    </w:p>
  </w:footnote>
  <w:footnote w:id="33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Affidavit made by Talía Gonzales Lluy on April 22, 2014 (evidence file, folio 1097).</w:t>
      </w:r>
    </w:p>
  </w:footnote>
  <w:footnote w:id="34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Affidavit made by Iván Lluy on April 22, 2014 (evidence file, folio 1112). </w:t>
      </w:r>
    </w:p>
  </w:footnote>
  <w:footnote w:id="341">
    <w:p w:rsidR="0051351F" w:rsidRPr="00D64D5C" w:rsidRDefault="0051351F" w:rsidP="00FC14B8">
      <w:pPr>
        <w:tabs>
          <w:tab w:val="left" w:pos="540"/>
        </w:tabs>
        <w:spacing w:after="100"/>
        <w:rPr>
          <w:sz w:val="18"/>
          <w:szCs w:val="18"/>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CEDAW, General Recommendation No. 28</w:t>
      </w:r>
      <w:r w:rsidRPr="00D64D5C">
        <w:rPr>
          <w:i/>
          <w:sz w:val="16"/>
          <w:szCs w:val="16"/>
          <w:lang w:val="en-US"/>
        </w:rPr>
        <w:t xml:space="preserve">, </w:t>
      </w:r>
      <w:r w:rsidRPr="00D64D5C">
        <w:rPr>
          <w:sz w:val="16"/>
          <w:szCs w:val="16"/>
          <w:lang w:val="en-US"/>
        </w:rPr>
        <w:t>2010, para. 21. Also, according to CEDAW, “States parties must legally recognize and prohibit such intersecting forms of discrimination and their compound negative effects on the women concerned.” CEDAW, General Recommendaation No. 28</w:t>
      </w:r>
      <w:r w:rsidRPr="00D64D5C">
        <w:rPr>
          <w:i/>
          <w:sz w:val="16"/>
          <w:szCs w:val="16"/>
          <w:lang w:val="en-US"/>
        </w:rPr>
        <w:t xml:space="preserve">, </w:t>
      </w:r>
      <w:r w:rsidRPr="00D64D5C">
        <w:rPr>
          <w:sz w:val="16"/>
          <w:szCs w:val="16"/>
          <w:lang w:val="en-US"/>
        </w:rPr>
        <w:t xml:space="preserve">2010, para. 18. </w:t>
      </w:r>
      <w:r w:rsidRPr="00D64D5C">
        <w:rPr>
          <w:rFonts w:cs="Arial"/>
          <w:snapToGrid w:val="0"/>
          <w:sz w:val="16"/>
          <w:szCs w:val="16"/>
          <w:lang w:val="en-US"/>
        </w:rPr>
        <w:t>Similarly, article 9 of the Inter-American Convention on the Prevention, Punishment and Eradication of Discrimination against Women (Convention of Belem do Pará) estabishes that: “</w:t>
      </w:r>
      <w:r w:rsidRPr="00D64D5C">
        <w:rPr>
          <w:rFonts w:cs="Tahoma"/>
          <w:bCs/>
          <w:sz w:val="16"/>
          <w:szCs w:val="16"/>
          <w:lang w:val="en-US"/>
        </w:rPr>
        <w:t>With respect to the adoption of the measures in this Chapter, the States Parties shall take special account of the vulnerability of women to violence by reason of, among others, their race or ethnic background or their status as migrants, refugees or displaced persons. Similar consideration shall be given to women subjected to violence while pregnant or who are disabled, of minor age, elderly, socioeconomically disadvantaged, affected by armed conflict or deprived of their freedom</w:t>
      </w:r>
      <w:r w:rsidRPr="00D64D5C">
        <w:rPr>
          <w:rFonts w:ascii="Tahoma" w:hAnsi="Tahoma" w:cs="Tahoma"/>
          <w:b/>
          <w:bCs/>
          <w:sz w:val="16"/>
          <w:szCs w:val="16"/>
          <w:lang w:val="en-US"/>
        </w:rPr>
        <w:t>.”</w:t>
      </w:r>
    </w:p>
  </w:footnote>
  <w:footnote w:id="34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Committee on the Rights of the Child. General Comment No. 3, </w:t>
      </w:r>
      <w:r w:rsidRPr="00D64D5C">
        <w:rPr>
          <w:color w:val="000000"/>
          <w:szCs w:val="16"/>
          <w:shd w:val="clear" w:color="auto" w:fill="FFFFFF"/>
          <w:lang w:val="en-US"/>
        </w:rPr>
        <w:t>HIV/AIDS and the Rights of the Child</w:t>
      </w:r>
      <w:r w:rsidRPr="00D64D5C">
        <w:rPr>
          <w:szCs w:val="16"/>
          <w:lang w:val="en-US"/>
        </w:rPr>
        <w:t>, 2003, para. 5.</w:t>
      </w:r>
    </w:p>
  </w:footnote>
  <w:footnote w:id="34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the European Court of Human Rights, in the case of B.S. v. Spain, recognized the situation of extreme vulnerability of B.S., who suffered discrimination based on gender, race, national origin, and situation as an alien and a sexual worker. </w:t>
      </w:r>
      <w:r w:rsidRPr="00D64D5C">
        <w:rPr>
          <w:lang w:val="en-US"/>
        </w:rPr>
        <w:t xml:space="preserve">The European Court indicated: </w:t>
      </w:r>
      <w:r w:rsidRPr="00D64D5C">
        <w:rPr>
          <w:szCs w:val="16"/>
          <w:lang w:val="en-US"/>
        </w:rPr>
        <w:t>“</w:t>
      </w:r>
      <w:r w:rsidRPr="00D64D5C">
        <w:rPr>
          <w:rFonts w:cs="Arial"/>
          <w:szCs w:val="16"/>
          <w:shd w:val="clear" w:color="auto" w:fill="FFFFFF"/>
          <w:lang w:val="en-US"/>
        </w:rPr>
        <w:t>In the light of the evidence submitted in the present case, the Court considers that the decisions made by the domestic courts failed to take account of the applicant’s particular vulnerability inherent in her position as an African woman working as a prostitute.”</w:t>
      </w:r>
      <w:r w:rsidRPr="00D64D5C">
        <w:rPr>
          <w:lang w:val="en-US"/>
        </w:rPr>
        <w:t xml:space="preserve"> European Court of Human Rights (ECHR), </w:t>
      </w:r>
      <w:r w:rsidRPr="00D64D5C">
        <w:rPr>
          <w:i/>
          <w:lang w:val="en-US"/>
        </w:rPr>
        <w:t xml:space="preserve">Case of </w:t>
      </w:r>
      <w:r w:rsidRPr="00D64D5C">
        <w:rPr>
          <w:i/>
          <w:szCs w:val="16"/>
          <w:lang w:val="en-US"/>
        </w:rPr>
        <w:t xml:space="preserve">B.S. v. Spain, </w:t>
      </w:r>
      <w:r w:rsidRPr="00D64D5C">
        <w:rPr>
          <w:szCs w:val="16"/>
          <w:lang w:val="en-US"/>
        </w:rPr>
        <w:t xml:space="preserve">No. 47159/08, Judgment of 24 July 2012, para. 62. Similarly, consult: IACHR, </w:t>
      </w:r>
      <w:r w:rsidRPr="00D64D5C">
        <w:rPr>
          <w:bCs/>
          <w:i/>
          <w:szCs w:val="16"/>
          <w:lang w:val="en-US"/>
        </w:rPr>
        <w:t xml:space="preserve">Access to justice for women victims of violence in the Americas, </w:t>
      </w:r>
      <w:r w:rsidRPr="00D64D5C">
        <w:rPr>
          <w:bCs/>
          <w:szCs w:val="16"/>
          <w:lang w:val="en-US"/>
        </w:rPr>
        <w:t>of January 20,</w:t>
      </w:r>
      <w:r w:rsidRPr="00D64D5C">
        <w:rPr>
          <w:bCs/>
          <w:i/>
          <w:szCs w:val="16"/>
          <w:lang w:val="en-US"/>
        </w:rPr>
        <w:t xml:space="preserve"> </w:t>
      </w:r>
      <w:r w:rsidRPr="00D64D5C">
        <w:rPr>
          <w:szCs w:val="16"/>
          <w:lang w:val="en-US"/>
        </w:rPr>
        <w:t xml:space="preserve">2007, paras. 195 to 197; IACHR, </w:t>
      </w:r>
      <w:r w:rsidRPr="00D64D5C">
        <w:rPr>
          <w:i/>
          <w:iCs/>
          <w:szCs w:val="16"/>
          <w:lang w:val="en-US"/>
        </w:rPr>
        <w:t>Violence and discrimination against women in the armed conflict in Colombia</w:t>
      </w:r>
      <w:r w:rsidRPr="00D64D5C">
        <w:rPr>
          <w:szCs w:val="16"/>
          <w:lang w:val="en-US"/>
        </w:rPr>
        <w:t xml:space="preserve">, of October 18, 2006, paras. 102 to 106, and IACHR, </w:t>
      </w:r>
      <w:r w:rsidRPr="00D64D5C">
        <w:rPr>
          <w:i/>
          <w:szCs w:val="16"/>
          <w:lang w:val="en-US"/>
        </w:rPr>
        <w:t>The right of women to be free from violence and discrimination in Haiti</w:t>
      </w:r>
      <w:r w:rsidRPr="00D64D5C">
        <w:rPr>
          <w:szCs w:val="16"/>
          <w:lang w:val="en-US"/>
        </w:rPr>
        <w:t xml:space="preserve">, of March 10, 2009, para. 90. </w:t>
      </w:r>
    </w:p>
  </w:footnote>
  <w:footnote w:id="34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United Nations, Report of the Special Rapporteur on violence against women, its causes and consequences, Rashida Manjoo, UN Doc A/HRC/17/26, 2 May 2011. para. 67. </w:t>
      </w:r>
    </w:p>
  </w:footnote>
  <w:footnote w:id="345">
    <w:p w:rsidR="0051351F" w:rsidRPr="00D64D5C" w:rsidRDefault="0051351F" w:rsidP="00FC14B8">
      <w:pPr>
        <w:pStyle w:val="FootnoteText"/>
        <w:tabs>
          <w:tab w:val="left" w:pos="540"/>
        </w:tabs>
        <w:spacing w:before="0" w:after="100"/>
        <w:rPr>
          <w:szCs w:val="16"/>
          <w:lang w:val="en-US"/>
        </w:rPr>
      </w:pPr>
      <w:r w:rsidRPr="00D64D5C">
        <w:rPr>
          <w:rStyle w:val="FootnoteReference"/>
          <w:lang w:val="en-US"/>
        </w:rPr>
        <w:footnoteRef/>
      </w:r>
      <w:r w:rsidRPr="00D64D5C">
        <w:rPr>
          <w:lang w:val="en-US"/>
        </w:rPr>
        <w:t xml:space="preserve"> </w:t>
      </w:r>
      <w:r w:rsidRPr="00D64D5C">
        <w:rPr>
          <w:lang w:val="en-US"/>
        </w:rPr>
        <w:tab/>
        <w:t xml:space="preserve">With regard to “biological differences, these roles and expectations are generated and affirmed by societal, cultural, economic and political factors.” </w:t>
      </w:r>
      <w:r w:rsidRPr="00D64D5C">
        <w:rPr>
          <w:szCs w:val="16"/>
          <w:lang w:val="en-US"/>
        </w:rPr>
        <w:t xml:space="preserve">Consequently, “a gender and sexuality approach provides an insight into the driving forces behind the differences and inequalities of males and females within a specific ontext. In turn, these forces affect an individual’s vulnerability and risk, as well as their access to services and ability to fulfill their human rights; [… thus] gender and sexuality is a complete approach that takes on board all of the issues that affect HIV.” </w:t>
      </w:r>
      <w:r w:rsidRPr="00D64D5C">
        <w:rPr>
          <w:lang w:val="en-US"/>
        </w:rPr>
        <w:t>International HIV/AIDS Alliance</w:t>
      </w:r>
      <w:r w:rsidRPr="00D64D5C">
        <w:rPr>
          <w:szCs w:val="16"/>
          <w:lang w:val="en-US"/>
        </w:rPr>
        <w:t xml:space="preserve">, </w:t>
      </w:r>
      <w:r w:rsidRPr="00D64D5C">
        <w:rPr>
          <w:i/>
          <w:szCs w:val="16"/>
          <w:lang w:val="en-US"/>
        </w:rPr>
        <w:t>Approaches to Gender and Sexuality: responding to HIV, 2010</w:t>
      </w:r>
      <w:r w:rsidRPr="00D64D5C">
        <w:rPr>
          <w:szCs w:val="16"/>
          <w:lang w:val="en-US"/>
        </w:rPr>
        <w:t xml:space="preserve">, p. 16. Available at: </w:t>
      </w:r>
      <w:r w:rsidRPr="00D64D5C">
        <w:rPr>
          <w:rFonts w:eastAsia="Calibri"/>
          <w:szCs w:val="16"/>
          <w:lang w:val="en-US"/>
        </w:rPr>
        <w:t xml:space="preserve"> </w:t>
      </w:r>
      <w:hyperlink r:id="rId21" w:history="1">
        <w:r w:rsidRPr="00D64D5C">
          <w:rPr>
            <w:rStyle w:val="Hyperlink"/>
            <w:rFonts w:eastAsia="Calibri"/>
            <w:szCs w:val="16"/>
            <w:lang w:val="en-US"/>
          </w:rPr>
          <w:t>http://www.aidsalliance.org/assets/000/000/741/GenderAndSexualityReport_original.pdf?1406302925</w:t>
        </w:r>
      </w:hyperlink>
      <w:r w:rsidRPr="00D64D5C">
        <w:rPr>
          <w:rFonts w:eastAsia="Calibri"/>
          <w:szCs w:val="16"/>
          <w:lang w:val="en-US"/>
        </w:rPr>
        <w:t>.</w:t>
      </w:r>
    </w:p>
  </w:footnote>
  <w:footnote w:id="34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Talía has testified: “How can I have a friend, a boyfriend, what will I tell him; how can I tell him how I feel, kiss him? I was and still am very frightened. How do I tell a boyfriend that I have HIV; that it wasn’t my fault; that he should not run away; that he should not be scared; that I am a person with feelings and that like anyone else I can love and want to be loved? […] I want […] to have what I need to be able to do what I want with my life; go where I want; travel […], study what I want; that in the midst of my loneliness, as a child, adolescent, young woman, if I can’t enjoy a good friendship, a husband, children, at least I want my life alone to be as good as possible.” Affidavit made by Talía Gonzales Lluy on April 22, 2014 (evidence file, folios 1101, 1103 and 1104). </w:t>
      </w:r>
    </w:p>
  </w:footnote>
  <w:footnote w:id="347">
    <w:p w:rsidR="0051351F" w:rsidRPr="00B31E31"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B31E31">
        <w:rPr>
          <w:szCs w:val="16"/>
          <w:lang w:val="en-US"/>
        </w:rPr>
        <w:t xml:space="preserve">      </w:t>
      </w:r>
      <w:r w:rsidRPr="00B31E31">
        <w:rPr>
          <w:szCs w:val="16"/>
          <w:lang w:val="en-US"/>
        </w:rPr>
        <w:tab/>
      </w:r>
      <w:r w:rsidRPr="00B31E31">
        <w:rPr>
          <w:i/>
          <w:szCs w:val="16"/>
          <w:lang w:val="en-US"/>
        </w:rPr>
        <w:t xml:space="preserve">Cf. Case of Valle Jaramillo et al. v. Colombia. </w:t>
      </w:r>
      <w:r w:rsidRPr="00D64D5C">
        <w:rPr>
          <w:i/>
          <w:szCs w:val="16"/>
          <w:lang w:val="en-US"/>
        </w:rPr>
        <w:t xml:space="preserve">Merits, reparations and costs. </w:t>
      </w:r>
      <w:r w:rsidRPr="00D64D5C">
        <w:rPr>
          <w:szCs w:val="16"/>
          <w:lang w:val="en-US"/>
        </w:rPr>
        <w:t xml:space="preserve">Judgment of November 27, 2008. Series C No. 192, para. 155, and </w:t>
      </w:r>
      <w:r w:rsidRPr="00D64D5C">
        <w:rPr>
          <w:i/>
          <w:szCs w:val="16"/>
          <w:lang w:val="en-US"/>
        </w:rPr>
        <w:t xml:space="preserve">Case of Granier et al. </w:t>
      </w:r>
      <w:r w:rsidRPr="0051351F">
        <w:rPr>
          <w:i/>
          <w:szCs w:val="16"/>
        </w:rPr>
        <w:t>(Radio Caracas Televisión) v. Venezuela</w:t>
      </w:r>
      <w:r w:rsidRPr="0051351F">
        <w:rPr>
          <w:szCs w:val="16"/>
        </w:rPr>
        <w:t xml:space="preserve">, para. </w:t>
      </w:r>
      <w:r w:rsidRPr="00B31E31">
        <w:rPr>
          <w:szCs w:val="16"/>
          <w:lang w:val="en-US"/>
        </w:rPr>
        <w:t>255.</w:t>
      </w:r>
      <w:r w:rsidRPr="00B31E31">
        <w:rPr>
          <w:i/>
          <w:szCs w:val="16"/>
          <w:lang w:val="en-US"/>
        </w:rPr>
        <w:t xml:space="preserve"> </w:t>
      </w:r>
    </w:p>
  </w:footnote>
  <w:footnote w:id="348">
    <w:p w:rsidR="0051351F" w:rsidRPr="00B31E31"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B31E31">
        <w:rPr>
          <w:szCs w:val="16"/>
          <w:lang w:val="en-US"/>
        </w:rPr>
        <w:t xml:space="preserve">       </w:t>
      </w:r>
      <w:r w:rsidRPr="00B31E31">
        <w:rPr>
          <w:szCs w:val="16"/>
          <w:lang w:val="en-US"/>
        </w:rPr>
        <w:tab/>
      </w:r>
      <w:r w:rsidRPr="00B31E31">
        <w:rPr>
          <w:i/>
          <w:szCs w:val="16"/>
          <w:lang w:val="en-US"/>
        </w:rPr>
        <w:t xml:space="preserve">Cf. </w:t>
      </w:r>
      <w:r w:rsidRPr="00B31E31">
        <w:rPr>
          <w:rStyle w:val="Strong"/>
          <w:b w:val="0"/>
          <w:i/>
          <w:szCs w:val="16"/>
          <w:lang w:val="en-US"/>
        </w:rPr>
        <w:t xml:space="preserve">Case of Anzualdo Castro v. Peru. </w:t>
      </w:r>
      <w:r w:rsidRPr="00D64D5C">
        <w:rPr>
          <w:rStyle w:val="Strong"/>
          <w:b w:val="0"/>
          <w:i/>
          <w:szCs w:val="16"/>
          <w:lang w:val="en-US"/>
        </w:rPr>
        <w:t xml:space="preserve">Preliminary objection, merits, reparations and costs. </w:t>
      </w:r>
      <w:r w:rsidRPr="00D64D5C">
        <w:rPr>
          <w:rStyle w:val="Strong"/>
          <w:b w:val="0"/>
          <w:szCs w:val="16"/>
          <w:lang w:val="en-US"/>
        </w:rPr>
        <w:t xml:space="preserve">Judgment of September 22, 2009. Series C No. 202, para. 156, and </w:t>
      </w:r>
      <w:r w:rsidRPr="00D64D5C">
        <w:rPr>
          <w:i/>
          <w:szCs w:val="16"/>
          <w:lang w:val="en-US"/>
        </w:rPr>
        <w:t xml:space="preserve">Case of Granier et al. </w:t>
      </w:r>
      <w:r w:rsidRPr="0051351F">
        <w:rPr>
          <w:i/>
          <w:szCs w:val="16"/>
        </w:rPr>
        <w:t>(Radio Caracas Televisión) v. Venezuela</w:t>
      </w:r>
      <w:r w:rsidRPr="0051351F">
        <w:rPr>
          <w:szCs w:val="16"/>
        </w:rPr>
        <w:t xml:space="preserve">, para. </w:t>
      </w:r>
      <w:r w:rsidRPr="00B31E31">
        <w:rPr>
          <w:szCs w:val="16"/>
          <w:lang w:val="en-US"/>
        </w:rPr>
        <w:t>255.</w:t>
      </w:r>
    </w:p>
  </w:footnote>
  <w:footnote w:id="349">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B31E31">
        <w:rPr>
          <w:sz w:val="16"/>
          <w:szCs w:val="16"/>
          <w:lang w:val="en-US"/>
        </w:rPr>
        <w:t xml:space="preserve">  </w:t>
      </w:r>
      <w:r w:rsidRPr="00B31E31">
        <w:rPr>
          <w:sz w:val="16"/>
          <w:szCs w:val="16"/>
          <w:lang w:val="en-US"/>
        </w:rPr>
        <w:tab/>
      </w:r>
      <w:r w:rsidRPr="00B31E31">
        <w:rPr>
          <w:i/>
          <w:sz w:val="16"/>
          <w:szCs w:val="16"/>
          <w:lang w:val="en-US"/>
        </w:rPr>
        <w:t xml:space="preserve">Cf. inter alia, Case of Genie Lacayo v. Nicaragua. </w:t>
      </w:r>
      <w:r w:rsidRPr="00D64D5C">
        <w:rPr>
          <w:i/>
          <w:sz w:val="16"/>
          <w:szCs w:val="16"/>
          <w:lang w:val="en-US"/>
        </w:rPr>
        <w:t xml:space="preserve">Preliminary objections. </w:t>
      </w:r>
      <w:r w:rsidRPr="00D64D5C">
        <w:rPr>
          <w:sz w:val="16"/>
          <w:szCs w:val="16"/>
          <w:lang w:val="en-US"/>
        </w:rPr>
        <w:t xml:space="preserve">Judgment of January 27, 1995. Series C No. 21, para. 78, and </w:t>
      </w:r>
      <w:r w:rsidRPr="00D64D5C">
        <w:rPr>
          <w:i/>
          <w:sz w:val="16"/>
          <w:szCs w:val="16"/>
          <w:lang w:val="en-US"/>
        </w:rPr>
        <w:t>Case of Granier et al. (Radio Caracas Televisión) v. Venezuela</w:t>
      </w:r>
      <w:r w:rsidRPr="00D64D5C">
        <w:rPr>
          <w:sz w:val="16"/>
          <w:szCs w:val="16"/>
          <w:lang w:val="en-US"/>
        </w:rPr>
        <w:t>, para. 260.</w:t>
      </w:r>
    </w:p>
  </w:footnote>
  <w:footnote w:id="35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67538E">
        <w:rPr>
          <w:szCs w:val="16"/>
          <w:lang w:val="en-US"/>
        </w:rPr>
        <w:t>In this regard, the Court observes the indication of UNAIDS in its Guideline 7 of the International Guidelines on HIV/AIDS and  Human Rights, that:  “States  should […]  support legal support services that will educate people affected by HIV about their rights, […] develop expertise on HIV-related legal issues and utilize means of protection in addition to the courts, such as ministries of justice, ombudspersons, health complaint units and human rights commissions.”</w:t>
      </w:r>
      <w:r w:rsidRPr="0067538E">
        <w:rPr>
          <w:rFonts w:cs="Arial"/>
          <w:szCs w:val="16"/>
          <w:lang w:val="en-US"/>
        </w:rPr>
        <w:t xml:space="preserve"> The Court notes that, in cases in which individuals are vulnerable owing to their financial situation and, in addition, there are other factors that increase this vulnerability, such as living with HIV, States must provide free legal services so that they may exercise their rights</w:t>
      </w:r>
      <w:r w:rsidRPr="00D64D5C">
        <w:rPr>
          <w:rFonts w:cs="Arial"/>
          <w:szCs w:val="16"/>
          <w:lang w:val="en-US"/>
        </w:rPr>
        <w:t xml:space="preserve"> in the case of proceedings that are particularly important to preserve the integrity of persons living with HIV; for example, in proceedings involving a request for medicines.</w:t>
      </w:r>
      <w:r w:rsidRPr="00D64D5C">
        <w:rPr>
          <w:szCs w:val="16"/>
          <w:lang w:val="en-US"/>
        </w:rPr>
        <w:t xml:space="preserve"> </w:t>
      </w:r>
    </w:p>
  </w:footnote>
  <w:footnote w:id="35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Ximenes Lópes</w:t>
      </w:r>
      <w:r w:rsidRPr="00D64D5C">
        <w:rPr>
          <w:bCs/>
          <w:i/>
          <w:szCs w:val="16"/>
          <w:lang w:val="en-US"/>
        </w:rPr>
        <w:t xml:space="preserve"> v. Brazil</w:t>
      </w:r>
      <w:r w:rsidRPr="00D64D5C">
        <w:rPr>
          <w:szCs w:val="16"/>
          <w:lang w:val="en-US"/>
        </w:rPr>
        <w:t xml:space="preserve">, para. 199, and </w:t>
      </w:r>
      <w:r w:rsidRPr="00D64D5C">
        <w:rPr>
          <w:rStyle w:val="Strong"/>
          <w:b w:val="0"/>
          <w:i/>
          <w:szCs w:val="16"/>
          <w:shd w:val="clear" w:color="auto" w:fill="FFFFFF"/>
          <w:lang w:val="en-US"/>
        </w:rPr>
        <w:t>Case of Suárez Peralta v. Ecuador</w:t>
      </w:r>
      <w:r w:rsidRPr="00D64D5C">
        <w:rPr>
          <w:rStyle w:val="Strong"/>
          <w:b w:val="0"/>
          <w:szCs w:val="16"/>
          <w:shd w:val="clear" w:color="auto" w:fill="FFFFFF"/>
          <w:lang w:val="en-US"/>
        </w:rPr>
        <w:t>, para. 101.</w:t>
      </w:r>
      <w:r w:rsidRPr="00D64D5C">
        <w:rPr>
          <w:szCs w:val="16"/>
          <w:lang w:val="en-US"/>
        </w:rPr>
        <w:t xml:space="preserve"> </w:t>
      </w:r>
    </w:p>
  </w:footnote>
  <w:footnote w:id="352">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color w:val="000000"/>
          <w:szCs w:val="16"/>
          <w:shd w:val="clear" w:color="auto" w:fill="FFFFFF"/>
          <w:lang w:val="en-US"/>
        </w:rPr>
        <w:t>Case of Albán Cornejo et al. v. Ecuador</w:t>
      </w:r>
      <w:r w:rsidRPr="00D64D5C">
        <w:rPr>
          <w:rStyle w:val="Strong"/>
          <w:b w:val="0"/>
          <w:color w:val="000000"/>
          <w:szCs w:val="16"/>
          <w:shd w:val="clear" w:color="auto" w:fill="FFFFFF"/>
          <w:lang w:val="en-US"/>
        </w:rPr>
        <w:t xml:space="preserve">, para. </w:t>
      </w:r>
      <w:r w:rsidRPr="0051351F">
        <w:rPr>
          <w:rStyle w:val="Strong"/>
          <w:b w:val="0"/>
          <w:color w:val="000000"/>
          <w:szCs w:val="16"/>
          <w:shd w:val="clear" w:color="auto" w:fill="FFFFFF"/>
        </w:rPr>
        <w:t>90</w:t>
      </w:r>
      <w:r w:rsidRPr="0051351F">
        <w:rPr>
          <w:rStyle w:val="Strong"/>
          <w:b w:val="0"/>
          <w:szCs w:val="16"/>
          <w:shd w:val="clear" w:color="auto" w:fill="FFFFFF"/>
        </w:rPr>
        <w:t>.</w:t>
      </w:r>
    </w:p>
  </w:footnote>
  <w:footnote w:id="353">
    <w:p w:rsidR="0051351F" w:rsidRPr="00B31E31"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 xml:space="preserve">Cf. </w:t>
      </w:r>
      <w:r w:rsidRPr="0051351F">
        <w:rPr>
          <w:rStyle w:val="Strong"/>
          <w:b w:val="0"/>
          <w:i/>
          <w:szCs w:val="16"/>
          <w:shd w:val="clear" w:color="auto" w:fill="FFFFFF"/>
        </w:rPr>
        <w:t>Case of Suárez Peralta v. Ecuador</w:t>
      </w:r>
      <w:r w:rsidRPr="0051351F">
        <w:rPr>
          <w:rStyle w:val="Strong"/>
          <w:b w:val="0"/>
          <w:szCs w:val="16"/>
          <w:shd w:val="clear" w:color="auto" w:fill="FFFFFF"/>
        </w:rPr>
        <w:t xml:space="preserve">, paras. </w:t>
      </w:r>
      <w:r w:rsidRPr="00B31E31">
        <w:rPr>
          <w:rStyle w:val="Strong"/>
          <w:b w:val="0"/>
          <w:szCs w:val="16"/>
          <w:shd w:val="clear" w:color="auto" w:fill="FFFFFF"/>
          <w:lang w:val="en-US"/>
        </w:rPr>
        <w:t>70, 71 and 101.</w:t>
      </w:r>
    </w:p>
  </w:footnote>
  <w:footnote w:id="354">
    <w:p w:rsidR="0051351F" w:rsidRPr="00B31E31" w:rsidRDefault="0051351F" w:rsidP="00FC14B8">
      <w:pPr>
        <w:tabs>
          <w:tab w:val="left" w:pos="540"/>
        </w:tabs>
        <w:spacing w:after="100"/>
        <w:rPr>
          <w:sz w:val="16"/>
          <w:szCs w:val="16"/>
          <w:lang w:val="en-US"/>
        </w:rPr>
      </w:pPr>
      <w:r w:rsidRPr="00D64D5C">
        <w:rPr>
          <w:rStyle w:val="FootnoteReference"/>
          <w:sz w:val="16"/>
          <w:szCs w:val="16"/>
          <w:lang w:val="en-US"/>
        </w:rPr>
        <w:footnoteRef/>
      </w:r>
      <w:r w:rsidRPr="00B31E31">
        <w:rPr>
          <w:sz w:val="16"/>
          <w:szCs w:val="16"/>
          <w:lang w:val="en-US"/>
        </w:rPr>
        <w:t xml:space="preserve"> </w:t>
      </w:r>
      <w:r w:rsidRPr="00B31E31">
        <w:rPr>
          <w:sz w:val="16"/>
          <w:szCs w:val="16"/>
          <w:lang w:val="en-US"/>
        </w:rPr>
        <w:tab/>
      </w:r>
      <w:r w:rsidRPr="00B31E31">
        <w:rPr>
          <w:i/>
          <w:sz w:val="16"/>
          <w:szCs w:val="16"/>
          <w:lang w:val="en-US"/>
        </w:rPr>
        <w:t>Cf.</w:t>
      </w:r>
      <w:r w:rsidRPr="00B31E31">
        <w:rPr>
          <w:sz w:val="16"/>
          <w:szCs w:val="16"/>
          <w:lang w:val="en-US"/>
        </w:rPr>
        <w:t xml:space="preserve"> </w:t>
      </w:r>
      <w:r w:rsidRPr="00B31E31">
        <w:rPr>
          <w:bCs/>
          <w:i/>
          <w:iCs/>
          <w:spacing w:val="-2"/>
          <w:sz w:val="16"/>
          <w:szCs w:val="16"/>
          <w:lang w:val="en-US"/>
        </w:rPr>
        <w:t>Case of Valle Jaramillo et al. v. Colombia</w:t>
      </w:r>
      <w:r w:rsidRPr="00B31E31">
        <w:rPr>
          <w:spacing w:val="-2"/>
          <w:sz w:val="16"/>
          <w:szCs w:val="16"/>
          <w:lang w:val="en-US"/>
        </w:rPr>
        <w:t xml:space="preserve">, para. </w:t>
      </w:r>
      <w:r w:rsidRPr="00D64D5C">
        <w:rPr>
          <w:spacing w:val="-2"/>
          <w:sz w:val="16"/>
          <w:szCs w:val="16"/>
          <w:lang w:val="en-US"/>
        </w:rPr>
        <w:t xml:space="preserve">155, and </w:t>
      </w:r>
      <w:r w:rsidRPr="00D64D5C">
        <w:rPr>
          <w:i/>
          <w:spacing w:val="-2"/>
          <w:sz w:val="16"/>
          <w:szCs w:val="16"/>
          <w:lang w:val="en-US"/>
        </w:rPr>
        <w:t xml:space="preserve">Case of Granier et al. </w:t>
      </w:r>
      <w:r w:rsidRPr="0051351F">
        <w:rPr>
          <w:i/>
          <w:spacing w:val="-2"/>
          <w:sz w:val="16"/>
          <w:szCs w:val="16"/>
        </w:rPr>
        <w:t>(Radio Caracas Televisión) v. Venezuela</w:t>
      </w:r>
      <w:r w:rsidRPr="0051351F">
        <w:rPr>
          <w:spacing w:val="-2"/>
          <w:sz w:val="16"/>
          <w:szCs w:val="16"/>
        </w:rPr>
        <w:t xml:space="preserve">, para. </w:t>
      </w:r>
      <w:r w:rsidRPr="00B31E31">
        <w:rPr>
          <w:spacing w:val="-2"/>
          <w:sz w:val="16"/>
          <w:szCs w:val="16"/>
          <w:lang w:val="en-US"/>
        </w:rPr>
        <w:t>274</w:t>
      </w:r>
      <w:r w:rsidRPr="00B31E31">
        <w:rPr>
          <w:rFonts w:cs="Verdana"/>
          <w:sz w:val="16"/>
          <w:szCs w:val="16"/>
          <w:lang w:val="en-US"/>
        </w:rPr>
        <w:t>.</w:t>
      </w:r>
    </w:p>
  </w:footnote>
  <w:footnote w:id="355">
    <w:p w:rsidR="0051351F" w:rsidRPr="00B31E31"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B31E31">
        <w:rPr>
          <w:szCs w:val="16"/>
          <w:lang w:val="en-US"/>
        </w:rPr>
        <w:t xml:space="preserve"> </w:t>
      </w:r>
      <w:r w:rsidRPr="00B31E31">
        <w:rPr>
          <w:szCs w:val="16"/>
          <w:lang w:val="en-US"/>
        </w:rPr>
        <w:tab/>
      </w:r>
      <w:r w:rsidRPr="00B31E31">
        <w:rPr>
          <w:i/>
          <w:szCs w:val="16"/>
          <w:lang w:val="en-US"/>
        </w:rPr>
        <w:t>Cf. Case of Furlan and family v. Argentina</w:t>
      </w:r>
      <w:r w:rsidRPr="00B31E31">
        <w:rPr>
          <w:szCs w:val="16"/>
          <w:lang w:val="en-US"/>
        </w:rPr>
        <w:t>, para. 196.</w:t>
      </w:r>
    </w:p>
  </w:footnote>
  <w:footnote w:id="35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B31E31">
        <w:rPr>
          <w:szCs w:val="16"/>
          <w:lang w:val="en-US"/>
        </w:rPr>
        <w:t xml:space="preserve"> </w:t>
      </w:r>
      <w:r w:rsidRPr="00B31E31">
        <w:rPr>
          <w:szCs w:val="16"/>
          <w:lang w:val="en-US"/>
        </w:rPr>
        <w:tab/>
      </w:r>
      <w:r w:rsidRPr="00B31E31">
        <w:rPr>
          <w:i/>
          <w:szCs w:val="16"/>
          <w:lang w:val="en-US"/>
        </w:rPr>
        <w:t>Cf. Case of Suárez Peralta v. Ecuador</w:t>
      </w:r>
      <w:r w:rsidRPr="00B31E31">
        <w:rPr>
          <w:szCs w:val="16"/>
          <w:lang w:val="en-US"/>
        </w:rPr>
        <w:t xml:space="preserve">, paras. </w:t>
      </w:r>
      <w:r w:rsidRPr="00D64D5C">
        <w:rPr>
          <w:szCs w:val="16"/>
          <w:lang w:val="en-US"/>
        </w:rPr>
        <w:t>102 and 103.</w:t>
      </w:r>
    </w:p>
  </w:footnote>
  <w:footnote w:id="35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ECHR, </w:t>
      </w:r>
      <w:r w:rsidRPr="00D64D5C">
        <w:rPr>
          <w:i/>
          <w:szCs w:val="16"/>
          <w:lang w:val="en-US"/>
        </w:rPr>
        <w:t>Laudon v. Germany</w:t>
      </w:r>
      <w:r w:rsidRPr="00D64D5C">
        <w:rPr>
          <w:szCs w:val="16"/>
          <w:lang w:val="en-US"/>
        </w:rPr>
        <w:t xml:space="preserve"> (</w:t>
      </w:r>
      <w:r w:rsidRPr="00D64D5C">
        <w:rPr>
          <w:bCs/>
          <w:szCs w:val="16"/>
          <w:lang w:val="en-US"/>
        </w:rPr>
        <w:t xml:space="preserve">No. 14635/03), Judgment of 26 April 2007, para. </w:t>
      </w:r>
      <w:r w:rsidRPr="00D64D5C">
        <w:rPr>
          <w:szCs w:val="16"/>
          <w:lang w:val="en-US"/>
        </w:rPr>
        <w:t xml:space="preserve">72; ECHR, </w:t>
      </w:r>
      <w:r w:rsidRPr="00D64D5C">
        <w:rPr>
          <w:i/>
          <w:szCs w:val="16"/>
          <w:lang w:val="en-US"/>
        </w:rPr>
        <w:t>Orzel v. Poland</w:t>
      </w:r>
      <w:r w:rsidRPr="00D64D5C">
        <w:rPr>
          <w:szCs w:val="16"/>
          <w:lang w:val="en-US"/>
        </w:rPr>
        <w:t xml:space="preserve"> (No. 74816/01), Judgment of 25 June 2003, para. 55, and ECHR, </w:t>
      </w:r>
      <w:r w:rsidRPr="00D64D5C">
        <w:rPr>
          <w:i/>
          <w:szCs w:val="16"/>
          <w:lang w:val="en-US"/>
        </w:rPr>
        <w:t>Inversen v. Denmark</w:t>
      </w:r>
      <w:r w:rsidRPr="00D64D5C">
        <w:rPr>
          <w:szCs w:val="16"/>
          <w:lang w:val="en-US"/>
        </w:rPr>
        <w:t xml:space="preserve"> (No. 5989/03), Judgment of 28 December 2006, para. 70.</w:t>
      </w:r>
    </w:p>
  </w:footnote>
  <w:footnote w:id="358">
    <w:p w:rsidR="0051351F" w:rsidRPr="00D64D5C" w:rsidRDefault="0051351F" w:rsidP="00D5755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ECHR, </w:t>
      </w:r>
      <w:r w:rsidRPr="00D64D5C">
        <w:rPr>
          <w:i/>
          <w:szCs w:val="16"/>
          <w:lang w:val="en-US"/>
        </w:rPr>
        <w:t>X. v. France</w:t>
      </w:r>
      <w:r w:rsidRPr="00D64D5C">
        <w:rPr>
          <w:szCs w:val="16"/>
          <w:lang w:val="en-US"/>
        </w:rPr>
        <w:t xml:space="preserve"> (No. 18020/91), Judgment of 31 March 1992, para. 47. </w:t>
      </w:r>
    </w:p>
  </w:footnote>
  <w:footnote w:id="359">
    <w:p w:rsidR="0051351F" w:rsidRPr="00D64D5C" w:rsidRDefault="0051351F" w:rsidP="00D5755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ECHR, </w:t>
      </w:r>
      <w:r w:rsidRPr="00D64D5C">
        <w:rPr>
          <w:i/>
          <w:szCs w:val="16"/>
          <w:lang w:val="en-US"/>
        </w:rPr>
        <w:t>F.E. v. France</w:t>
      </w:r>
      <w:r w:rsidRPr="00D64D5C">
        <w:rPr>
          <w:szCs w:val="16"/>
          <w:lang w:val="en-US"/>
        </w:rPr>
        <w:t xml:space="preserve"> (No. 60/1998/963/1178), Judgment of 30 October 1998, para. 57. </w:t>
      </w:r>
    </w:p>
  </w:footnote>
  <w:footnote w:id="36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bCs/>
          <w:i/>
          <w:szCs w:val="16"/>
          <w:lang w:val="en-US"/>
        </w:rPr>
        <w:t>Case of Ximenes Lopes v. Brazil</w:t>
      </w:r>
      <w:r w:rsidRPr="00D64D5C">
        <w:rPr>
          <w:i/>
          <w:szCs w:val="16"/>
          <w:lang w:val="en-US"/>
        </w:rPr>
        <w:t>,</w:t>
      </w:r>
      <w:r w:rsidRPr="00D64D5C">
        <w:rPr>
          <w:szCs w:val="16"/>
          <w:lang w:val="en-US"/>
        </w:rPr>
        <w:t xml:space="preserve"> para. 204.</w:t>
      </w:r>
    </w:p>
  </w:footnote>
  <w:footnote w:id="36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b/>
          <w:szCs w:val="16"/>
          <w:lang w:val="en-US"/>
        </w:rPr>
        <w:tab/>
      </w:r>
      <w:r w:rsidRPr="00D64D5C">
        <w:rPr>
          <w:szCs w:val="16"/>
          <w:lang w:val="en-US"/>
        </w:rPr>
        <w:t>On this point, the Court notes that, with regard to domestic law, expert witness Julio César Trujillo stated during the public hearing that the civil proceedings could have continued even after the prescription of the criminal action. Expert witness Trujillo indicated that the civil proceedings could have been undertaken, dispensing with any criminal ruling, based on simple negligence, provided that the negligence was serious and had caused harm. He also stated that, in this case, the need for a prior ruling (</w:t>
      </w:r>
      <w:r w:rsidRPr="00D64D5C">
        <w:rPr>
          <w:i/>
          <w:szCs w:val="16"/>
          <w:lang w:val="en-US"/>
        </w:rPr>
        <w:t>prejudicialidad</w:t>
      </w:r>
      <w:r w:rsidRPr="00D64D5C">
        <w:rPr>
          <w:szCs w:val="16"/>
          <w:lang w:val="en-US"/>
        </w:rPr>
        <w:t>) was not in order, because it was sufficient that there had been negligence, even though there had been no deliberate intention to cause the harm that was in fact caused. Meanwhile, expert witness Diego Zalamea León stated at the public hearing that, in this case, the need for a prior ruling was in order because Teresa had already filed a criminal complaint which ended with the prescription of the action, which meant that this was not the adequate mechanism; rather, it should have been an administrative action. Thus, the civil action for damages was not filed correctly or before the competent judge, which resulted in the application of the need for a prior ruling (</w:t>
      </w:r>
      <w:r w:rsidRPr="00D64D5C">
        <w:rPr>
          <w:i/>
          <w:szCs w:val="16"/>
          <w:lang w:val="en-US"/>
        </w:rPr>
        <w:t>prejudicialidad</w:t>
      </w:r>
      <w:r w:rsidRPr="00D64D5C">
        <w:rPr>
          <w:szCs w:val="16"/>
          <w:lang w:val="en-US"/>
        </w:rPr>
        <w:t>) as established by the laws at the time the acts were committed, which indicated that a criminal conviction was required in order to file a civil action to claim damages.</w:t>
      </w:r>
    </w:p>
  </w:footnote>
  <w:footnote w:id="36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 Article 17 of the 1983 Code of Criminal Procedure </w:t>
      </w:r>
      <w:r w:rsidRPr="00D64D5C">
        <w:rPr>
          <w:szCs w:val="16"/>
          <w:lang w:val="en-US" w:eastAsia="es-ES"/>
        </w:rPr>
        <w:t>of Ecuador (evidence file, folio 1885).</w:t>
      </w:r>
    </w:p>
  </w:footnote>
  <w:footnote w:id="36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According to the former Civil, Mercantile and Family Chamber of the National Court of Justice of Ecuador, “in order to file a claim for non-pecuniary damage, a conviction must first have been obtained in the criminal juisdiction. The action based on non-pecuniary damage is autonomous and independent.” Former Civil, Mercantile and Family Chamber of the National Court of Justice of Ecuador. Judgment 0374-2011 of May 26, 2011.</w:t>
      </w:r>
    </w:p>
  </w:footnote>
  <w:footnote w:id="364">
    <w:p w:rsidR="0051351F" w:rsidRPr="00D64D5C" w:rsidRDefault="0051351F" w:rsidP="00FC14B8">
      <w:pPr>
        <w:tabs>
          <w:tab w:val="left" w:pos="540"/>
        </w:tabs>
        <w:spacing w:after="100"/>
        <w:rPr>
          <w:rFonts w:cs="Arial"/>
          <w:color w:val="00000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Among others, see article 1775 of the Civil Code of the Argentine Republic: “If </w:t>
      </w:r>
      <w:r w:rsidRPr="00D64D5C">
        <w:rPr>
          <w:rFonts w:cs="Arial"/>
          <w:color w:val="000000"/>
          <w:sz w:val="16"/>
          <w:szCs w:val="16"/>
          <w:lang w:val="en-US"/>
        </w:rPr>
        <w:t>the criminal action precedes the civil action, or is filed during the course of the latter, the delivery of the final judgment must be suspended in the civil proceedings until the criminal proceedings have concluded, except in the following cases: (a) if the criminal action has extinguished; (b) if the delay in the criminal proceedings effectively leads to a real obstruction of the right to receive compensation; (c) if the civil action for reparation of the harm is founded on an objective factor of responsibility.”</w:t>
      </w:r>
    </w:p>
  </w:footnote>
  <w:footnote w:id="36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b/>
          <w:szCs w:val="16"/>
          <w:lang w:val="en-US"/>
        </w:rPr>
        <w:t xml:space="preserve"> </w:t>
      </w:r>
      <w:r w:rsidRPr="00D64D5C">
        <w:rPr>
          <w:bCs/>
          <w:i/>
          <w:szCs w:val="16"/>
          <w:lang w:val="en-US"/>
        </w:rPr>
        <w:t>Case of Ximenes Lopes v. Brazil</w:t>
      </w:r>
      <w:r w:rsidRPr="00D64D5C">
        <w:rPr>
          <w:i/>
          <w:szCs w:val="16"/>
          <w:lang w:val="en-US"/>
        </w:rPr>
        <w:t>,</w:t>
      </w:r>
      <w:r w:rsidRPr="00D64D5C">
        <w:rPr>
          <w:szCs w:val="16"/>
          <w:lang w:val="en-US"/>
        </w:rPr>
        <w:t xml:space="preserve"> para. 204, and </w:t>
      </w:r>
      <w:r w:rsidRPr="00D64D5C">
        <w:rPr>
          <w:i/>
          <w:szCs w:val="16"/>
          <w:lang w:val="en-US"/>
        </w:rPr>
        <w:t>Case of Suárez Peralta v. Ecuador</w:t>
      </w:r>
      <w:r w:rsidRPr="00D64D5C">
        <w:rPr>
          <w:szCs w:val="16"/>
          <w:lang w:val="en-US"/>
        </w:rPr>
        <w:t xml:space="preserve">, para. 105. </w:t>
      </w:r>
    </w:p>
  </w:footnote>
  <w:footnote w:id="36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Article 63(1) of the American Convention establishes: “[i]</w:t>
      </w:r>
      <w:r w:rsidRPr="00D64D5C">
        <w:rPr>
          <w:spacing w:val="-3"/>
          <w:szCs w:val="16"/>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D64D5C">
        <w:rPr>
          <w:szCs w:val="16"/>
          <w:lang w:val="en-US"/>
        </w:rPr>
        <w:t xml:space="preserve">” </w:t>
      </w:r>
    </w:p>
  </w:footnote>
  <w:footnote w:id="367">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 xml:space="preserve">Cf. Case of Velásquez Rodríguez v. Honduras. </w:t>
      </w:r>
      <w:r w:rsidRPr="00D64D5C">
        <w:rPr>
          <w:i/>
          <w:szCs w:val="16"/>
          <w:lang w:val="en-US"/>
        </w:rPr>
        <w:t xml:space="preserve">Reparations and costs. </w:t>
      </w:r>
      <w:r w:rsidRPr="00D64D5C">
        <w:rPr>
          <w:szCs w:val="16"/>
          <w:lang w:val="en-US"/>
        </w:rPr>
        <w:t xml:space="preserve">Judgment of July 21, 1989. Series C No. 7, para. 25, and </w:t>
      </w:r>
      <w:r w:rsidRPr="00D64D5C">
        <w:rPr>
          <w:rStyle w:val="Strong"/>
          <w:b w:val="0"/>
          <w:i/>
          <w:color w:val="000000"/>
          <w:shd w:val="clear" w:color="auto" w:fill="FFFFFF"/>
          <w:lang w:val="en-US"/>
        </w:rPr>
        <w:t>Case of Cruz Sánchez et al. v. Peru. Preliminary objections, merits, reparations and costs</w:t>
      </w:r>
      <w:r w:rsidRPr="00D64D5C">
        <w:rPr>
          <w:rStyle w:val="Strong"/>
          <w:b w:val="0"/>
          <w:color w:val="000000"/>
          <w:shd w:val="clear" w:color="auto" w:fill="FFFFFF"/>
          <w:lang w:val="en-US"/>
        </w:rPr>
        <w:t>. Judgment of April 17, 2015. Series C No. 292</w:t>
      </w:r>
      <w:r w:rsidRPr="00D64D5C">
        <w:rPr>
          <w:rStyle w:val="Strong"/>
          <w:b w:val="0"/>
          <w:i/>
          <w:color w:val="000000"/>
          <w:shd w:val="clear" w:color="auto" w:fill="FFFFFF"/>
          <w:lang w:val="en-US"/>
        </w:rPr>
        <w:t xml:space="preserve">, </w:t>
      </w:r>
      <w:r w:rsidRPr="00D64D5C">
        <w:rPr>
          <w:spacing w:val="-4"/>
          <w:szCs w:val="16"/>
          <w:lang w:val="en-US"/>
        </w:rPr>
        <w:t xml:space="preserve">para. </w:t>
      </w:r>
      <w:r w:rsidRPr="0051351F">
        <w:rPr>
          <w:spacing w:val="-4"/>
          <w:szCs w:val="16"/>
        </w:rPr>
        <w:t>451.</w:t>
      </w:r>
      <w:r w:rsidRPr="0051351F">
        <w:rPr>
          <w:szCs w:val="16"/>
        </w:rPr>
        <w:t xml:space="preserve"> </w:t>
      </w:r>
    </w:p>
  </w:footnote>
  <w:footnote w:id="368">
    <w:p w:rsidR="0051351F" w:rsidRPr="0051351F" w:rsidRDefault="0051351F" w:rsidP="00FC14B8">
      <w:pPr>
        <w:pStyle w:val="FootnoteText"/>
        <w:tabs>
          <w:tab w:val="left" w:pos="540"/>
        </w:tabs>
        <w:spacing w:before="0" w:after="100"/>
        <w:rPr>
          <w:i/>
          <w:szCs w:val="16"/>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Cf. Case of Velásquez Rodríguez v. Honduras</w:t>
      </w:r>
      <w:r w:rsidRPr="0051351F">
        <w:rPr>
          <w:szCs w:val="16"/>
        </w:rPr>
        <w:t xml:space="preserve">, para. 25, and </w:t>
      </w:r>
      <w:r w:rsidRPr="0051351F">
        <w:rPr>
          <w:rStyle w:val="Strong"/>
          <w:b w:val="0"/>
          <w:i/>
          <w:color w:val="000000"/>
          <w:shd w:val="clear" w:color="auto" w:fill="FFFFFF"/>
        </w:rPr>
        <w:t xml:space="preserve">Case of Cruz Sánchez et al. v. Peru, </w:t>
      </w:r>
      <w:r w:rsidRPr="0051351F">
        <w:rPr>
          <w:spacing w:val="-4"/>
          <w:szCs w:val="16"/>
        </w:rPr>
        <w:t>para. 451.</w:t>
      </w:r>
    </w:p>
  </w:footnote>
  <w:footnote w:id="369">
    <w:p w:rsidR="0051351F" w:rsidRPr="00D64D5C" w:rsidRDefault="0051351F" w:rsidP="00FC14B8">
      <w:pPr>
        <w:tabs>
          <w:tab w:val="left" w:pos="426"/>
          <w:tab w:val="left" w:pos="540"/>
          <w:tab w:val="left" w:pos="567"/>
          <w:tab w:val="left" w:pos="720"/>
        </w:tabs>
        <w:spacing w:after="100"/>
        <w:rPr>
          <w:spacing w:val="-4"/>
          <w:sz w:val="16"/>
          <w:szCs w:val="16"/>
          <w:lang w:val="en-US"/>
        </w:rPr>
      </w:pPr>
      <w:r w:rsidRPr="00D64D5C">
        <w:rPr>
          <w:rStyle w:val="FootnoteReference"/>
          <w:rFonts w:eastAsia="MS Mincho"/>
          <w:spacing w:val="-4"/>
          <w:sz w:val="16"/>
          <w:szCs w:val="16"/>
          <w:lang w:val="en-US"/>
        </w:rPr>
        <w:footnoteRef/>
      </w:r>
      <w:r w:rsidRPr="0051351F">
        <w:rPr>
          <w:spacing w:val="-4"/>
          <w:sz w:val="16"/>
          <w:szCs w:val="16"/>
        </w:rPr>
        <w:t xml:space="preserve"> </w:t>
      </w:r>
      <w:r w:rsidRPr="0051351F">
        <w:rPr>
          <w:spacing w:val="-4"/>
          <w:sz w:val="16"/>
          <w:szCs w:val="16"/>
        </w:rPr>
        <w:tab/>
      </w:r>
      <w:r w:rsidRPr="0051351F">
        <w:rPr>
          <w:spacing w:val="-4"/>
          <w:sz w:val="16"/>
          <w:szCs w:val="16"/>
        </w:rPr>
        <w:tab/>
      </w:r>
      <w:r w:rsidRPr="0051351F">
        <w:rPr>
          <w:spacing w:val="-4"/>
          <w:sz w:val="16"/>
          <w:szCs w:val="16"/>
        </w:rPr>
        <w:tab/>
      </w:r>
      <w:r w:rsidRPr="0051351F">
        <w:rPr>
          <w:i/>
          <w:iCs/>
          <w:spacing w:val="-4"/>
          <w:sz w:val="16"/>
          <w:szCs w:val="16"/>
        </w:rPr>
        <w:t>Cf. Case of Velásquez Rodríguez v. Honduras</w:t>
      </w:r>
      <w:r w:rsidRPr="0051351F">
        <w:rPr>
          <w:spacing w:val="-4"/>
          <w:sz w:val="16"/>
          <w:szCs w:val="16"/>
        </w:rPr>
        <w:t>,</w:t>
      </w:r>
      <w:r w:rsidRPr="0051351F">
        <w:rPr>
          <w:iCs/>
          <w:spacing w:val="-4"/>
          <w:sz w:val="16"/>
          <w:szCs w:val="16"/>
        </w:rPr>
        <w:t xml:space="preserve"> para. 26</w:t>
      </w:r>
      <w:r w:rsidRPr="0051351F">
        <w:rPr>
          <w:rFonts w:cs="Calibri"/>
          <w:spacing w:val="-4"/>
          <w:sz w:val="16"/>
          <w:szCs w:val="16"/>
        </w:rPr>
        <w:t xml:space="preserve">, and </w:t>
      </w:r>
      <w:r w:rsidRPr="0051351F">
        <w:rPr>
          <w:i/>
          <w:spacing w:val="-4"/>
          <w:sz w:val="16"/>
          <w:szCs w:val="16"/>
        </w:rPr>
        <w:t xml:space="preserve">Case of </w:t>
      </w:r>
      <w:r w:rsidRPr="0051351F">
        <w:rPr>
          <w:rStyle w:val="Strong"/>
          <w:b w:val="0"/>
          <w:i/>
          <w:color w:val="000000"/>
          <w:sz w:val="16"/>
          <w:szCs w:val="16"/>
          <w:shd w:val="clear" w:color="auto" w:fill="FFFFFF"/>
        </w:rPr>
        <w:t>Cruz Sánchez et al. v. Peru</w:t>
      </w:r>
      <w:r w:rsidRPr="0051351F">
        <w:rPr>
          <w:i/>
          <w:spacing w:val="-4"/>
          <w:sz w:val="16"/>
          <w:szCs w:val="16"/>
        </w:rPr>
        <w:t>,</w:t>
      </w:r>
      <w:r w:rsidRPr="0051351F">
        <w:rPr>
          <w:i/>
          <w:spacing w:val="-4"/>
          <w:szCs w:val="16"/>
        </w:rPr>
        <w:t xml:space="preserve"> </w:t>
      </w:r>
      <w:r w:rsidRPr="0051351F">
        <w:rPr>
          <w:spacing w:val="-4"/>
          <w:sz w:val="16"/>
          <w:szCs w:val="16"/>
        </w:rPr>
        <w:t xml:space="preserve">para. </w:t>
      </w:r>
      <w:r w:rsidRPr="00D64D5C">
        <w:rPr>
          <w:spacing w:val="-4"/>
          <w:sz w:val="16"/>
          <w:szCs w:val="16"/>
          <w:lang w:val="en-US"/>
        </w:rPr>
        <w:t>452</w:t>
      </w:r>
      <w:r w:rsidRPr="00D64D5C">
        <w:rPr>
          <w:rFonts w:cs="Calibri"/>
          <w:spacing w:val="-4"/>
          <w:sz w:val="16"/>
          <w:szCs w:val="16"/>
          <w:lang w:val="en-US"/>
        </w:rPr>
        <w:t>.</w:t>
      </w:r>
    </w:p>
  </w:footnote>
  <w:footnote w:id="370">
    <w:p w:rsidR="0051351F" w:rsidRPr="00D64D5C" w:rsidRDefault="0051351F" w:rsidP="00FC14B8">
      <w:pPr>
        <w:pStyle w:val="FootnoteText"/>
        <w:tabs>
          <w:tab w:val="left" w:pos="426"/>
          <w:tab w:val="left" w:pos="540"/>
        </w:tabs>
        <w:spacing w:before="0" w:after="100"/>
        <w:rPr>
          <w:spacing w:val="-4"/>
          <w:szCs w:val="16"/>
          <w:lang w:val="en-US"/>
        </w:rPr>
      </w:pPr>
      <w:r w:rsidRPr="00D64D5C">
        <w:rPr>
          <w:rStyle w:val="FootnoteReference"/>
          <w:rFonts w:eastAsia="Times New Roman"/>
          <w:spacing w:val="-4"/>
          <w:szCs w:val="16"/>
          <w:lang w:val="en-US"/>
        </w:rPr>
        <w:footnoteRef/>
      </w:r>
      <w:r w:rsidRPr="00D64D5C">
        <w:rPr>
          <w:spacing w:val="-4"/>
          <w:szCs w:val="16"/>
          <w:lang w:val="en-US"/>
        </w:rPr>
        <w:t xml:space="preserve"> </w:t>
      </w:r>
      <w:r w:rsidRPr="00D64D5C">
        <w:rPr>
          <w:spacing w:val="-4"/>
          <w:szCs w:val="16"/>
          <w:lang w:val="en-US"/>
        </w:rPr>
        <w:tab/>
      </w:r>
      <w:r w:rsidRPr="00D64D5C">
        <w:rPr>
          <w:spacing w:val="-4"/>
          <w:szCs w:val="16"/>
          <w:lang w:val="en-US"/>
        </w:rPr>
        <w:tab/>
      </w:r>
      <w:r w:rsidRPr="00D64D5C">
        <w:rPr>
          <w:i/>
          <w:iCs/>
          <w:spacing w:val="-4"/>
          <w:szCs w:val="16"/>
          <w:lang w:val="en-US"/>
        </w:rPr>
        <w:t>Cf. Case of the Las Dos Erres Massacre v. Guatemala</w:t>
      </w:r>
      <w:r w:rsidRPr="00D64D5C">
        <w:rPr>
          <w:rFonts w:cs="Arial"/>
          <w:i/>
          <w:spacing w:val="-4"/>
          <w:szCs w:val="16"/>
          <w:lang w:val="en-US"/>
        </w:rPr>
        <w:t xml:space="preserve">. </w:t>
      </w:r>
      <w:r w:rsidRPr="00D64D5C">
        <w:rPr>
          <w:rFonts w:cs="Arial"/>
          <w:i/>
          <w:iCs/>
          <w:spacing w:val="-4"/>
          <w:szCs w:val="16"/>
          <w:lang w:val="en-US"/>
        </w:rPr>
        <w:t xml:space="preserve">Preliminary objection, merits, reparations and costs. </w:t>
      </w:r>
      <w:r w:rsidRPr="00D64D5C">
        <w:rPr>
          <w:rFonts w:cs="Arial"/>
          <w:iCs/>
          <w:spacing w:val="-4"/>
          <w:szCs w:val="16"/>
          <w:lang w:val="en-US"/>
        </w:rPr>
        <w:t xml:space="preserve">Judgment of November 24, 2009. Series C No. 211, </w:t>
      </w:r>
      <w:r w:rsidRPr="00D64D5C">
        <w:rPr>
          <w:iCs/>
          <w:spacing w:val="-4"/>
          <w:szCs w:val="16"/>
          <w:lang w:val="en-US"/>
        </w:rPr>
        <w:t xml:space="preserve">para. 226, and </w:t>
      </w:r>
      <w:r w:rsidRPr="00D64D5C">
        <w:rPr>
          <w:i/>
          <w:spacing w:val="-4"/>
          <w:szCs w:val="16"/>
          <w:lang w:val="en-US"/>
        </w:rPr>
        <w:t xml:space="preserve">Case of </w:t>
      </w:r>
      <w:r w:rsidRPr="00D64D5C">
        <w:rPr>
          <w:rStyle w:val="Strong"/>
          <w:b w:val="0"/>
          <w:i/>
          <w:color w:val="000000"/>
          <w:szCs w:val="16"/>
          <w:shd w:val="clear" w:color="auto" w:fill="FFFFFF"/>
          <w:lang w:val="en-US"/>
        </w:rPr>
        <w:t>Cruz Sánchez et al. v. Peru</w:t>
      </w:r>
      <w:r w:rsidRPr="00D64D5C">
        <w:rPr>
          <w:i/>
          <w:spacing w:val="-4"/>
          <w:szCs w:val="16"/>
          <w:lang w:val="en-US"/>
        </w:rPr>
        <w:t xml:space="preserve">, </w:t>
      </w:r>
      <w:r w:rsidRPr="00D64D5C">
        <w:rPr>
          <w:spacing w:val="-4"/>
          <w:szCs w:val="16"/>
          <w:lang w:val="en-US"/>
        </w:rPr>
        <w:t>para. 452</w:t>
      </w:r>
      <w:r w:rsidRPr="00D64D5C">
        <w:rPr>
          <w:rFonts w:cs="Calibri"/>
          <w:spacing w:val="-4"/>
          <w:szCs w:val="16"/>
          <w:lang w:val="en-US"/>
        </w:rPr>
        <w:t>.</w:t>
      </w:r>
    </w:p>
  </w:footnote>
  <w:footnote w:id="371">
    <w:p w:rsidR="0051351F" w:rsidRPr="00D64D5C" w:rsidRDefault="0051351F" w:rsidP="00FC14B8">
      <w:pPr>
        <w:pStyle w:val="FootnoteText"/>
        <w:tabs>
          <w:tab w:val="left" w:pos="426"/>
          <w:tab w:val="left" w:pos="540"/>
          <w:tab w:val="left" w:pos="720"/>
        </w:tabs>
        <w:spacing w:before="0" w:after="100"/>
        <w:rPr>
          <w:bCs/>
          <w:i/>
          <w:spacing w:val="-4"/>
          <w:szCs w:val="16"/>
          <w:lang w:val="en-US"/>
        </w:rPr>
      </w:pPr>
      <w:r w:rsidRPr="00D64D5C">
        <w:rPr>
          <w:rStyle w:val="FootnoteReference"/>
          <w:rFonts w:eastAsia="Times New Roman"/>
          <w:spacing w:val="-4"/>
          <w:szCs w:val="16"/>
          <w:lang w:val="en-US"/>
        </w:rPr>
        <w:footnoteRef/>
      </w:r>
      <w:r w:rsidRPr="00D64D5C">
        <w:rPr>
          <w:i/>
          <w:spacing w:val="-4"/>
          <w:szCs w:val="16"/>
          <w:lang w:val="en-US"/>
        </w:rPr>
        <w:tab/>
      </w:r>
      <w:r w:rsidRPr="00D64D5C">
        <w:rPr>
          <w:i/>
          <w:spacing w:val="-4"/>
          <w:szCs w:val="16"/>
          <w:lang w:val="en-US"/>
        </w:rPr>
        <w:tab/>
      </w:r>
      <w:r w:rsidRPr="00D64D5C">
        <w:rPr>
          <w:rFonts w:cs="Calibri"/>
          <w:i/>
          <w:spacing w:val="-4"/>
          <w:szCs w:val="16"/>
          <w:lang w:val="en-US"/>
        </w:rPr>
        <w:t xml:space="preserve">Cf. </w:t>
      </w:r>
      <w:r w:rsidRPr="00D64D5C">
        <w:rPr>
          <w:rStyle w:val="FootnoteTextChar"/>
          <w:rFonts w:eastAsia="Calibri" w:cs="Calibri"/>
          <w:i/>
          <w:spacing w:val="-4"/>
          <w:sz w:val="16"/>
          <w:szCs w:val="16"/>
          <w:lang w:val="en-US"/>
        </w:rPr>
        <w:t>Case of Ticona Estrada et al. v. Bolivia</w:t>
      </w:r>
      <w:r w:rsidRPr="00D64D5C">
        <w:rPr>
          <w:rStyle w:val="FootnoteTextChar"/>
          <w:rFonts w:eastAsia="Calibri" w:cs="Calibri"/>
          <w:spacing w:val="-4"/>
          <w:sz w:val="16"/>
          <w:szCs w:val="16"/>
          <w:lang w:val="en-US"/>
        </w:rPr>
        <w:t xml:space="preserve">. </w:t>
      </w:r>
      <w:r w:rsidRPr="00D64D5C">
        <w:rPr>
          <w:i/>
          <w:spacing w:val="-4"/>
          <w:szCs w:val="16"/>
          <w:lang w:val="en-US"/>
        </w:rPr>
        <w:t>Merits, reparations and costs</w:t>
      </w:r>
      <w:r w:rsidRPr="00D64D5C">
        <w:rPr>
          <w:spacing w:val="-4"/>
          <w:szCs w:val="16"/>
          <w:lang w:val="en-US"/>
        </w:rPr>
        <w:t>. Judgment of November 27, 2008. Series C No. 191,</w:t>
      </w:r>
      <w:r w:rsidRPr="00D64D5C">
        <w:rPr>
          <w:rStyle w:val="FootnoteTextChar"/>
          <w:rFonts w:eastAsia="Calibri" w:cs="Calibri"/>
          <w:spacing w:val="-4"/>
          <w:sz w:val="16"/>
          <w:szCs w:val="16"/>
          <w:lang w:val="en-US"/>
        </w:rPr>
        <w:t xml:space="preserve"> para. 110, and </w:t>
      </w:r>
      <w:r w:rsidRPr="00D64D5C">
        <w:rPr>
          <w:i/>
          <w:spacing w:val="-4"/>
          <w:szCs w:val="16"/>
          <w:lang w:val="en-US"/>
        </w:rPr>
        <w:t xml:space="preserve">Case of </w:t>
      </w:r>
      <w:r w:rsidRPr="00D64D5C">
        <w:rPr>
          <w:rStyle w:val="Strong"/>
          <w:b w:val="0"/>
          <w:i/>
          <w:color w:val="000000"/>
          <w:szCs w:val="16"/>
          <w:shd w:val="clear" w:color="auto" w:fill="FFFFFF"/>
          <w:lang w:val="en-US"/>
        </w:rPr>
        <w:t>Cruz Sánchez et al. v. Peru</w:t>
      </w:r>
      <w:r w:rsidRPr="00D64D5C">
        <w:rPr>
          <w:i/>
          <w:spacing w:val="-4"/>
          <w:szCs w:val="16"/>
          <w:lang w:val="en-US"/>
        </w:rPr>
        <w:t xml:space="preserve">, </w:t>
      </w:r>
      <w:r w:rsidRPr="00D64D5C">
        <w:rPr>
          <w:spacing w:val="-4"/>
          <w:szCs w:val="16"/>
          <w:lang w:val="en-US"/>
        </w:rPr>
        <w:t>para. 453.</w:t>
      </w:r>
    </w:p>
  </w:footnote>
  <w:footnote w:id="372">
    <w:p w:rsidR="0051351F" w:rsidRPr="00D64D5C" w:rsidRDefault="0051351F" w:rsidP="00FC14B8">
      <w:pPr>
        <w:pStyle w:val="FootnoteText"/>
        <w:tabs>
          <w:tab w:val="left" w:pos="426"/>
          <w:tab w:val="left" w:pos="540"/>
          <w:tab w:val="left" w:pos="720"/>
        </w:tabs>
        <w:spacing w:before="0" w:after="100"/>
        <w:rPr>
          <w:spacing w:val="-4"/>
          <w:szCs w:val="16"/>
          <w:lang w:val="en-US"/>
        </w:rPr>
      </w:pPr>
      <w:r w:rsidRPr="00D64D5C">
        <w:rPr>
          <w:rStyle w:val="FootnoteReference"/>
          <w:rFonts w:eastAsia="Times New Roman"/>
          <w:spacing w:val="-4"/>
          <w:szCs w:val="16"/>
          <w:lang w:val="en-US"/>
        </w:rPr>
        <w:footnoteRef/>
      </w:r>
      <w:r w:rsidRPr="00D64D5C">
        <w:rPr>
          <w:spacing w:val="-4"/>
          <w:szCs w:val="16"/>
          <w:lang w:val="en-US"/>
        </w:rPr>
        <w:t xml:space="preserve"> </w:t>
      </w:r>
      <w:r w:rsidRPr="00D64D5C">
        <w:rPr>
          <w:spacing w:val="-4"/>
          <w:szCs w:val="16"/>
          <w:lang w:val="en-US"/>
        </w:rPr>
        <w:tab/>
      </w:r>
      <w:r w:rsidRPr="00D64D5C">
        <w:rPr>
          <w:spacing w:val="-4"/>
          <w:szCs w:val="16"/>
          <w:lang w:val="en-US"/>
        </w:rPr>
        <w:tab/>
      </w:r>
      <w:r w:rsidRPr="00D64D5C">
        <w:rPr>
          <w:i/>
          <w:iCs/>
          <w:spacing w:val="-4"/>
          <w:szCs w:val="16"/>
          <w:lang w:val="en-US"/>
        </w:rPr>
        <w:t xml:space="preserve">Cf. </w:t>
      </w:r>
      <w:r w:rsidRPr="00D64D5C">
        <w:rPr>
          <w:rFonts w:cs="Calibri"/>
          <w:i/>
          <w:spacing w:val="-4"/>
          <w:szCs w:val="16"/>
          <w:lang w:val="en-US"/>
        </w:rPr>
        <w:t>Case of Velásquez Rodríguez v. Honduras</w:t>
      </w:r>
      <w:r w:rsidRPr="00D64D5C">
        <w:rPr>
          <w:spacing w:val="-4"/>
          <w:szCs w:val="16"/>
          <w:lang w:val="en-US"/>
        </w:rPr>
        <w:t>,</w:t>
      </w:r>
      <w:r w:rsidRPr="00D64D5C">
        <w:rPr>
          <w:rFonts w:cs="Calibri"/>
          <w:spacing w:val="-4"/>
          <w:szCs w:val="16"/>
          <w:lang w:val="en-US"/>
        </w:rPr>
        <w:t xml:space="preserve"> paras.</w:t>
      </w:r>
      <w:r w:rsidRPr="00D64D5C">
        <w:rPr>
          <w:rFonts w:cs="Calibri"/>
          <w:i/>
          <w:spacing w:val="-4"/>
          <w:szCs w:val="16"/>
          <w:lang w:val="en-US"/>
        </w:rPr>
        <w:t xml:space="preserve"> </w:t>
      </w:r>
      <w:r w:rsidRPr="00D64D5C">
        <w:rPr>
          <w:rFonts w:cs="Calibri"/>
          <w:spacing w:val="-4"/>
          <w:szCs w:val="16"/>
          <w:lang w:val="en-US"/>
        </w:rPr>
        <w:t>25 to 27</w:t>
      </w:r>
      <w:r w:rsidRPr="00D64D5C">
        <w:rPr>
          <w:iCs/>
          <w:spacing w:val="-4"/>
          <w:szCs w:val="16"/>
          <w:lang w:val="en-US"/>
        </w:rPr>
        <w:t xml:space="preserve">, and </w:t>
      </w:r>
      <w:r w:rsidRPr="00D64D5C">
        <w:rPr>
          <w:i/>
          <w:spacing w:val="-4"/>
          <w:szCs w:val="16"/>
          <w:lang w:val="en-US"/>
        </w:rPr>
        <w:t xml:space="preserve">Case of </w:t>
      </w:r>
      <w:r w:rsidRPr="00D64D5C">
        <w:rPr>
          <w:rStyle w:val="Strong"/>
          <w:b w:val="0"/>
          <w:i/>
          <w:color w:val="000000"/>
          <w:szCs w:val="16"/>
          <w:shd w:val="clear" w:color="auto" w:fill="FFFFFF"/>
          <w:lang w:val="en-US"/>
        </w:rPr>
        <w:t>Cruz Sánchez et al. v. Peru</w:t>
      </w:r>
      <w:r w:rsidRPr="00D64D5C">
        <w:rPr>
          <w:i/>
          <w:spacing w:val="-4"/>
          <w:szCs w:val="16"/>
          <w:lang w:val="en-US"/>
        </w:rPr>
        <w:t xml:space="preserve">, </w:t>
      </w:r>
      <w:r w:rsidRPr="00D64D5C">
        <w:rPr>
          <w:spacing w:val="-4"/>
          <w:szCs w:val="16"/>
          <w:lang w:val="en-US"/>
        </w:rPr>
        <w:t>para. 454.</w:t>
      </w:r>
    </w:p>
  </w:footnote>
  <w:footnote w:id="37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r>
      <w:r w:rsidRPr="00D64D5C">
        <w:rPr>
          <w:i/>
          <w:szCs w:val="16"/>
          <w:lang w:val="en-US"/>
        </w:rPr>
        <w:t xml:space="preserve">Cf. Case of the La Rochela Massacre v. Colombia. Merits, reparations and costs. </w:t>
      </w:r>
      <w:r w:rsidRPr="00D64D5C">
        <w:rPr>
          <w:szCs w:val="16"/>
          <w:lang w:val="en-US"/>
        </w:rPr>
        <w:t xml:space="preserve">Judgment of May 11, 2007. Series C No. 163, para. 233, and </w:t>
      </w:r>
      <w:r w:rsidRPr="00D64D5C">
        <w:rPr>
          <w:i/>
          <w:spacing w:val="-4"/>
          <w:szCs w:val="16"/>
          <w:lang w:val="en-US"/>
        </w:rPr>
        <w:t xml:space="preserve">Case of </w:t>
      </w:r>
      <w:r w:rsidRPr="00D64D5C">
        <w:rPr>
          <w:rStyle w:val="Strong"/>
          <w:b w:val="0"/>
          <w:i/>
          <w:color w:val="000000"/>
          <w:szCs w:val="16"/>
          <w:shd w:val="clear" w:color="auto" w:fill="FFFFFF"/>
          <w:lang w:val="en-US"/>
        </w:rPr>
        <w:t>Cruz Sánchez et al. v. Peru</w:t>
      </w:r>
      <w:r w:rsidRPr="00D64D5C">
        <w:rPr>
          <w:i/>
          <w:spacing w:val="-4"/>
          <w:szCs w:val="16"/>
          <w:lang w:val="en-US"/>
        </w:rPr>
        <w:t xml:space="preserve">, </w:t>
      </w:r>
      <w:r w:rsidRPr="00D64D5C">
        <w:rPr>
          <w:spacing w:val="-4"/>
          <w:szCs w:val="16"/>
          <w:lang w:val="en-US"/>
        </w:rPr>
        <w:t>para. 455.</w:t>
      </w:r>
    </w:p>
  </w:footnote>
  <w:footnote w:id="37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the Las Dos Erres Massacre, </w:t>
      </w:r>
      <w:r w:rsidRPr="00D64D5C">
        <w:rPr>
          <w:szCs w:val="16"/>
          <w:lang w:val="en-US"/>
        </w:rPr>
        <w:t xml:space="preserve">para. 233, and </w:t>
      </w:r>
      <w:r w:rsidRPr="00D64D5C">
        <w:rPr>
          <w:i/>
          <w:szCs w:val="16"/>
          <w:lang w:val="en-US"/>
        </w:rPr>
        <w:t>Case of Suárez Peralta v. Ecuador</w:t>
      </w:r>
      <w:r w:rsidRPr="00D64D5C">
        <w:rPr>
          <w:szCs w:val="16"/>
          <w:lang w:val="en-US"/>
        </w:rPr>
        <w:t>, para. 172.</w:t>
      </w:r>
    </w:p>
  </w:footnote>
  <w:footnote w:id="375">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information provided by the representatives, before Talía was treated in the Azogues public hospital her CD4 cell count was 518. On November 5, 2014, when she was being treated at the public hospital, the cell count descended to 366, which was desribed as normal by the hospital doctor who treated her. On May 20, 2015, her CD4 cell count was 256, and on July 13, 2015, it descended to 171. </w:t>
      </w:r>
    </w:p>
  </w:footnote>
  <w:footnote w:id="37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State advised that, since October 30, 2014, Talía had been treated in the Comprehensive Care Unit (CCU) of the Vicente Corral Moscoso Hospital, where her illness has been monitored periodically. In particular, it indicated that on November 5 and 7, 2014, and January 12, March 3 , May 4, June 26 and July 13, 2015, Talía had attended her monitoring appointments. </w:t>
      </w:r>
    </w:p>
  </w:footnote>
  <w:footnote w:id="37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This committee was created under the coordination of the Ministry of Health, with the participation of a doctor representing the Pan-American Health Organization, Talía Gonzales Lluy’s personal physician, a doctor from the Enrique Garcés Hospital in Quito, and the doctor who treats her at the Azogues hospital.</w:t>
      </w:r>
    </w:p>
  </w:footnote>
  <w:footnote w:id="37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i/>
          <w:lang w:val="en-US"/>
        </w:rPr>
        <w:t>Case of Barrios Altos v. Peru. Reparations and costs</w:t>
      </w:r>
      <w:r w:rsidRPr="00D64D5C">
        <w:rPr>
          <w:lang w:val="en-US"/>
        </w:rPr>
        <w:t xml:space="preserve">. Judgment of November 30, 2001. Series C No. 87, paras. 42 and 45, and </w:t>
      </w:r>
      <w:r w:rsidRPr="00D64D5C">
        <w:rPr>
          <w:i/>
          <w:szCs w:val="16"/>
          <w:lang w:val="en-US"/>
        </w:rPr>
        <w:t>Case of Rodríguez Vera et al. (the Disappeared from the Palace of Justice) v. Colombia</w:t>
      </w:r>
      <w:r w:rsidRPr="00D64D5C">
        <w:rPr>
          <w:szCs w:val="16"/>
          <w:lang w:val="en-US"/>
        </w:rPr>
        <w:t>, para. 567.</w:t>
      </w:r>
    </w:p>
  </w:footnote>
  <w:footnote w:id="37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Cantoral Benavides v. Peru. Reparations and costs. </w:t>
      </w:r>
      <w:r w:rsidRPr="00D64D5C">
        <w:rPr>
          <w:szCs w:val="16"/>
          <w:lang w:val="en-US"/>
        </w:rPr>
        <w:t xml:space="preserve">Judgment of December 3, 2001. Series C No. 88,para. 79, and </w:t>
      </w:r>
      <w:r w:rsidRPr="00D64D5C">
        <w:rPr>
          <w:i/>
          <w:szCs w:val="16"/>
          <w:lang w:val="en-US"/>
        </w:rPr>
        <w:t>Case of Cruz Sánchez et al. v. Peru</w:t>
      </w:r>
      <w:r w:rsidRPr="00D64D5C">
        <w:rPr>
          <w:szCs w:val="16"/>
          <w:lang w:val="en-US"/>
        </w:rPr>
        <w:t>, para. 466.</w:t>
      </w:r>
    </w:p>
  </w:footnote>
  <w:footnote w:id="38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i/>
          <w:szCs w:val="16"/>
          <w:lang w:val="en-US"/>
        </w:rPr>
        <w:tab/>
        <w:t>Cf. Case of Cantoral Benavides v. Peru</w:t>
      </w:r>
      <w:r w:rsidRPr="00D64D5C">
        <w:rPr>
          <w:szCs w:val="16"/>
          <w:lang w:val="en-US"/>
        </w:rPr>
        <w:t xml:space="preserve">, para. 81, and </w:t>
      </w:r>
      <w:r w:rsidRPr="00D64D5C">
        <w:rPr>
          <w:i/>
          <w:szCs w:val="16"/>
          <w:lang w:val="en-US"/>
        </w:rPr>
        <w:t>Case of Rodríguez Vera et al. (“the Disappeared from the Palace of Justice”) v. Colombia</w:t>
      </w:r>
      <w:r w:rsidRPr="00D64D5C">
        <w:rPr>
          <w:szCs w:val="16"/>
          <w:lang w:val="en-US"/>
        </w:rPr>
        <w:t xml:space="preserve">, para. 576. </w:t>
      </w:r>
    </w:p>
    <w:p w:rsidR="0051351F" w:rsidRPr="00D64D5C" w:rsidRDefault="0051351F" w:rsidP="00FC14B8">
      <w:pPr>
        <w:pStyle w:val="FootnoteText"/>
        <w:tabs>
          <w:tab w:val="left" w:pos="540"/>
        </w:tabs>
        <w:spacing w:before="0" w:after="100"/>
        <w:rPr>
          <w:szCs w:val="16"/>
          <w:lang w:val="en-US"/>
        </w:rPr>
      </w:pPr>
    </w:p>
  </w:footnote>
  <w:footnote w:id="38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To this end, the State could take as a basis the estimates used by the university in which Talís would undertake her postgraduate studies to determine the amount of the scholarships it awards to students for their living costs.</w:t>
      </w:r>
    </w:p>
  </w:footnote>
  <w:footnote w:id="38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the Court stresses that the Committee on the Rights of the Child, in its General Comment No. 3, underlined the necessity of providing legal, economic and social protection to affected children to ensure their access to shelter, among other services, in order to reduce their vulnerability. </w:t>
      </w:r>
      <w:r w:rsidRPr="00D64D5C">
        <w:rPr>
          <w:i/>
          <w:szCs w:val="16"/>
          <w:lang w:val="en-US"/>
        </w:rPr>
        <w:t xml:space="preserve">Cf. </w:t>
      </w:r>
      <w:r w:rsidRPr="00D64D5C">
        <w:rPr>
          <w:szCs w:val="16"/>
          <w:lang w:val="en-US"/>
        </w:rPr>
        <w:t>Committee on the Rights of the Child. General comment No. 3 HIV/AIDS and the rights of the child. CRC/GC/2003/3. March 2003, para. 31.</w:t>
      </w:r>
    </w:p>
  </w:footnote>
  <w:footnote w:id="383">
    <w:p w:rsidR="0051351F" w:rsidRPr="00D64D5C" w:rsidRDefault="0051351F" w:rsidP="00FC14B8">
      <w:pPr>
        <w:pStyle w:val="FootnoteText"/>
        <w:tabs>
          <w:tab w:val="left" w:pos="540"/>
        </w:tabs>
        <w:spacing w:before="0" w:after="100"/>
        <w:rPr>
          <w:color w:val="FF0000"/>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Similarly, see </w:t>
      </w:r>
      <w:r w:rsidRPr="00D64D5C">
        <w:rPr>
          <w:rStyle w:val="Strong"/>
          <w:b w:val="0"/>
          <w:i/>
          <w:color w:val="000000"/>
          <w:shd w:val="clear" w:color="auto" w:fill="FFFFFF"/>
          <w:lang w:val="en-US"/>
        </w:rPr>
        <w:t>Case of García Cruz and Sánchez Silvestre v. Mexico. Merits, reparations and costs</w:t>
      </w:r>
      <w:r w:rsidRPr="00D64D5C">
        <w:rPr>
          <w:rStyle w:val="Strong"/>
          <w:b w:val="0"/>
          <w:color w:val="000000"/>
          <w:shd w:val="clear" w:color="auto" w:fill="FFFFFF"/>
          <w:lang w:val="en-US"/>
        </w:rPr>
        <w:t>. Judgment of November 26 2013. Series C No. 273, para. 79</w:t>
      </w:r>
      <w:r w:rsidRPr="00D64D5C">
        <w:rPr>
          <w:i/>
          <w:szCs w:val="16"/>
          <w:lang w:val="en-US"/>
        </w:rPr>
        <w:t>.</w:t>
      </w:r>
    </w:p>
  </w:footnote>
  <w:footnote w:id="384">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rFonts w:cs="Times New Roman"/>
          <w:lang w:val="en-US"/>
        </w:rPr>
        <w:t xml:space="preserve">Resolution No. 0032 of the Ecuadorian Ombudsman of August 19, 2013; Report on monitoring compliance with the decision of the Ombudsman of November 26, 2014, and Decision No. 180 of the Ombudsman of December 22, 2014. These documents were sent as annexes to the </w:t>
      </w:r>
      <w:r w:rsidRPr="00D64D5C">
        <w:rPr>
          <w:rFonts w:cs="Times New Roman"/>
          <w:i/>
          <w:lang w:val="en-US"/>
        </w:rPr>
        <w:t>amicus curiae</w:t>
      </w:r>
      <w:r w:rsidRPr="00D64D5C">
        <w:rPr>
          <w:rFonts w:cs="Times New Roman"/>
          <w:lang w:val="en-US"/>
        </w:rPr>
        <w:t xml:space="preserve"> brief of the Ecuadorian Ombudsman in this case. In these documents, the Ombudsman pointed to the existence of some problems due to the shortage of medicines for patients with HIV/AIDS in Ecuador; he also advised that there are reports that the medical care received by patients with HIV/AIDS was disrespectful and offensive.</w:t>
      </w:r>
    </w:p>
  </w:footnote>
  <w:footnote w:id="385">
    <w:p w:rsidR="0051351F" w:rsidRPr="00D64D5C" w:rsidRDefault="0051351F" w:rsidP="00FC14B8">
      <w:pPr>
        <w:pStyle w:val="FootnoteText"/>
        <w:tabs>
          <w:tab w:val="left" w:pos="540"/>
        </w:tabs>
        <w:spacing w:before="0" w:after="100"/>
        <w:rPr>
          <w:b/>
          <w:color w:val="FF0000"/>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Constitution of the Republic of Ecuador, Available at: </w:t>
      </w:r>
      <w:r w:rsidR="00E50BFC">
        <w:fldChar w:fldCharType="begin"/>
      </w:r>
      <w:r w:rsidR="00E50BFC" w:rsidRPr="00E50BFC">
        <w:rPr>
          <w:lang w:val="en-US"/>
        </w:rPr>
        <w:instrText xml:space="preserve"> HYPERLINK "http://www.asambleanacional.gov.ec/%20documentos/constitucion_de_bolsillo.pdf" </w:instrText>
      </w:r>
      <w:r w:rsidR="00E50BFC">
        <w:fldChar w:fldCharType="separate"/>
      </w:r>
      <w:r w:rsidRPr="00D64D5C">
        <w:rPr>
          <w:rStyle w:val="Hyperlink"/>
          <w:szCs w:val="16"/>
          <w:lang w:val="en-US"/>
        </w:rPr>
        <w:t>http://www.asambleanacional.gov.ec/ documentos/constitucion_de_bolsillo.pdf</w:t>
      </w:r>
      <w:r w:rsidR="00E50BFC">
        <w:rPr>
          <w:rStyle w:val="Hyperlink"/>
          <w:szCs w:val="16"/>
          <w:lang w:val="en-US"/>
        </w:rPr>
        <w:fldChar w:fldCharType="end"/>
      </w:r>
      <w:r w:rsidRPr="00D64D5C">
        <w:rPr>
          <w:szCs w:val="16"/>
          <w:lang w:val="en-US"/>
        </w:rPr>
        <w:t xml:space="preserve">. This Court considers that the said document is useful for the analysis of this case and therefore incorporates it, </w:t>
      </w:r>
      <w:r w:rsidRPr="00D64D5C">
        <w:rPr>
          <w:i/>
          <w:szCs w:val="16"/>
          <w:lang w:val="en-US"/>
        </w:rPr>
        <w:t>ex officio</w:t>
      </w:r>
      <w:r w:rsidRPr="00D64D5C">
        <w:rPr>
          <w:szCs w:val="16"/>
          <w:lang w:val="en-US"/>
        </w:rPr>
        <w:t>, into the body of evidence under Article 58(a) of its Rules of Procedure.</w:t>
      </w:r>
    </w:p>
  </w:footnote>
  <w:footnote w:id="38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Health Act (evidence file, folio 4243).</w:t>
      </w:r>
    </w:p>
  </w:footnote>
  <w:footnote w:id="38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Disabilities Act (evidence file, folio 4298).</w:t>
      </w:r>
    </w:p>
  </w:footnote>
  <w:footnote w:id="38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Chldren’s and Adolescents’ Code (evidence file, folio 3104).</w:t>
      </w:r>
    </w:p>
  </w:footnote>
  <w:footnote w:id="389">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 xml:space="preserve">UNAIDS, HIV and AIDS estimates (2014). Available at: </w:t>
      </w:r>
      <w:r w:rsidRPr="00D64D5C">
        <w:rPr>
          <w:color w:val="1F497D"/>
          <w:lang w:val="en-US"/>
        </w:rPr>
        <w:t xml:space="preserve"> </w:t>
      </w:r>
      <w:r w:rsidR="00E50BFC">
        <w:fldChar w:fldCharType="begin"/>
      </w:r>
      <w:r w:rsidR="00E50BFC" w:rsidRPr="00E50BFC">
        <w:rPr>
          <w:lang w:val="en-US"/>
        </w:rPr>
        <w:instrText xml:space="preserve"> HYPERLINK "http://www.unaids.org/en/regionscountries/countries%20/ecuador" </w:instrText>
      </w:r>
      <w:r w:rsidR="00E50BFC">
        <w:fldChar w:fldCharType="separate"/>
      </w:r>
      <w:r w:rsidRPr="00D64D5C">
        <w:rPr>
          <w:rStyle w:val="Hyperlink"/>
          <w:lang w:val="en-US"/>
        </w:rPr>
        <w:t>http://www.unaids.org/en/regionscountries/countries /ecuador</w:t>
      </w:r>
      <w:r w:rsidR="00E50BFC">
        <w:rPr>
          <w:rStyle w:val="Hyperlink"/>
          <w:lang w:val="en-US"/>
        </w:rPr>
        <w:fldChar w:fldCharType="end"/>
      </w:r>
      <w:r w:rsidRPr="00D64D5C">
        <w:rPr>
          <w:lang w:val="en-US"/>
        </w:rPr>
        <w:t>.</w:t>
      </w:r>
    </w:p>
  </w:footnote>
  <w:footnote w:id="39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spacing w:val="-2"/>
          <w:lang w:val="en-US"/>
        </w:rPr>
        <w:t>Law for Prevention of, and Comprehensive Assistance for, HIV/AIDS</w:t>
      </w:r>
      <w:r w:rsidRPr="00D64D5C">
        <w:rPr>
          <w:szCs w:val="16"/>
          <w:lang w:val="en-US"/>
        </w:rPr>
        <w:t xml:space="preserve"> (evidence file, folio 2120).</w:t>
      </w:r>
    </w:p>
  </w:footnote>
  <w:footnote w:id="39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spacing w:val="-2"/>
          <w:lang w:val="en-US"/>
        </w:rPr>
        <w:t xml:space="preserve">Manual for the Comprehensive Health Care Model </w:t>
      </w:r>
      <w:r w:rsidRPr="00D64D5C">
        <w:rPr>
          <w:szCs w:val="16"/>
          <w:lang w:val="en-US"/>
        </w:rPr>
        <w:t>(evidence file, folio 4460).</w:t>
      </w:r>
    </w:p>
  </w:footnote>
  <w:footnote w:id="39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Millennium Development Goals, targets 6A and 6B (evidence file, folio 4364).</w:t>
      </w:r>
    </w:p>
  </w:footnote>
  <w:footnote w:id="39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2013-2017 </w:t>
      </w:r>
      <w:r w:rsidRPr="00D64D5C">
        <w:rPr>
          <w:spacing w:val="-2"/>
          <w:lang w:val="en-US"/>
        </w:rPr>
        <w:t>Health Research Priorities</w:t>
      </w:r>
      <w:r w:rsidRPr="00D64D5C">
        <w:rPr>
          <w:szCs w:val="16"/>
          <w:lang w:val="en-US"/>
        </w:rPr>
        <w:t xml:space="preserve"> (evidence file, folio 4175). </w:t>
      </w:r>
    </w:p>
  </w:footnote>
  <w:footnote w:id="39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spacing w:val="-2"/>
          <w:lang w:val="en-US"/>
        </w:rPr>
        <w:t>National Ten-year Plan for Comprehensive Protection of Children and Adolescents</w:t>
      </w:r>
      <w:r w:rsidRPr="00D64D5C">
        <w:rPr>
          <w:szCs w:val="16"/>
          <w:lang w:val="en-US"/>
        </w:rPr>
        <w:t xml:space="preserve"> (evidence file, folio 3012).</w:t>
      </w:r>
    </w:p>
  </w:footnote>
  <w:footnote w:id="39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Decree </w:t>
      </w:r>
      <w:r w:rsidRPr="00D64D5C">
        <w:rPr>
          <w:spacing w:val="-2"/>
          <w:lang w:val="en-US"/>
        </w:rPr>
        <w:t xml:space="preserve">creating the “Joaquín Gallegos Lara” subsidy, </w:t>
      </w:r>
      <w:r w:rsidRPr="00D64D5C">
        <w:rPr>
          <w:szCs w:val="16"/>
          <w:lang w:val="en-US"/>
        </w:rPr>
        <w:t>and the technical directive for the inclusion, exclusion and temporary exclusion of persons with severe disabilities in a critical socio-economic situation, of persons with rare or catastrophic illnesses, or orphans in a critical socio-economic situation, and children under the age of 14 living with HIV/AIDS in a critical socio-economic situation (evidence file, folios 3163 and 3168).</w:t>
      </w:r>
    </w:p>
  </w:footnote>
  <w:footnote w:id="39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spacing w:val="-2"/>
          <w:lang w:val="en-US"/>
        </w:rPr>
        <w:t>Protocol for treating persons with HIV/AIDS</w:t>
      </w:r>
      <w:r w:rsidRPr="00D64D5C">
        <w:rPr>
          <w:szCs w:val="16"/>
          <w:lang w:val="en-US"/>
        </w:rPr>
        <w:t xml:space="preserve"> of the Ministry of Public Health (evidence file, folio 3200).</w:t>
      </w:r>
    </w:p>
  </w:footnote>
  <w:footnote w:id="39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Decision of the Ministry of Health to </w:t>
      </w:r>
      <w:r w:rsidRPr="00D64D5C">
        <w:rPr>
          <w:spacing w:val="-2"/>
          <w:lang w:val="en-US"/>
        </w:rPr>
        <w:t>establish the Ecuadorian Multisectoral Committee on HIV/AIDS</w:t>
      </w:r>
      <w:r w:rsidRPr="00D64D5C">
        <w:rPr>
          <w:szCs w:val="16"/>
          <w:lang w:val="en-US"/>
        </w:rPr>
        <w:t xml:space="preserve"> (CEMAIDS) (evidence file, folio 3227).</w:t>
      </w:r>
    </w:p>
  </w:footnote>
  <w:footnote w:id="39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szCs w:val="16"/>
          <w:lang w:val="en-US"/>
        </w:rPr>
        <w:t xml:space="preserve"> </w:t>
      </w:r>
      <w:r w:rsidRPr="00D64D5C">
        <w:rPr>
          <w:lang w:val="en-US"/>
        </w:rPr>
        <w:t xml:space="preserve">National Public Health Straregy for HIV/AIDS-STD </w:t>
      </w:r>
      <w:r w:rsidRPr="00D64D5C">
        <w:rPr>
          <w:spacing w:val="-2"/>
          <w:szCs w:val="16"/>
          <w:lang w:val="en-US"/>
        </w:rPr>
        <w:t xml:space="preserve">of the Ministry of Public Health (evidence file, folio 3230). </w:t>
      </w:r>
    </w:p>
  </w:footnote>
  <w:footnote w:id="39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that case, the Court ordered the State, within a reasonable time, to disseminate information on patients’ rights as widely as possible, using the appropriate media and applying the existing laws in Ecuador and the international standards, and taking into account that the </w:t>
      </w:r>
      <w:r w:rsidRPr="00D64D5C">
        <w:rPr>
          <w:lang w:val="en-US"/>
        </w:rPr>
        <w:t>Law on Patients’ Rights and Protection establishes the obligation to have copies of the law available in all the health care services. In addition, it found it necessary that the State implement a program to educate and train agents of justice and health professionals on the laws that Ecuador has implemented on patients’ rights and on the sanctions for failing to comply with them.</w:t>
      </w:r>
      <w:r w:rsidRPr="00D64D5C">
        <w:rPr>
          <w:szCs w:val="16"/>
          <w:lang w:val="en-US"/>
        </w:rPr>
        <w:t xml:space="preserve"> </w:t>
      </w:r>
      <w:r w:rsidRPr="00D64D5C">
        <w:rPr>
          <w:i/>
          <w:szCs w:val="16"/>
          <w:lang w:val="en-US"/>
        </w:rPr>
        <w:t xml:space="preserve">Cf. Case of Albán Cornejo et al. v. Ecuador. Merits, reparations and costs. </w:t>
      </w:r>
      <w:r w:rsidRPr="00D64D5C">
        <w:rPr>
          <w:szCs w:val="16"/>
          <w:lang w:val="en-US"/>
        </w:rPr>
        <w:t xml:space="preserve">Judgment of November 22, 2007. Series C No. 171, paras. 162 to 164. </w:t>
      </w:r>
    </w:p>
  </w:footnote>
  <w:footnote w:id="40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Article 71 of the 2006 Health Law establishes that: “[t]he health authority shall issue regulations concerning the processes of donation, transfusion, use, and supervision of the quality of human blood with its components and products, in order to ensure equitable, efficient, sufficient, and safe access, the preservation of the health of donors, and the highest protection of recipients, and health care personnel.” To this end, article 72 establishes that the national health authority shall issue licenses to public and private blood services in keeping with the norms in force. In addition, article 75 stipulates that “[t]he establishments authorized to collect blood units, prior to their use in transfusions, are obliged to perform the tests established in the corresponding regulations to determine the blood type and Rh factor and the presence of irregular antibodies, as well as serological tests for the markers of infection, according to the local, regional and national epidomiological profile, and technological advances.”</w:t>
      </w:r>
    </w:p>
  </w:footnote>
  <w:footnote w:id="401">
    <w:p w:rsidR="0051351F" w:rsidRPr="00D64D5C" w:rsidRDefault="0051351F" w:rsidP="00FC14B8">
      <w:pPr>
        <w:pStyle w:val="FootnoteText"/>
        <w:tabs>
          <w:tab w:val="left" w:pos="540"/>
        </w:tabs>
        <w:spacing w:before="0" w:after="100"/>
        <w:rPr>
          <w:i/>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Report on the steps taken by the Ministry of Public Health and the National Blood Program to avoid cases of infection transmission by means of blood transfusions (evidence file, folio 2500).</w:t>
      </w:r>
      <w:r w:rsidRPr="00D64D5C">
        <w:rPr>
          <w:i/>
          <w:szCs w:val="16"/>
          <w:lang w:val="en-US"/>
        </w:rPr>
        <w:t xml:space="preserve"> </w:t>
      </w:r>
    </w:p>
  </w:footnote>
  <w:footnote w:id="402">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State indicated that Executive Decree No. 422 of August 6, 2010, established the Joaquín Gallegos Lara subsidy, for “persons with severe and profound disabilities in a critical situation who are unable to fend for themselves, […] or with rare or catastrophic illnesses, or orphans […] as well as children under the age of 14 living with HIV[/AIDS].” </w:t>
      </w:r>
    </w:p>
  </w:footnote>
  <w:footnote w:id="40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 xml:space="preserve">Health Act, article 27 (evidence file, folio 4250). </w:t>
      </w:r>
    </w:p>
  </w:footnote>
  <w:footnote w:id="40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Chldren’s and Adolescents’ Code, article 37 (evidence file, folio 3108).</w:t>
      </w:r>
    </w:p>
  </w:footnote>
  <w:footnote w:id="40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Chldren’s and Adolescents’ Code, article 6 (evidence file, folio 3104).</w:t>
      </w:r>
    </w:p>
  </w:footnote>
  <w:footnote w:id="40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Ministerial decision “Sexuality, the prevention of HIV/AIDS-STD free of stereotypes and prejudices to help promote the quality of life and eradicate stigmas and discrimination due to HIV/AIDS” of November 21, 2008 (evidence file, folio 3184).</w:t>
      </w:r>
    </w:p>
  </w:footnote>
  <w:footnote w:id="40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CONESUP Resolution. RCP.S07.No.166 of May 2009 (evidence file, folio 3187).</w:t>
      </w:r>
    </w:p>
  </w:footnote>
  <w:footnote w:id="40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Expert opinion of John Herlyn Antón and Gustavo Medinaceli (evidence file, folio 3801).</w:t>
      </w:r>
    </w:p>
  </w:footnote>
  <w:footnote w:id="40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szCs w:val="16"/>
          <w:lang w:val="en-US"/>
        </w:rPr>
        <w:t>Law for the Prevention and Comprehensive Treatment of HIV/AIDS (evidence file, folio 2120).</w:t>
      </w:r>
    </w:p>
  </w:footnote>
  <w:footnote w:id="410">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representatives alleged that the Red Cross charged 80,000 sucres for reagents for Talía’s first treatment. </w:t>
      </w:r>
    </w:p>
  </w:footnote>
  <w:footnote w:id="411">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Talía’s mother testified that she “spent around $500 to $1,500 each month.” </w:t>
      </w:r>
    </w:p>
  </w:footnote>
  <w:footnote w:id="412">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representatives, this examination, performed in 2000, cost $8,000. </w:t>
      </w:r>
    </w:p>
  </w:footnote>
  <w:footnote w:id="413">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representatives, the airfares were purchased in in 2000 and 2003 and amounted to $5,000. </w:t>
      </w:r>
    </w:p>
  </w:footnote>
  <w:footnote w:id="414">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Regarding the expenditure on nutritional supplements, the representatives indicated that from 2005 to 2014,  this amounted to $10,000. </w:t>
      </w:r>
    </w:p>
  </w:footnote>
  <w:footnote w:id="41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representatives indicated that, in 2005, Talía’s hospitalization resulted in expenses totalling $2,000. </w:t>
      </w:r>
    </w:p>
  </w:footnote>
  <w:footnote w:id="41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The representatives indicated that the Lluy family had incurred expenses of around $15,000 each month for this concept.</w:t>
      </w:r>
    </w:p>
  </w:footnote>
  <w:footnote w:id="41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According to the representatives, these tests have been performed every three months since 2001, and they calculated that, up until 2014, the expenditure involved was $20,000. </w:t>
      </w:r>
    </w:p>
  </w:footnote>
  <w:footnote w:id="41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they indicated that, from 2005 to 2014, Talía had been treated first with Viracep and Comvivir, which cost $20,196, and subsequently with Stocrin and Tenvir, and is currently being treated with Tenvir and Efavirex. </w:t>
      </w:r>
    </w:p>
  </w:footnote>
  <w:footnote w:id="419">
    <w:p w:rsidR="0051351F" w:rsidRPr="00D64D5C" w:rsidRDefault="0051351F" w:rsidP="00FC14B8">
      <w:pPr>
        <w:pStyle w:val="FootnoteText"/>
        <w:tabs>
          <w:tab w:val="left" w:pos="540"/>
        </w:tabs>
        <w:spacing w:before="0" w:after="100"/>
        <w:rPr>
          <w:b/>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representatives indicated that Teresa Lluy remembered the following debts: (i) US$8,000.00 requested from María Soledad Salinas in 2000 for the test in Belgium; (ii) US$5,000.00 with 5% annual interest requested from Carmen Ruiz in 2001 for Talía’s expenses; (iii) US$70,000.00 with 15% annual interest requested from the Alfonso Jaramillo Cooperative from 2005 to 2011 for rental and moving expenses; (iv) US$5,000.00 with 15% annual interest requested from the Coopera Cooperativa in 2004 for Talía’s expenses; (v) US$5,000.00 with 15% annual interest requested from the Riobamba Cooperativa in 2006 for Talía’s expenses; (vi) US$5,000.00 with 15% annual interest requested from the Banco Pichincha in 2006 for expenses; (vii) US$20,000.00 with 20% annual interest requested in 2007 from moneylenders </w:t>
      </w:r>
      <w:r w:rsidRPr="00D64D5C">
        <w:rPr>
          <w:i/>
          <w:szCs w:val="16"/>
          <w:lang w:val="en-US"/>
        </w:rPr>
        <w:t>(chulqueros)</w:t>
      </w:r>
      <w:r w:rsidRPr="00D64D5C">
        <w:rPr>
          <w:szCs w:val="16"/>
          <w:lang w:val="en-US"/>
        </w:rPr>
        <w:t xml:space="preserve"> to pay off debts; (viii) US$10,000.00 with 15% annual interest requested from Marisol Salinas in 2009 for Talía’s expenses; ix) US$5,000.00 with 15% annual interest requested from the Cacpe de Gualaquiza Cooperativa from 2010 to 2012 for general expenes; (x) US$5,000.00 with 15.20% annual interest requested from the JEP Cooperative in 2013 for Talía’s expenses, and (xi) US$10,000.00 with 15.20% annual interest requested from the JEP Cooperative in 2014 for Talía’s expenses. </w:t>
      </w:r>
    </w:p>
  </w:footnote>
  <w:footnote w:id="42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The representatives stated that, currently, Teresa Lluy earns an average of US$50.00 (fifty United States dollars) a month and, with commissions, this can increase to US$144.00 (one hundred and forty-four United States dollars); however, at times she earns less. </w:t>
      </w:r>
    </w:p>
  </w:footnote>
  <w:footnote w:id="42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Bámaca Velásquez v. Guatemala. Reparations and costs. </w:t>
      </w:r>
      <w:r w:rsidRPr="00D64D5C">
        <w:rPr>
          <w:szCs w:val="16"/>
          <w:lang w:val="en-US"/>
        </w:rPr>
        <w:t xml:space="preserve">Judgment of February 22, 2002. Series C No. 91, para. 43, and </w:t>
      </w:r>
      <w:r w:rsidRPr="00D64D5C">
        <w:rPr>
          <w:i/>
          <w:szCs w:val="16"/>
          <w:lang w:val="en-US"/>
        </w:rPr>
        <w:t>Case of Rodríguez Vera et al. (“the Disappeared from the Palace of Justice”) v. Colombia</w:t>
      </w:r>
      <w:r w:rsidRPr="00D64D5C">
        <w:rPr>
          <w:szCs w:val="16"/>
          <w:lang w:val="en-US"/>
        </w:rPr>
        <w:t>, para. 591.</w:t>
      </w:r>
    </w:p>
  </w:footnote>
  <w:footnote w:id="42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Bámaca Velásquez v. Guatemala</w:t>
      </w:r>
      <w:r w:rsidRPr="00D64D5C">
        <w:rPr>
          <w:szCs w:val="16"/>
          <w:lang w:val="en-US"/>
        </w:rPr>
        <w:t xml:space="preserve">, para. 43, and </w:t>
      </w:r>
      <w:r w:rsidRPr="00D64D5C">
        <w:rPr>
          <w:i/>
          <w:szCs w:val="16"/>
          <w:lang w:val="en-US"/>
        </w:rPr>
        <w:t>Case of Rodríguez Vera et al. (“the Disappeared from the Palace of Justice”) v. Colombia</w:t>
      </w:r>
      <w:r w:rsidRPr="00D64D5C">
        <w:rPr>
          <w:szCs w:val="16"/>
          <w:lang w:val="en-US"/>
        </w:rPr>
        <w:t>, para. 591.</w:t>
      </w:r>
    </w:p>
  </w:footnote>
  <w:footnote w:id="42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Table of repayment of active debts in the name of  Iván Lluy for the sum of US$12,584.88 (evidence file, folio 1193); extracts from credits paid by Teresa Lluy to the Alfonso Jaramillo Cooperative for US$84,590.00 (evidence file, folios 1195 and 1196); credits granted to Teresa Lluy by the La Merced Savings and Loan Cooperative for the sum of US$6,000.00 (evidence file, folios 1197 to 1199); loan in the name of Iván Lluy “</w:t>
      </w:r>
      <w:r w:rsidRPr="00D64D5C">
        <w:rPr>
          <w:i/>
          <w:szCs w:val="16"/>
          <w:lang w:val="en-US"/>
        </w:rPr>
        <w:t>Juventud Ecuatoriana Progresista</w:t>
      </w:r>
      <w:r w:rsidRPr="00D64D5C">
        <w:rPr>
          <w:szCs w:val="16"/>
          <w:lang w:val="en-US"/>
        </w:rPr>
        <w:t xml:space="preserve">” Savings and Loan Cooperative for the sum of US$5,000.00 (evidence file, folio 1204); credit in arrears in the name of Teresa Lluy granted by the Savings and Loan Cooperative of the </w:t>
      </w:r>
      <w:r w:rsidRPr="00D64D5C">
        <w:rPr>
          <w:i/>
          <w:szCs w:val="16"/>
          <w:lang w:val="en-US"/>
        </w:rPr>
        <w:t>Pequeña Empresa Gualaquiza</w:t>
      </w:r>
      <w:r w:rsidRPr="00D64D5C">
        <w:rPr>
          <w:szCs w:val="16"/>
          <w:lang w:val="en-US"/>
        </w:rPr>
        <w:t xml:space="preserve"> for the sum of US$2,000.00 for the initial debt, US$400.00 owed on the capital and US$60.92 owed in interest (evidence file, folio 1207); payment of loan made to Teresa Lluy by the “Alfonso Jaramillo León” Cooperative for the sum of US$4,060,00 (evidence file, folio 1210); table of repayment of credits granted to Teresa Lluy by the Coopera Savings and Loan Cooperative for the sum of US$ 2.953,98 (evidence file, folio 1211), and debt in the name of Teresa Lluy in the Banco del Pacífico paid off in 1999 for the sum of 2,600,000 sucres (evidence file, folio 1212).</w:t>
      </w:r>
    </w:p>
  </w:footnote>
  <w:footnote w:id="42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Lawsuit filed by the La Merced Savings and Loan Cooperative for the payment of US$1,002.96 representing instalment payments owed, US$422.19 for the balance of the debt, interest on arrears calcualted at the legal maximum, and procedural costs. The amount of the lawsuit was established at US$10,000.00 (evidence file, folio 1200). </w:t>
      </w:r>
    </w:p>
  </w:footnote>
  <w:footnote w:id="42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Receipt for US$489.44 for medical test performed by International Laboratories Services Interlab S.A. in the name of Talía Gonzales (evidence file, folio 1214); receipts from Ejecutivo San Luis de Transportes S.A. for transportation between Cuenca and Guayaquil for two adults dated April  2 and 3, 2014, for US$16.00 each (evidence file, folios 1214 and 1217); receipt in the name of Teresa Lluy from the Cooperativa de Transportes “S.A.N.T.A” for US$18.00 for transportation from Quito to Cuenca on July 27, 2012, for two adults (evidence file, folio 1215); receipts in the name of Teresa Lluy from Cooperativa de Transportes Flota IMBABURA for transportation Cuenca-Quito dated July 26, 2012, and February 14 and August 1, 2013, for two adults for US$24.00 each (evidence file, folios 1215 and 1216), and receipt from Cooperativa de Transportes “Turismo Oriental” for transportation Quito-Cuenca dated June 15, 2011, for two adults for US$28.00 (evidence file, folio 1216). Regarding the vitamin supplements, they presented invoices from Omnilife dated March 4 and 23, 2005, for US$707.40 and US$710.95; October 15, 2007, for  US$195.89; November 24 and December 17, 2007, for US$184.43 and US$201.43; April 10, 2008, for US$250.58; December 2, 2009, for US$292.90; invoice with illegible date for US$128.05; invoice dated August 1, 2011, for US$168.46; invoice of June 6, 2013, for US$136.99; invoice of November 15, 2012, for US$262.90, and invoices of February 24 and March 17, 2014, for US$126.81 and US$186.15 (evidence file, folios 1221 to 1230). </w:t>
      </w:r>
    </w:p>
  </w:footnote>
  <w:footnote w:id="42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B31E31">
        <w:rPr>
          <w:szCs w:val="16"/>
          <w:lang w:val="es-CR"/>
        </w:rPr>
        <w:t xml:space="preserve"> </w:t>
      </w:r>
      <w:r w:rsidRPr="00B31E31">
        <w:rPr>
          <w:szCs w:val="16"/>
          <w:lang w:val="es-CR"/>
        </w:rPr>
        <w:tab/>
      </w:r>
      <w:r w:rsidRPr="00B31E31">
        <w:rPr>
          <w:i/>
          <w:szCs w:val="16"/>
          <w:lang w:val="es-CR"/>
        </w:rPr>
        <w:t xml:space="preserve">Cf. Case of El Amparo v. Venezuela. </w:t>
      </w:r>
      <w:r w:rsidRPr="00D64D5C">
        <w:rPr>
          <w:i/>
          <w:szCs w:val="16"/>
          <w:lang w:val="en-US"/>
        </w:rPr>
        <w:t xml:space="preserve">Reparations and costs. </w:t>
      </w:r>
      <w:r w:rsidRPr="00D64D5C">
        <w:rPr>
          <w:szCs w:val="16"/>
          <w:lang w:val="en-US"/>
        </w:rPr>
        <w:t xml:space="preserve">Judgment of September 14, 1996. Series C No. 28, para. 35, and </w:t>
      </w:r>
      <w:r w:rsidRPr="00D64D5C">
        <w:rPr>
          <w:i/>
          <w:szCs w:val="16"/>
          <w:lang w:val="en-US"/>
        </w:rPr>
        <w:t>Case of Cruz Sánchez et al. v. Peru</w:t>
      </w:r>
      <w:r w:rsidRPr="00D64D5C">
        <w:rPr>
          <w:szCs w:val="16"/>
          <w:lang w:val="en-US"/>
        </w:rPr>
        <w:t xml:space="preserve">, para. 482. </w:t>
      </w:r>
    </w:p>
  </w:footnote>
  <w:footnote w:id="42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the Street Children (Villagrán Morales et al.) v. Guatemala. Reparations and costs. </w:t>
      </w:r>
      <w:r w:rsidRPr="00D64D5C">
        <w:rPr>
          <w:szCs w:val="16"/>
          <w:lang w:val="en-US"/>
        </w:rPr>
        <w:t xml:space="preserve">Judgment of May 26, 2001. Series C No. 77, para. 84, and </w:t>
      </w:r>
      <w:r w:rsidRPr="00D64D5C">
        <w:rPr>
          <w:i/>
          <w:szCs w:val="16"/>
          <w:lang w:val="en-US"/>
        </w:rPr>
        <w:t>Case of Cruz Sánchez et al. v. Peru</w:t>
      </w:r>
      <w:r w:rsidRPr="00D64D5C">
        <w:rPr>
          <w:szCs w:val="16"/>
          <w:lang w:val="en-US"/>
        </w:rPr>
        <w:t>, para. 482.</w:t>
      </w:r>
    </w:p>
  </w:footnote>
  <w:footnote w:id="42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Velásquez Rodríguez v. Honduras. Reparations and costs, </w:t>
      </w:r>
      <w:r w:rsidRPr="00D64D5C">
        <w:rPr>
          <w:szCs w:val="16"/>
          <w:lang w:val="en-US"/>
        </w:rPr>
        <w:t xml:space="preserve">para. 42, and </w:t>
      </w:r>
      <w:r w:rsidRPr="00D64D5C">
        <w:rPr>
          <w:i/>
          <w:szCs w:val="16"/>
          <w:lang w:val="en-US"/>
        </w:rPr>
        <w:t>Case of Cruz Sánchez et al. v. Peru</w:t>
      </w:r>
      <w:r w:rsidRPr="00D64D5C">
        <w:rPr>
          <w:szCs w:val="16"/>
          <w:lang w:val="en-US"/>
        </w:rPr>
        <w:t>, para. 488.</w:t>
      </w:r>
    </w:p>
  </w:footnote>
  <w:footnote w:id="42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Garrido and Baigorria v. Argentina. Reparations and costs. </w:t>
      </w:r>
      <w:r w:rsidRPr="00D64D5C">
        <w:rPr>
          <w:szCs w:val="16"/>
          <w:lang w:val="en-US"/>
        </w:rPr>
        <w:t xml:space="preserve">Judgment of August 27, 1998. Series C No. 39, para. 82, and </w:t>
      </w:r>
      <w:r w:rsidRPr="00D64D5C">
        <w:rPr>
          <w:i/>
          <w:szCs w:val="16"/>
          <w:lang w:val="en-US"/>
        </w:rPr>
        <w:t>Case of Cruz Sánchez et al. v. Peru</w:t>
      </w:r>
      <w:r w:rsidRPr="00D64D5C">
        <w:rPr>
          <w:szCs w:val="16"/>
          <w:lang w:val="en-US"/>
        </w:rPr>
        <w:t>, para. 488.</w:t>
      </w:r>
    </w:p>
  </w:footnote>
  <w:footnote w:id="43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Case of Garrido and Baigorria v. Argentina. Reparations and costs</w:t>
      </w:r>
      <w:r w:rsidRPr="00D64D5C">
        <w:rPr>
          <w:rFonts w:eastAsia="Verdana" w:cs="Verdana"/>
          <w:szCs w:val="16"/>
          <w:lang w:val="en-US"/>
        </w:rPr>
        <w:t>,</w:t>
      </w:r>
      <w:r w:rsidRPr="00D64D5C">
        <w:rPr>
          <w:rFonts w:eastAsia="Verdana" w:cs="Verdana"/>
          <w:spacing w:val="36"/>
          <w:szCs w:val="16"/>
          <w:lang w:val="en-US"/>
        </w:rPr>
        <w:t xml:space="preserve"> </w:t>
      </w:r>
      <w:r w:rsidRPr="00D64D5C">
        <w:rPr>
          <w:rFonts w:eastAsia="Verdana" w:cs="Verdana"/>
          <w:szCs w:val="16"/>
          <w:lang w:val="en-US"/>
        </w:rPr>
        <w:t>para.</w:t>
      </w:r>
      <w:r w:rsidRPr="00D64D5C">
        <w:rPr>
          <w:rFonts w:eastAsia="Verdana" w:cs="Verdana"/>
          <w:spacing w:val="33"/>
          <w:szCs w:val="16"/>
          <w:lang w:val="en-US"/>
        </w:rPr>
        <w:t xml:space="preserve"> </w:t>
      </w:r>
      <w:r w:rsidRPr="00D64D5C">
        <w:rPr>
          <w:rFonts w:eastAsia="Verdana" w:cs="Verdana"/>
          <w:spacing w:val="-1"/>
          <w:szCs w:val="16"/>
          <w:lang w:val="en-US"/>
        </w:rPr>
        <w:t>7</w:t>
      </w:r>
      <w:r w:rsidRPr="00D64D5C">
        <w:rPr>
          <w:rFonts w:eastAsia="Verdana" w:cs="Verdana"/>
          <w:spacing w:val="1"/>
          <w:szCs w:val="16"/>
          <w:lang w:val="en-US"/>
        </w:rPr>
        <w:t>9</w:t>
      </w:r>
      <w:r w:rsidRPr="00D64D5C">
        <w:rPr>
          <w:rFonts w:eastAsia="Verdana" w:cs="Verdana"/>
          <w:szCs w:val="16"/>
          <w:lang w:val="en-US"/>
        </w:rPr>
        <w:t>, and</w:t>
      </w:r>
      <w:r w:rsidRPr="00D64D5C">
        <w:rPr>
          <w:rFonts w:eastAsia="Verdana" w:cs="Verdana"/>
          <w:spacing w:val="36"/>
          <w:szCs w:val="16"/>
          <w:lang w:val="en-US"/>
        </w:rPr>
        <w:t xml:space="preserve"> </w:t>
      </w:r>
      <w:r w:rsidRPr="00D64D5C">
        <w:rPr>
          <w:i/>
          <w:szCs w:val="16"/>
          <w:lang w:val="en-US"/>
        </w:rPr>
        <w:t>Case of Cruz Sánchez et al. v. Peru</w:t>
      </w:r>
      <w:r w:rsidRPr="00D64D5C">
        <w:rPr>
          <w:szCs w:val="16"/>
          <w:lang w:val="en-US"/>
        </w:rPr>
        <w:t>, para. 489.</w:t>
      </w:r>
    </w:p>
  </w:footnote>
  <w:footnote w:id="43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eastAsia="Verdana" w:cs="Verdana"/>
          <w:i/>
          <w:szCs w:val="16"/>
          <w:lang w:val="en-US"/>
        </w:rPr>
        <w:t>Cf.</w:t>
      </w:r>
      <w:r w:rsidRPr="00D64D5C">
        <w:rPr>
          <w:rFonts w:eastAsia="Verdana" w:cs="Verdana"/>
          <w:i/>
          <w:spacing w:val="15"/>
          <w:szCs w:val="16"/>
          <w:lang w:val="en-US"/>
        </w:rPr>
        <w:t xml:space="preserve"> </w:t>
      </w:r>
      <w:r w:rsidRPr="00D64D5C">
        <w:rPr>
          <w:rFonts w:eastAsia="Verdana" w:cs="Verdana"/>
          <w:i/>
          <w:szCs w:val="16"/>
          <w:lang w:val="en-US"/>
        </w:rPr>
        <w:t>Case of</w:t>
      </w:r>
      <w:r w:rsidRPr="00D64D5C">
        <w:rPr>
          <w:rFonts w:eastAsia="Verdana" w:cs="Verdana"/>
          <w:i/>
          <w:spacing w:val="16"/>
          <w:szCs w:val="16"/>
          <w:lang w:val="en-US"/>
        </w:rPr>
        <w:t xml:space="preserve"> </w:t>
      </w:r>
      <w:r w:rsidRPr="00D64D5C">
        <w:rPr>
          <w:rFonts w:eastAsia="Verdana" w:cs="Verdana"/>
          <w:i/>
          <w:szCs w:val="16"/>
          <w:lang w:val="en-US"/>
        </w:rPr>
        <w:t>C</w:t>
      </w:r>
      <w:r w:rsidRPr="00D64D5C">
        <w:rPr>
          <w:rFonts w:eastAsia="Verdana" w:cs="Verdana"/>
          <w:i/>
          <w:spacing w:val="-1"/>
          <w:szCs w:val="16"/>
          <w:lang w:val="en-US"/>
        </w:rPr>
        <w:t>h</w:t>
      </w:r>
      <w:r w:rsidRPr="00D64D5C">
        <w:rPr>
          <w:rFonts w:eastAsia="Verdana" w:cs="Verdana"/>
          <w:i/>
          <w:spacing w:val="-3"/>
          <w:szCs w:val="16"/>
          <w:lang w:val="en-US"/>
        </w:rPr>
        <w:t>a</w:t>
      </w:r>
      <w:r w:rsidRPr="00D64D5C">
        <w:rPr>
          <w:rFonts w:eastAsia="Verdana" w:cs="Verdana"/>
          <w:i/>
          <w:szCs w:val="16"/>
          <w:lang w:val="en-US"/>
        </w:rPr>
        <w:t>p</w:t>
      </w:r>
      <w:r w:rsidRPr="00D64D5C">
        <w:rPr>
          <w:rFonts w:eastAsia="Verdana" w:cs="Verdana"/>
          <w:i/>
          <w:spacing w:val="-1"/>
          <w:szCs w:val="16"/>
          <w:lang w:val="en-US"/>
        </w:rPr>
        <w:t>ar</w:t>
      </w:r>
      <w:r w:rsidRPr="00D64D5C">
        <w:rPr>
          <w:rFonts w:eastAsia="Verdana" w:cs="Verdana"/>
          <w:i/>
          <w:spacing w:val="1"/>
          <w:szCs w:val="16"/>
          <w:lang w:val="en-US"/>
        </w:rPr>
        <w:t>r</w:t>
      </w:r>
      <w:r w:rsidRPr="00D64D5C">
        <w:rPr>
          <w:rFonts w:eastAsia="Verdana" w:cs="Verdana"/>
          <w:i/>
          <w:szCs w:val="16"/>
          <w:lang w:val="en-US"/>
        </w:rPr>
        <w:t>o</w:t>
      </w:r>
      <w:r w:rsidRPr="00D64D5C">
        <w:rPr>
          <w:rFonts w:eastAsia="Verdana" w:cs="Verdana"/>
          <w:i/>
          <w:spacing w:val="14"/>
          <w:szCs w:val="16"/>
          <w:lang w:val="en-US"/>
        </w:rPr>
        <w:t xml:space="preserve"> </w:t>
      </w:r>
      <w:r w:rsidRPr="00D64D5C">
        <w:rPr>
          <w:rFonts w:eastAsia="Verdana" w:cs="Verdana"/>
          <w:i/>
          <w:spacing w:val="1"/>
          <w:szCs w:val="16"/>
          <w:lang w:val="en-US"/>
        </w:rPr>
        <w:t>Á</w:t>
      </w:r>
      <w:r w:rsidRPr="00D64D5C">
        <w:rPr>
          <w:rFonts w:eastAsia="Verdana" w:cs="Verdana"/>
          <w:i/>
          <w:spacing w:val="-1"/>
          <w:szCs w:val="16"/>
          <w:lang w:val="en-US"/>
        </w:rPr>
        <w:t>l</w:t>
      </w:r>
      <w:r w:rsidRPr="00D64D5C">
        <w:rPr>
          <w:rFonts w:eastAsia="Verdana" w:cs="Verdana"/>
          <w:i/>
          <w:spacing w:val="1"/>
          <w:szCs w:val="16"/>
          <w:lang w:val="en-US"/>
        </w:rPr>
        <w:t>v</w:t>
      </w:r>
      <w:r w:rsidRPr="00D64D5C">
        <w:rPr>
          <w:rFonts w:eastAsia="Verdana" w:cs="Verdana"/>
          <w:i/>
          <w:spacing w:val="-3"/>
          <w:szCs w:val="16"/>
          <w:lang w:val="en-US"/>
        </w:rPr>
        <w:t>a</w:t>
      </w:r>
      <w:r w:rsidRPr="00D64D5C">
        <w:rPr>
          <w:rFonts w:eastAsia="Verdana" w:cs="Verdana"/>
          <w:i/>
          <w:spacing w:val="1"/>
          <w:szCs w:val="16"/>
          <w:lang w:val="en-US"/>
        </w:rPr>
        <w:t>r</w:t>
      </w:r>
      <w:r w:rsidRPr="00D64D5C">
        <w:rPr>
          <w:rFonts w:eastAsia="Verdana" w:cs="Verdana"/>
          <w:i/>
          <w:szCs w:val="16"/>
          <w:lang w:val="en-US"/>
        </w:rPr>
        <w:t>ez</w:t>
      </w:r>
      <w:r w:rsidRPr="00D64D5C">
        <w:rPr>
          <w:rFonts w:eastAsia="Verdana" w:cs="Verdana"/>
          <w:i/>
          <w:spacing w:val="13"/>
          <w:szCs w:val="16"/>
          <w:lang w:val="en-US"/>
        </w:rPr>
        <w:t xml:space="preserve"> and </w:t>
      </w:r>
      <w:r w:rsidRPr="00D64D5C">
        <w:rPr>
          <w:rFonts w:eastAsia="Verdana" w:cs="Verdana"/>
          <w:i/>
          <w:spacing w:val="-1"/>
          <w:szCs w:val="16"/>
          <w:lang w:val="en-US"/>
        </w:rPr>
        <w:t>La</w:t>
      </w:r>
      <w:r w:rsidRPr="00D64D5C">
        <w:rPr>
          <w:rFonts w:eastAsia="Verdana" w:cs="Verdana"/>
          <w:i/>
          <w:szCs w:val="16"/>
          <w:lang w:val="en-US"/>
        </w:rPr>
        <w:t>po</w:t>
      </w:r>
      <w:r w:rsidRPr="00D64D5C">
        <w:rPr>
          <w:rFonts w:eastAsia="Verdana" w:cs="Verdana"/>
          <w:i/>
          <w:spacing w:val="16"/>
          <w:szCs w:val="16"/>
          <w:lang w:val="en-US"/>
        </w:rPr>
        <w:t xml:space="preserve"> </w:t>
      </w:r>
      <w:r w:rsidRPr="00D64D5C">
        <w:rPr>
          <w:rFonts w:eastAsia="Verdana" w:cs="Verdana"/>
          <w:i/>
          <w:szCs w:val="16"/>
          <w:lang w:val="en-US"/>
        </w:rPr>
        <w:t>Í</w:t>
      </w:r>
      <w:r w:rsidRPr="00D64D5C">
        <w:rPr>
          <w:rFonts w:eastAsia="Verdana" w:cs="Verdana"/>
          <w:i/>
          <w:spacing w:val="-1"/>
          <w:szCs w:val="16"/>
          <w:lang w:val="en-US"/>
        </w:rPr>
        <w:t>ñi</w:t>
      </w:r>
      <w:r w:rsidRPr="00D64D5C">
        <w:rPr>
          <w:rFonts w:eastAsia="Verdana" w:cs="Verdana"/>
          <w:i/>
          <w:spacing w:val="1"/>
          <w:szCs w:val="16"/>
          <w:lang w:val="en-US"/>
        </w:rPr>
        <w:t>g</w:t>
      </w:r>
      <w:r w:rsidRPr="00D64D5C">
        <w:rPr>
          <w:rFonts w:eastAsia="Verdana" w:cs="Verdana"/>
          <w:i/>
          <w:spacing w:val="-1"/>
          <w:szCs w:val="16"/>
          <w:lang w:val="en-US"/>
        </w:rPr>
        <w:t>u</w:t>
      </w:r>
      <w:r w:rsidRPr="00D64D5C">
        <w:rPr>
          <w:rFonts w:eastAsia="Verdana" w:cs="Verdana"/>
          <w:i/>
          <w:szCs w:val="16"/>
          <w:lang w:val="en-US"/>
        </w:rPr>
        <w:t>ez</w:t>
      </w:r>
      <w:r w:rsidRPr="00D64D5C">
        <w:rPr>
          <w:rFonts w:eastAsia="Verdana" w:cs="Verdana"/>
          <w:i/>
          <w:spacing w:val="13"/>
          <w:szCs w:val="16"/>
          <w:lang w:val="en-US"/>
        </w:rPr>
        <w:t xml:space="preserve"> </w:t>
      </w:r>
      <w:r w:rsidRPr="00D64D5C">
        <w:rPr>
          <w:rFonts w:eastAsia="Verdana" w:cs="Verdana"/>
          <w:i/>
          <w:spacing w:val="1"/>
          <w:szCs w:val="16"/>
          <w:lang w:val="en-US"/>
        </w:rPr>
        <w:t>v.</w:t>
      </w:r>
      <w:r w:rsidRPr="00D64D5C">
        <w:rPr>
          <w:rFonts w:eastAsia="Verdana" w:cs="Verdana"/>
          <w:i/>
          <w:spacing w:val="15"/>
          <w:szCs w:val="16"/>
          <w:lang w:val="en-US"/>
        </w:rPr>
        <w:t xml:space="preserve"> </w:t>
      </w:r>
      <w:r w:rsidRPr="00D64D5C">
        <w:rPr>
          <w:rFonts w:eastAsia="Verdana" w:cs="Verdana"/>
          <w:i/>
          <w:spacing w:val="-1"/>
          <w:szCs w:val="16"/>
          <w:lang w:val="en-US"/>
        </w:rPr>
        <w:t>E</w:t>
      </w:r>
      <w:r w:rsidRPr="00D64D5C">
        <w:rPr>
          <w:rFonts w:eastAsia="Verdana" w:cs="Verdana"/>
          <w:i/>
          <w:szCs w:val="16"/>
          <w:lang w:val="en-US"/>
        </w:rPr>
        <w:t>c</w:t>
      </w:r>
      <w:r w:rsidRPr="00D64D5C">
        <w:rPr>
          <w:rFonts w:eastAsia="Verdana" w:cs="Verdana"/>
          <w:i/>
          <w:spacing w:val="-1"/>
          <w:szCs w:val="16"/>
          <w:lang w:val="en-US"/>
        </w:rPr>
        <w:t>u</w:t>
      </w:r>
      <w:r w:rsidRPr="00D64D5C">
        <w:rPr>
          <w:rFonts w:eastAsia="Verdana" w:cs="Verdana"/>
          <w:i/>
          <w:spacing w:val="-3"/>
          <w:szCs w:val="16"/>
          <w:lang w:val="en-US"/>
        </w:rPr>
        <w:t>a</w:t>
      </w:r>
      <w:r w:rsidRPr="00D64D5C">
        <w:rPr>
          <w:rFonts w:eastAsia="Verdana" w:cs="Verdana"/>
          <w:i/>
          <w:szCs w:val="16"/>
          <w:lang w:val="en-US"/>
        </w:rPr>
        <w:t>d</w:t>
      </w:r>
      <w:r w:rsidRPr="00D64D5C">
        <w:rPr>
          <w:rFonts w:eastAsia="Verdana" w:cs="Verdana"/>
          <w:i/>
          <w:spacing w:val="-2"/>
          <w:szCs w:val="16"/>
          <w:lang w:val="en-US"/>
        </w:rPr>
        <w:t>o</w:t>
      </w:r>
      <w:r w:rsidRPr="00D64D5C">
        <w:rPr>
          <w:rFonts w:eastAsia="Verdana" w:cs="Verdana"/>
          <w:i/>
          <w:spacing w:val="1"/>
          <w:szCs w:val="16"/>
          <w:lang w:val="en-US"/>
        </w:rPr>
        <w:t>r</w:t>
      </w:r>
      <w:r w:rsidRPr="00D64D5C">
        <w:rPr>
          <w:rFonts w:eastAsia="Verdana" w:cs="Verdana"/>
          <w:szCs w:val="16"/>
          <w:lang w:val="en-US"/>
        </w:rPr>
        <w:t xml:space="preserve">, </w:t>
      </w:r>
      <w:r w:rsidRPr="00D64D5C">
        <w:rPr>
          <w:rFonts w:eastAsia="Verdana" w:cs="Verdana"/>
          <w:spacing w:val="-2"/>
          <w:szCs w:val="16"/>
          <w:lang w:val="en-US"/>
        </w:rPr>
        <w:t xml:space="preserve">para. </w:t>
      </w:r>
      <w:r w:rsidRPr="00D64D5C">
        <w:rPr>
          <w:rFonts w:eastAsia="Verdana" w:cs="Verdana"/>
          <w:spacing w:val="-1"/>
          <w:szCs w:val="16"/>
          <w:lang w:val="en-US"/>
        </w:rPr>
        <w:t>2</w:t>
      </w:r>
      <w:r w:rsidRPr="00D64D5C">
        <w:rPr>
          <w:rFonts w:eastAsia="Verdana" w:cs="Verdana"/>
          <w:spacing w:val="1"/>
          <w:szCs w:val="16"/>
          <w:lang w:val="en-US"/>
        </w:rPr>
        <w:t>77</w:t>
      </w:r>
      <w:r w:rsidRPr="00D64D5C">
        <w:rPr>
          <w:rFonts w:eastAsia="Verdana" w:cs="Verdana"/>
          <w:szCs w:val="16"/>
          <w:lang w:val="en-US"/>
        </w:rPr>
        <w:t xml:space="preserve">, and </w:t>
      </w:r>
      <w:r w:rsidRPr="00D64D5C">
        <w:rPr>
          <w:i/>
          <w:szCs w:val="16"/>
          <w:lang w:val="en-US"/>
        </w:rPr>
        <w:t>Case of Cruz Sánchez et al. v. Peru</w:t>
      </w:r>
      <w:r w:rsidRPr="00D64D5C">
        <w:rPr>
          <w:szCs w:val="16"/>
          <w:lang w:val="en-US"/>
        </w:rPr>
        <w:t>, para. 489.</w:t>
      </w:r>
    </w:p>
  </w:footnote>
  <w:footnote w:id="43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i/>
          <w:lang w:val="en-US"/>
        </w:rPr>
        <w:t>Case of Ibsen Cárdenas and Ibsen Peña v. Bolivia. Merits, reparations and costs</w:t>
      </w:r>
      <w:r w:rsidRPr="00D64D5C">
        <w:rPr>
          <w:lang w:val="en-US"/>
        </w:rPr>
        <w:t xml:space="preserve">. Judgment of September 1, 2010. </w:t>
      </w:r>
      <w:r w:rsidRPr="0051351F">
        <w:t>Series C No. 217, para. 291</w:t>
      </w:r>
      <w:r w:rsidRPr="0051351F">
        <w:rPr>
          <w:i/>
          <w:szCs w:val="16"/>
        </w:rPr>
        <w:t>, and Case of Veliz Franco et al. v. Guatemala</w:t>
      </w:r>
      <w:r w:rsidRPr="0051351F">
        <w:rPr>
          <w:rStyle w:val="Strong"/>
          <w:b w:val="0"/>
          <w:color w:val="000000"/>
          <w:shd w:val="clear" w:color="auto" w:fill="FFFFFF"/>
        </w:rPr>
        <w:t>,</w:t>
      </w:r>
      <w:r w:rsidRPr="0051351F">
        <w:rPr>
          <w:i/>
          <w:szCs w:val="16"/>
        </w:rPr>
        <w:t xml:space="preserve"> </w:t>
      </w:r>
      <w:r w:rsidRPr="0051351F">
        <w:rPr>
          <w:szCs w:val="16"/>
        </w:rPr>
        <w:t xml:space="preserve">para. </w:t>
      </w:r>
      <w:r w:rsidRPr="00D64D5C">
        <w:rPr>
          <w:szCs w:val="16"/>
          <w:lang w:val="en-US"/>
        </w:rPr>
        <w:t>307.</w:t>
      </w:r>
    </w:p>
  </w:footnote>
  <w:footnote w:id="43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Para. 191 of this Judgment.</w:t>
      </w:r>
    </w:p>
  </w:footnote>
  <w:footnote w:id="434">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bCs/>
          <w:i/>
          <w:szCs w:val="16"/>
          <w:lang w:val="en-US"/>
        </w:rPr>
        <w:t xml:space="preserve">Case of the “Five Pensioners” v. Peru. </w:t>
      </w:r>
      <w:r w:rsidRPr="00D64D5C">
        <w:rPr>
          <w:i/>
          <w:szCs w:val="16"/>
          <w:lang w:val="en-US"/>
        </w:rPr>
        <w:t>Merits, reparations and costs.</w:t>
      </w:r>
      <w:r w:rsidRPr="00D64D5C">
        <w:rPr>
          <w:szCs w:val="16"/>
          <w:lang w:val="en-US"/>
        </w:rPr>
        <w:t xml:space="preserve"> Judgment of February 28, 2003. </w:t>
      </w:r>
      <w:r w:rsidRPr="0051351F">
        <w:rPr>
          <w:szCs w:val="16"/>
        </w:rPr>
        <w:t>Series C No. 98, para. 147.</w:t>
      </w:r>
    </w:p>
  </w:footnote>
  <w:footnote w:id="43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rStyle w:val="Strong"/>
          <w:b w:val="0"/>
          <w:i/>
          <w:szCs w:val="16"/>
          <w:shd w:val="clear" w:color="auto" w:fill="FFFFFF"/>
        </w:rPr>
        <w:t xml:space="preserve">Case of Acevedo Buendía et al. </w:t>
      </w:r>
      <w:r w:rsidRPr="00D64D5C">
        <w:rPr>
          <w:rStyle w:val="Strong"/>
          <w:b w:val="0"/>
          <w:i/>
          <w:szCs w:val="16"/>
          <w:shd w:val="clear" w:color="auto" w:fill="FFFFFF"/>
          <w:lang w:val="en-US"/>
        </w:rPr>
        <w:t>(“Discharged and Retired Employees of the Comptroller’s Office”) v. Peru. Preliminary objection, Merits, reparations and costs</w:t>
      </w:r>
      <w:r w:rsidRPr="00D64D5C">
        <w:rPr>
          <w:rStyle w:val="Strong"/>
          <w:b w:val="0"/>
          <w:szCs w:val="16"/>
          <w:shd w:val="clear" w:color="auto" w:fill="FFFFFF"/>
          <w:lang w:val="en-US"/>
        </w:rPr>
        <w:t>. Judgment of July 1, 2009 Series C No. 198, para.  103.</w:t>
      </w:r>
    </w:p>
  </w:footnote>
  <w:footnote w:id="43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“[I]t is pertinent to observe that although Article 26 is found in Chapter III of the Convention, entitled ‘Economic, Social and Cultural Rights,’  it is also located in Part I of this instrument, entitled, “State Obligations and Rights Protected” and, consequently, it is subject to the general obligations contained in Articles 1(1) and 2 of Chapter I (entitled ‘General Obligations’), as are Articles 3 to 25 indicated in Chapter II (entitled ‘Civil and Political Rights).” </w:t>
      </w:r>
      <w:r w:rsidRPr="00D64D5C">
        <w:rPr>
          <w:rStyle w:val="Strong"/>
          <w:b w:val="0"/>
          <w:i/>
          <w:szCs w:val="16"/>
          <w:shd w:val="clear" w:color="auto" w:fill="FFFFFF"/>
          <w:lang w:val="en-US"/>
        </w:rPr>
        <w:t>Case of Acevedo Buendía et al. (“Discharged and Retired Employees of the Comptroller’s Officev. Peru</w:t>
      </w:r>
      <w:r w:rsidRPr="00D64D5C">
        <w:rPr>
          <w:rStyle w:val="Strong"/>
          <w:b w:val="0"/>
          <w:szCs w:val="16"/>
          <w:shd w:val="clear" w:color="auto" w:fill="FFFFFF"/>
          <w:lang w:val="en-US"/>
        </w:rPr>
        <w:t>, para. 100</w:t>
      </w:r>
      <w:r w:rsidRPr="00D64D5C">
        <w:rPr>
          <w:rStyle w:val="Strong"/>
          <w:szCs w:val="16"/>
          <w:shd w:val="clear" w:color="auto" w:fill="FFFFFF"/>
          <w:lang w:val="en-US"/>
        </w:rPr>
        <w:t>.</w:t>
      </w:r>
    </w:p>
  </w:footnote>
  <w:footnote w:id="43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szCs w:val="16"/>
          <w:lang w:val="en-US"/>
        </w:rPr>
        <w:t xml:space="preserve">Article 34( i) of the OAS Charter establishes among the “basic objectives of integral development” the “[p]rotection of man’s potential through </w:t>
      </w:r>
      <w:r w:rsidRPr="00D64D5C">
        <w:rPr>
          <w:rFonts w:cs="Arial"/>
          <w:szCs w:val="16"/>
          <w:u w:val="single"/>
          <w:lang w:val="en-US"/>
        </w:rPr>
        <w:t>the extension and application of modern medical science</w:t>
      </w:r>
      <w:r w:rsidRPr="00D64D5C">
        <w:rPr>
          <w:rFonts w:cs="Arial"/>
          <w:szCs w:val="16"/>
          <w:lang w:val="en-US"/>
        </w:rPr>
        <w:t xml:space="preserve">” (underlining added).  </w:t>
      </w:r>
    </w:p>
  </w:footnote>
  <w:footnote w:id="438">
    <w:p w:rsidR="0051351F" w:rsidRPr="00D64D5C" w:rsidRDefault="0051351F" w:rsidP="00FC14B8">
      <w:pPr>
        <w:pStyle w:val="FootnoteText"/>
        <w:tabs>
          <w:tab w:val="left" w:pos="540"/>
        </w:tabs>
        <w:spacing w:before="0" w:after="100"/>
        <w:rPr>
          <w:rFonts w:cs="Arial"/>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szCs w:val="16"/>
          <w:lang w:val="en-US"/>
        </w:rPr>
        <w:t xml:space="preserve">Article 45 of the OAS Charter stipulates: “The Member States </w:t>
      </w:r>
      <w:r w:rsidRPr="00D64D5C">
        <w:rPr>
          <w:rFonts w:cs="Arial"/>
          <w:szCs w:val="16"/>
          <w:lang w:val="en-US"/>
        </w:rPr>
        <w:sym w:font="Symbol" w:char="F05B"/>
      </w:r>
      <w:r w:rsidRPr="00D64D5C">
        <w:rPr>
          <w:rFonts w:cs="Arial"/>
          <w:szCs w:val="16"/>
          <w:lang w:val="en-US"/>
        </w:rPr>
        <w:t>…</w:t>
      </w:r>
      <w:r w:rsidRPr="00D64D5C">
        <w:rPr>
          <w:rFonts w:cs="Arial"/>
          <w:szCs w:val="16"/>
          <w:lang w:val="en-US"/>
        </w:rPr>
        <w:sym w:font="Symbol" w:char="F05D"/>
      </w:r>
      <w:r w:rsidRPr="00D64D5C">
        <w:rPr>
          <w:rFonts w:cs="Arial"/>
          <w:szCs w:val="16"/>
          <w:lang w:val="en-US"/>
        </w:rPr>
        <w:t xml:space="preserve"> </w:t>
      </w:r>
      <w:r w:rsidRPr="00D64D5C">
        <w:rPr>
          <w:rFonts w:cs="Tahoma"/>
          <w:lang w:val="en-US"/>
        </w:rPr>
        <w:t>agree to dedicate every effort to the application of the following principles and mechanisms: [..] (h) Development of an efficient social security policy.”</w:t>
      </w:r>
    </w:p>
  </w:footnote>
  <w:footnote w:id="439">
    <w:p w:rsidR="0051351F" w:rsidRPr="00D64D5C" w:rsidRDefault="0051351F" w:rsidP="00FC14B8">
      <w:pPr>
        <w:tabs>
          <w:tab w:val="left" w:pos="540"/>
        </w:tabs>
        <w:autoSpaceDE w:val="0"/>
        <w:autoSpaceDN w:val="0"/>
        <w:adjustRightInd w:val="0"/>
        <w:spacing w:after="100"/>
        <w:rPr>
          <w:rFonts w:eastAsia="Calibri" w:cs="MinionPro-Semibold"/>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171.</w:t>
      </w:r>
    </w:p>
  </w:footnote>
  <w:footnote w:id="440">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t>Víctor Abramovich, and Julieta Rossi, ‘</w:t>
      </w:r>
      <w:r w:rsidRPr="0051351F">
        <w:rPr>
          <w:i/>
          <w:szCs w:val="16"/>
        </w:rPr>
        <w:t>La Tutela de los Derechos Económicos, Sociales y Culturales en el Artículo 26 de la Convención Americana sobre Derechos Humanos’</w:t>
      </w:r>
      <w:r w:rsidRPr="0051351F">
        <w:rPr>
          <w:szCs w:val="16"/>
        </w:rPr>
        <w:t xml:space="preserve">, Estudios Socio-Jurídicos, Vol. 9, 2007, p. 37. </w:t>
      </w:r>
    </w:p>
  </w:footnote>
  <w:footnote w:id="44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For example, Article XI establishes that: “Every person has the right to the preservation of his heatlh through sanitary and social measures relating to food, clothing, housing and medical care, to the extent permitted by public and community resources.”</w:t>
      </w:r>
    </w:p>
  </w:footnote>
  <w:footnote w:id="442">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w:t>
      </w:r>
      <w:r w:rsidRPr="00D64D5C">
        <w:rPr>
          <w:caps/>
          <w:szCs w:val="16"/>
          <w:lang w:val="en-US"/>
        </w:rPr>
        <w:t>“[</w:t>
      </w:r>
      <w:r w:rsidRPr="00D64D5C">
        <w:rPr>
          <w:szCs w:val="16"/>
          <w:lang w:val="en-US"/>
        </w:rPr>
        <w:t xml:space="preserve">w]hen determining whether a rights is implicit in the Charter, it is necessary, in our opinion, to avoid the shortcut of appealing directly to the American Declaration as an instrument that forms the basis for the content of the human rights established in the Charter. [The foregoing, taking into account that] Article 26 refers to the rights derived from the economic, social, educational, scientific and cultural standards of the Charter and does not refer to the Declaration.” </w:t>
      </w:r>
      <w:r w:rsidRPr="0051351F">
        <w:rPr>
          <w:szCs w:val="16"/>
        </w:rPr>
        <w:t>Víctor Abramovich, and Julieta Rossi, ‘</w:t>
      </w:r>
      <w:r w:rsidRPr="0051351F">
        <w:rPr>
          <w:i/>
          <w:szCs w:val="16"/>
        </w:rPr>
        <w:t>La Tutela de los Derechos Económicos, Sociales y Culturales en el Artículo 26 de la Convención Americana sobre Derechos Humanos’</w:t>
      </w:r>
      <w:r w:rsidRPr="0051351F">
        <w:rPr>
          <w:szCs w:val="16"/>
        </w:rPr>
        <w:t>, Estudios Socio-Jurídicos, Vol. 9, 2007, p. 47.</w:t>
      </w:r>
    </w:p>
  </w:footnote>
  <w:footnote w:id="443">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Indeed, the reason why the judgment decided that there had not been a violation is that “considering that the analysis is not centered on some measure adoptaed by the State that hindered the progressive realization of the right to a pension, but on the State’s non-compliance with the payment ordered by the domestic ourts, the Court finds that the violated rights are those protected in Articles 25 and 21 of the Convention and does not find grounds to also declare non-compliance with Article 26 of this instrument.” </w:t>
      </w:r>
      <w:r w:rsidRPr="00D64D5C">
        <w:rPr>
          <w:rStyle w:val="Strong"/>
          <w:b w:val="0"/>
          <w:i/>
          <w:sz w:val="16"/>
          <w:szCs w:val="16"/>
          <w:shd w:val="clear" w:color="auto" w:fill="FFFFFF"/>
          <w:lang w:val="en-US"/>
        </w:rPr>
        <w:t>Case</w:t>
      </w:r>
      <w:r w:rsidRPr="00D64D5C">
        <w:rPr>
          <w:rStyle w:val="Strong"/>
          <w:i/>
          <w:sz w:val="16"/>
          <w:szCs w:val="16"/>
          <w:shd w:val="clear" w:color="auto" w:fill="FFFFFF"/>
          <w:lang w:val="en-US"/>
        </w:rPr>
        <w:t xml:space="preserve"> </w:t>
      </w:r>
      <w:r w:rsidRPr="00D64D5C">
        <w:rPr>
          <w:rStyle w:val="Strong"/>
          <w:b w:val="0"/>
          <w:i/>
          <w:sz w:val="16"/>
          <w:szCs w:val="16"/>
          <w:shd w:val="clear" w:color="auto" w:fill="FFFFFF"/>
          <w:lang w:val="en-US"/>
        </w:rPr>
        <w:t>of Acevedo Buendía et al. (“Discharged and Retired Employees of the Comptroller’s Officev. Peru</w:t>
      </w:r>
      <w:r w:rsidRPr="00D64D5C">
        <w:rPr>
          <w:rStyle w:val="Strong"/>
          <w:b w:val="0"/>
          <w:sz w:val="16"/>
          <w:szCs w:val="16"/>
          <w:shd w:val="clear" w:color="auto" w:fill="FFFFFF"/>
          <w:lang w:val="en-US"/>
        </w:rPr>
        <w:t>, para. 106.</w:t>
      </w:r>
    </w:p>
  </w:footnote>
  <w:footnote w:id="44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For example, Article 45(b) of the Charter establishies that: “</w:t>
      </w:r>
      <w:r w:rsidRPr="00D64D5C">
        <w:rPr>
          <w:rFonts w:cs="Tahoma"/>
          <w:lang w:val="en-US"/>
        </w:rPr>
        <w:t>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D64D5C">
        <w:rPr>
          <w:rFonts w:cs="Tahoma"/>
          <w:color w:val="000000"/>
          <w:szCs w:val="16"/>
          <w:lang w:val="en-US"/>
        </w:rPr>
        <w:t>.</w:t>
      </w:r>
      <w:r w:rsidRPr="00D64D5C">
        <w:rPr>
          <w:szCs w:val="16"/>
          <w:lang w:val="en-US"/>
        </w:rPr>
        <w:t>”</w:t>
      </w:r>
    </w:p>
  </w:footnote>
  <w:footnote w:id="445">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t xml:space="preserve">Inter-American Court of Human Rights, </w:t>
      </w:r>
      <w:r w:rsidRPr="0051351F">
        <w:rPr>
          <w:i/>
          <w:szCs w:val="16"/>
        </w:rPr>
        <w:t>Documentos Básicos en Materia de Derechos Humanos en el Sistema Interamericano (</w:t>
      </w:r>
      <w:r w:rsidRPr="009265EA">
        <w:rPr>
          <w:i/>
          <w:szCs w:val="16"/>
          <w:lang w:val="es-CO"/>
        </w:rPr>
        <w:t xml:space="preserve">Actualizado a febrero de </w:t>
      </w:r>
      <w:r w:rsidRPr="0051351F">
        <w:rPr>
          <w:i/>
          <w:szCs w:val="16"/>
        </w:rPr>
        <w:t xml:space="preserve">2012), </w:t>
      </w:r>
      <w:r w:rsidRPr="0051351F">
        <w:rPr>
          <w:szCs w:val="16"/>
        </w:rPr>
        <w:t xml:space="preserve">2012, pp 11. </w:t>
      </w:r>
    </w:p>
  </w:footnote>
  <w:footnote w:id="44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t xml:space="preserve">The following States have ratified the Protocol: Argentina, Bolivia, Brazil, Colombia, Costa Rica, Ecuador, El Salvador, Guatemala, Honduras, Mexico, Nicaragua, Panama, Paraguay, Peru, Suriname and Uruguay. </w:t>
      </w:r>
      <w:r w:rsidRPr="00D64D5C">
        <w:rPr>
          <w:szCs w:val="16"/>
          <w:lang w:val="en-US"/>
        </w:rPr>
        <w:t xml:space="preserve">Taken, on September 10, 2015, from: </w:t>
      </w:r>
      <w:hyperlink r:id="rId22" w:history="1">
        <w:r w:rsidRPr="00D64D5C">
          <w:rPr>
            <w:rStyle w:val="Hyperlink"/>
            <w:szCs w:val="16"/>
            <w:lang w:val="en-US"/>
          </w:rPr>
          <w:t>http://www.oas.org/juridico/spanish/firmas/a-52.html</w:t>
        </w:r>
      </w:hyperlink>
      <w:r w:rsidRPr="00D64D5C">
        <w:rPr>
          <w:szCs w:val="16"/>
          <w:lang w:val="en-US"/>
        </w:rPr>
        <w:t xml:space="preserve">. </w:t>
      </w:r>
    </w:p>
  </w:footnote>
  <w:footnote w:id="44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See, Definitionns of key terms used in the UN Treaty Collection. Consulted at:</w:t>
      </w:r>
      <w:r w:rsidRPr="00D64D5C">
        <w:rPr>
          <w:lang w:val="en-US"/>
        </w:rPr>
        <w:t xml:space="preserve"> </w:t>
      </w:r>
      <w:hyperlink r:id="rId23" w:history="1">
        <w:r w:rsidRPr="00D64D5C">
          <w:rPr>
            <w:rStyle w:val="Hyperlink"/>
            <w:szCs w:val="16"/>
            <w:lang w:val="en-US"/>
          </w:rPr>
          <w:t>https://treaties.un.org/Pages/Overview.aspx?path=overview/definition/page1_en.xml&amp;clang=_en</w:t>
        </w:r>
      </w:hyperlink>
      <w:r w:rsidRPr="00D64D5C">
        <w:rPr>
          <w:szCs w:val="16"/>
          <w:lang w:val="en-US"/>
        </w:rPr>
        <w:t>.</w:t>
      </w:r>
    </w:p>
  </w:footnote>
  <w:footnote w:id="448">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Para. 291 of this Judgment. .</w:t>
      </w:r>
    </w:p>
  </w:footnote>
  <w:footnote w:id="449">
    <w:p w:rsidR="0051351F" w:rsidRPr="00B31E31"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See, for example, </w:t>
      </w:r>
      <w:r w:rsidRPr="00D64D5C">
        <w:rPr>
          <w:i/>
          <w:szCs w:val="16"/>
          <w:lang w:val="en-US"/>
        </w:rPr>
        <w:t>Case of Artavia Murillo et al. (In vitro fertilization) v. Costa Rica. Preliminary objections, merits, reparations and costs</w:t>
      </w:r>
      <w:r w:rsidRPr="00D64D5C">
        <w:rPr>
          <w:szCs w:val="16"/>
          <w:lang w:val="en-US"/>
        </w:rPr>
        <w:t>. Judgment of November 28, 2012. Series C No. 257, para. 178</w:t>
      </w:r>
      <w:r w:rsidRPr="00D64D5C">
        <w:rPr>
          <w:rFonts w:cs="Univers"/>
          <w:szCs w:val="16"/>
          <w:lang w:val="en-US"/>
        </w:rPr>
        <w:t xml:space="preserve">, and </w:t>
      </w:r>
      <w:r w:rsidRPr="00D64D5C">
        <w:rPr>
          <w:i/>
          <w:szCs w:val="16"/>
          <w:lang w:val="en-US"/>
        </w:rPr>
        <w:t>Case of Mohamed v. Argentina. Preliminary objection, merits, reparations and costs</w:t>
      </w:r>
      <w:r w:rsidRPr="00D64D5C">
        <w:rPr>
          <w:szCs w:val="16"/>
          <w:lang w:val="en-US"/>
        </w:rPr>
        <w:t xml:space="preserve">. Judgment of Novermber 23, 2012. Series C No. 255, para. </w:t>
      </w:r>
      <w:r w:rsidRPr="00B31E31">
        <w:rPr>
          <w:szCs w:val="16"/>
          <w:lang w:val="en-US"/>
        </w:rPr>
        <w:t>93.</w:t>
      </w:r>
    </w:p>
  </w:footnote>
  <w:footnote w:id="450">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B31E31">
        <w:rPr>
          <w:szCs w:val="16"/>
          <w:lang w:val="en-US"/>
        </w:rPr>
        <w:t xml:space="preserve"> </w:t>
      </w:r>
      <w:r w:rsidRPr="00B31E31">
        <w:rPr>
          <w:szCs w:val="16"/>
          <w:lang w:val="en-US"/>
        </w:rPr>
        <w:tab/>
      </w:r>
      <w:r w:rsidRPr="00B31E31">
        <w:rPr>
          <w:i/>
          <w:szCs w:val="16"/>
          <w:lang w:val="en-US"/>
        </w:rPr>
        <w:t xml:space="preserve">Cf. Case of Artavia Murillo et al. </w:t>
      </w:r>
      <w:r w:rsidRPr="0051351F">
        <w:rPr>
          <w:i/>
          <w:szCs w:val="16"/>
        </w:rPr>
        <w:t>(In vitro fertilization) v. Costa Rica</w:t>
      </w:r>
      <w:r w:rsidRPr="0051351F">
        <w:rPr>
          <w:szCs w:val="16"/>
        </w:rPr>
        <w:t xml:space="preserve">, para. </w:t>
      </w:r>
      <w:r w:rsidRPr="00D64D5C">
        <w:rPr>
          <w:szCs w:val="16"/>
          <w:lang w:val="en-US"/>
        </w:rPr>
        <w:t xml:space="preserve">191, and </w:t>
      </w:r>
      <w:r w:rsidRPr="00D64D5C">
        <w:rPr>
          <w:i/>
          <w:szCs w:val="16"/>
          <w:lang w:val="en-US"/>
        </w:rPr>
        <w:t>Case of González et al. (“Cotton Field”) v. Mexico</w:t>
      </w:r>
      <w:r w:rsidRPr="00D64D5C">
        <w:rPr>
          <w:szCs w:val="16"/>
          <w:lang w:val="en-US"/>
        </w:rPr>
        <w:t xml:space="preserve">. </w:t>
      </w:r>
      <w:r w:rsidRPr="00D64D5C">
        <w:rPr>
          <w:i/>
          <w:szCs w:val="16"/>
          <w:lang w:val="en-US"/>
        </w:rPr>
        <w:t>Preliminary objection, Merits, reparations and costs.</w:t>
      </w:r>
      <w:r w:rsidRPr="00D64D5C">
        <w:rPr>
          <w:szCs w:val="16"/>
          <w:lang w:val="en-US"/>
        </w:rPr>
        <w:t xml:space="preserve"> Judgment of November 16, 2009. Series C No. 205, para. </w:t>
      </w:r>
      <w:r w:rsidRPr="0051351F">
        <w:rPr>
          <w:szCs w:val="16"/>
        </w:rPr>
        <w:t>43.</w:t>
      </w:r>
    </w:p>
  </w:footnote>
  <w:footnote w:id="451">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Cf. Case of Artavia Murillo et al. (In vitro fertilization) v. Costa Rica</w:t>
      </w:r>
      <w:r w:rsidRPr="0051351F">
        <w:rPr>
          <w:szCs w:val="16"/>
        </w:rPr>
        <w:t>, paras. 191 a 244.</w:t>
      </w:r>
    </w:p>
  </w:footnote>
  <w:footnote w:id="452">
    <w:p w:rsidR="0051351F" w:rsidRPr="00D64D5C" w:rsidRDefault="0051351F" w:rsidP="00FC14B8">
      <w:pPr>
        <w:pStyle w:val="FootnoteText"/>
        <w:tabs>
          <w:tab w:val="left" w:pos="540"/>
        </w:tabs>
        <w:spacing w:before="0" w:after="100"/>
        <w:rPr>
          <w:rStyle w:val="Strong"/>
          <w:b w:val="0"/>
          <w:color w:val="000000"/>
          <w:szCs w:val="16"/>
          <w:lang w:val="en-US"/>
        </w:rPr>
      </w:pPr>
      <w:r w:rsidRPr="00D64D5C">
        <w:rPr>
          <w:rStyle w:val="FootnoteReference"/>
          <w:szCs w:val="16"/>
          <w:lang w:val="en-US"/>
        </w:rPr>
        <w:footnoteRef/>
      </w:r>
      <w:r w:rsidRPr="0051351F">
        <w:rPr>
          <w:szCs w:val="16"/>
        </w:rPr>
        <w:t xml:space="preserve"> </w:t>
      </w:r>
      <w:r w:rsidRPr="0051351F">
        <w:rPr>
          <w:szCs w:val="16"/>
        </w:rPr>
        <w:tab/>
      </w:r>
      <w:r w:rsidRPr="0051351F">
        <w:rPr>
          <w:i/>
          <w:szCs w:val="16"/>
        </w:rPr>
        <w:t>Case of Artavia Murillo et al. (In vitro fertilization) v. Costa Rica</w:t>
      </w:r>
      <w:r w:rsidRPr="0051351F">
        <w:rPr>
          <w:szCs w:val="16"/>
        </w:rPr>
        <w:t xml:space="preserve">, para. </w:t>
      </w:r>
      <w:r w:rsidRPr="00D64D5C">
        <w:rPr>
          <w:szCs w:val="16"/>
          <w:lang w:val="en-US"/>
        </w:rPr>
        <w:t xml:space="preserve">245, and </w:t>
      </w:r>
      <w:r w:rsidRPr="00D64D5C">
        <w:rPr>
          <w:rStyle w:val="Strong"/>
          <w:b w:val="0"/>
          <w:i/>
          <w:color w:val="000000"/>
          <w:szCs w:val="16"/>
          <w:lang w:val="en-US"/>
        </w:rPr>
        <w:t>The Right to Information on Consular Assistance within the Framework of the Guarantees of Due Process of Law</w:t>
      </w:r>
      <w:r w:rsidRPr="00D64D5C">
        <w:rPr>
          <w:rStyle w:val="Strong"/>
          <w:b w:val="0"/>
          <w:color w:val="000000"/>
          <w:szCs w:val="16"/>
          <w:lang w:val="en-US"/>
        </w:rPr>
        <w:t>. Advisory Opinion OC-16/99 of October 1, 1999. Series A No. 16, para. 114.</w:t>
      </w:r>
    </w:p>
  </w:footnote>
  <w:footnote w:id="453">
    <w:p w:rsidR="0051351F" w:rsidRPr="00D64D5C" w:rsidRDefault="0051351F" w:rsidP="00FC14B8">
      <w:pPr>
        <w:tabs>
          <w:tab w:val="left" w:pos="540"/>
        </w:tabs>
        <w:autoSpaceDE w:val="0"/>
        <w:autoSpaceDN w:val="0"/>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170.</w:t>
      </w:r>
    </w:p>
  </w:footnote>
  <w:footnote w:id="454">
    <w:p w:rsidR="0051351F" w:rsidRPr="00D64D5C" w:rsidRDefault="0051351F" w:rsidP="00FC14B8">
      <w:pPr>
        <w:tabs>
          <w:tab w:val="left" w:pos="540"/>
        </w:tabs>
        <w:autoSpaceDE w:val="0"/>
        <w:autoSpaceDN w:val="0"/>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Oswaldo Ruiz Chiriboga, </w:t>
      </w:r>
      <w:r w:rsidRPr="00D64D5C">
        <w:rPr>
          <w:rFonts w:eastAsia="Calibri" w:cs="MinionPro-Semibold"/>
          <w:sz w:val="16"/>
          <w:szCs w:val="16"/>
          <w:lang w:val="en-US"/>
        </w:rPr>
        <w:t xml:space="preserve">The American Convention and the Protocol of San Salvador: Two Intertwined Treaties, </w:t>
      </w:r>
      <w:r w:rsidRPr="00D64D5C">
        <w:rPr>
          <w:rFonts w:eastAsia="Calibri" w:cs="MinionPro-Regular"/>
          <w:sz w:val="16"/>
          <w:szCs w:val="16"/>
          <w:lang w:val="en-US"/>
        </w:rPr>
        <w:t>Non-Enforceability of Economic, Social and Cultural Rights in the Inter-American System, Netherlands Quarterly of Human Rights, Vol. 31/2 (2013), p. 170.</w:t>
      </w:r>
    </w:p>
  </w:footnote>
  <w:footnote w:id="45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51351F">
        <w:rPr>
          <w:szCs w:val="16"/>
        </w:rPr>
        <w:t xml:space="preserve"> </w:t>
      </w:r>
      <w:r w:rsidRPr="0051351F">
        <w:rPr>
          <w:szCs w:val="16"/>
        </w:rPr>
        <w:tab/>
        <w:t xml:space="preserve">Juan Carlos Upegui Mejía, </w:t>
      </w:r>
      <w:r w:rsidRPr="0051351F">
        <w:rPr>
          <w:i/>
          <w:iCs/>
          <w:szCs w:val="16"/>
        </w:rPr>
        <w:t>Diálogos Judiciales en el Sistema Interamericano de Garantía de los Derechos Humanos</w:t>
      </w:r>
      <w:r w:rsidRPr="0051351F">
        <w:rPr>
          <w:szCs w:val="16"/>
        </w:rPr>
        <w:t xml:space="preserve">. </w:t>
      </w:r>
      <w:r w:rsidRPr="00D64D5C">
        <w:rPr>
          <w:szCs w:val="16"/>
          <w:lang w:val="en-US"/>
        </w:rPr>
        <w:t xml:space="preserve">Barcelona, España, February 26, 2015. Available at </w:t>
      </w:r>
      <w:hyperlink w:history="1">
        <w:r w:rsidRPr="00D64D5C">
          <w:rPr>
            <w:rStyle w:val="Hyperlink"/>
            <w:szCs w:val="16"/>
            <w:lang w:val="en-US"/>
          </w:rPr>
          <w:t>https://www.youtube.com /watch?v=7cAls8PSzmo&amp;feature=youtu.be</w:t>
        </w:r>
      </w:hyperlink>
    </w:p>
  </w:footnote>
  <w:footnote w:id="45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Case of Vélez Loor v. Panamá. Preliminary objections, merits, reparations and costs</w:t>
      </w:r>
      <w:r w:rsidRPr="00D64D5C">
        <w:rPr>
          <w:szCs w:val="16"/>
          <w:lang w:val="en-US"/>
        </w:rPr>
        <w:t>. Judgment of November 23, 2010. Series C No. 218, para. 34.</w:t>
      </w:r>
    </w:p>
  </w:footnote>
  <w:footnote w:id="45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 Similarly see: </w:t>
      </w:r>
      <w:r w:rsidRPr="00D64D5C">
        <w:rPr>
          <w:bCs/>
          <w:i/>
          <w:szCs w:val="16"/>
          <w:lang w:val="en-US"/>
        </w:rPr>
        <w:t xml:space="preserve">Case of González et al. (“Cotton Field”) v. Mexico. </w:t>
      </w:r>
      <w:r w:rsidRPr="00D64D5C">
        <w:rPr>
          <w:i/>
          <w:szCs w:val="16"/>
          <w:lang w:val="en-US"/>
        </w:rPr>
        <w:t>Preliminary objection, Merits, reparations and costs</w:t>
      </w:r>
      <w:r w:rsidRPr="00D64D5C">
        <w:rPr>
          <w:szCs w:val="16"/>
          <w:lang w:val="en-US"/>
        </w:rPr>
        <w:t>. Judgment of November 16, 2009. Series C No. 205, para. 79.</w:t>
      </w:r>
    </w:p>
  </w:footnote>
  <w:footnote w:id="458">
    <w:p w:rsidR="0051351F" w:rsidRPr="00D64D5C" w:rsidRDefault="0051351F" w:rsidP="00FC14B8">
      <w:pPr>
        <w:tabs>
          <w:tab w:val="left" w:pos="540"/>
          <w:tab w:val="left" w:pos="709"/>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Similarly, during the public hearing in this case, expert witness Courtis stated that: “Conceptually, [he had …] no objection [to the interpretation of the right to health by means of the right to physical integrity, because] rights [are] indivisible, interdependent, and of equal rank.” </w:t>
      </w:r>
    </w:p>
  </w:footnote>
  <w:footnote w:id="45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James L. Cavallaro and Emily Schaffer. Rejoinder: Justice before Justiciability: Inter-American Litigation and Social Change, New York University Journal of International Law and Politics, Vol. 39, Issue 2 (Winter 2006), p. 365.</w:t>
      </w:r>
    </w:p>
  </w:footnote>
  <w:footnote w:id="460">
    <w:p w:rsidR="0051351F" w:rsidRPr="00D64D5C" w:rsidRDefault="0051351F" w:rsidP="00FC14B8">
      <w:pPr>
        <w:pStyle w:val="FootnoteText"/>
        <w:tabs>
          <w:tab w:val="left" w:pos="540"/>
        </w:tabs>
        <w:spacing w:before="0" w:after="100"/>
        <w:rPr>
          <w:lang w:val="en-US"/>
        </w:rPr>
      </w:pPr>
      <w:r w:rsidRPr="00D64D5C">
        <w:rPr>
          <w:rStyle w:val="FootnoteReference"/>
          <w:szCs w:val="16"/>
          <w:lang w:val="en-US"/>
        </w:rPr>
        <w:footnoteRef/>
      </w:r>
      <w:r w:rsidRPr="0051351F">
        <w:rPr>
          <w:szCs w:val="16"/>
        </w:rPr>
        <w:t xml:space="preserve"> </w:t>
      </w:r>
      <w:r w:rsidRPr="0051351F">
        <w:rPr>
          <w:szCs w:val="16"/>
        </w:rPr>
        <w:tab/>
        <w:t>In this regard, see: “</w:t>
      </w:r>
      <w:r w:rsidRPr="0051351F">
        <w:rPr>
          <w:i/>
          <w:szCs w:val="16"/>
        </w:rPr>
        <w:t>Sin lugar para la soberanía popular. Democracia, derechos and castigo en el caso Gelman</w:t>
      </w:r>
      <w:r w:rsidRPr="0051351F">
        <w:rPr>
          <w:szCs w:val="16"/>
        </w:rPr>
        <w:t xml:space="preserve">. </w:t>
      </w:r>
      <w:r w:rsidRPr="00D64D5C">
        <w:rPr>
          <w:szCs w:val="16"/>
          <w:lang w:val="en-US"/>
        </w:rPr>
        <w:t>Roberto Gargarella (2012).</w:t>
      </w:r>
    </w:p>
  </w:footnote>
  <w:footnote w:id="46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In the draft considered by the Specialized Conference at which the Convention was adopted, this was entitled “Protected rights,” and included the article relating to the progressive development of economic, social and cultural rights.</w:t>
      </w:r>
    </w:p>
  </w:footnote>
  <w:footnote w:id="46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Article 31 of the American Convention on Human Rights. </w:t>
      </w:r>
    </w:p>
  </w:footnote>
  <w:footnote w:id="463">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Supplementary means may also be used “to determine the meaning when the interpretation according to article 31: (a) leaves the meaning ambiguous or obscure; or (b) leads to a result which is manifestly absurd or unreasonable,” although that is not the case here.</w:t>
      </w:r>
    </w:p>
  </w:footnote>
  <w:footnote w:id="46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 xml:space="preserve">Right to organize trade unions, and also national and international federations and confederations, and freedom to choose whether or not to join a trade union. </w:t>
      </w:r>
    </w:p>
  </w:footnote>
  <w:footnote w:id="465">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ab/>
        <w:t>Right to education.</w:t>
      </w:r>
    </w:p>
  </w:footnote>
  <w:footnote w:id="466">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See, for example, </w:t>
      </w:r>
      <w:r w:rsidRPr="00D64D5C">
        <w:rPr>
          <w:i/>
          <w:szCs w:val="16"/>
          <w:lang w:val="en-US"/>
        </w:rPr>
        <w:t xml:space="preserve">Case of Atala Riffo and daughters v. Chile. Merits, reparations and costs. </w:t>
      </w:r>
      <w:r w:rsidRPr="00D64D5C">
        <w:rPr>
          <w:szCs w:val="16"/>
          <w:lang w:val="en-US"/>
        </w:rPr>
        <w:t>Judgment of February 24, 2012. Series C No. 239, para. 91.</w:t>
      </w:r>
    </w:p>
  </w:footnote>
  <w:footnote w:id="467">
    <w:p w:rsidR="0051351F" w:rsidRPr="00D64D5C" w:rsidRDefault="0051351F" w:rsidP="00FC14B8">
      <w:pPr>
        <w:pStyle w:val="FootnoteText"/>
        <w:tabs>
          <w:tab w:val="left" w:pos="540"/>
        </w:tabs>
        <w:spacing w:before="0" w:after="100"/>
        <w:rPr>
          <w:szCs w:val="16"/>
          <w:lang w:val="en-US"/>
        </w:rPr>
      </w:pPr>
      <w:r w:rsidRPr="00D64D5C">
        <w:rPr>
          <w:rStyle w:val="FootnoteReference"/>
          <w:lang w:val="en-US"/>
        </w:rPr>
        <w:footnoteRef/>
      </w:r>
      <w:r w:rsidRPr="00D64D5C">
        <w:rPr>
          <w:lang w:val="en-US"/>
        </w:rPr>
        <w:t xml:space="preserve"> </w:t>
      </w:r>
      <w:r w:rsidRPr="00D64D5C">
        <w:rPr>
          <w:lang w:val="en-US"/>
        </w:rPr>
        <w:tab/>
        <w:t xml:space="preserve">Proceedings of the Inter-American Specialized Conference on Human Rights, </w:t>
      </w:r>
      <w:r w:rsidRPr="00D64D5C">
        <w:rPr>
          <w:szCs w:val="16"/>
          <w:lang w:val="en-US"/>
        </w:rPr>
        <w:t>November 7 to 22, 1969, OEA/Ser.K/XVI/1.2, p. 37.</w:t>
      </w:r>
    </w:p>
  </w:footnote>
  <w:footnote w:id="468">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ab/>
        <w:t>Proceedings of the Inter-American Specialized Conference on Human Rights</w:t>
      </w:r>
      <w:r w:rsidRPr="00D64D5C">
        <w:rPr>
          <w:szCs w:val="16"/>
          <w:lang w:val="en-US"/>
        </w:rPr>
        <w:t>, November 7 to 22, 1969, OEA/Ser.K/XVI/1.2, pp. 42 and 43.</w:t>
      </w:r>
    </w:p>
  </w:footnote>
  <w:footnote w:id="469">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47.</w:t>
      </w:r>
    </w:p>
  </w:footnote>
  <w:footnote w:id="470">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69 and 70.</w:t>
      </w:r>
    </w:p>
  </w:footnote>
  <w:footnote w:id="471">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101.</w:t>
      </w:r>
    </w:p>
  </w:footnote>
  <w:footnote w:id="472">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115 and 116.</w:t>
      </w:r>
    </w:p>
  </w:footnote>
  <w:footnote w:id="473">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pp. 124 and 125.</w:t>
      </w:r>
    </w:p>
  </w:footnote>
  <w:footnote w:id="474">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318.</w:t>
      </w:r>
    </w:p>
  </w:footnote>
  <w:footnote w:id="475">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szCs w:val="16"/>
          <w:lang w:val="en-US"/>
        </w:rPr>
        <w:t>Proceedings of the Inter-American Specialized Conference on Human Rights, November 7 to 22, 1969, OEA/Ser.K/XVI/1.2, p. 448.</w:t>
      </w:r>
    </w:p>
  </w:footnote>
  <w:footnote w:id="476">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proofErr w:type="gramStart"/>
      <w:r w:rsidRPr="00D64D5C">
        <w:rPr>
          <w:rFonts w:eastAsia="Calibri" w:cs="Verdana"/>
          <w:noProof w:val="0"/>
          <w:szCs w:val="16"/>
          <w:lang w:val="en-US"/>
        </w:rPr>
        <w:t>Adopted in San Salvador, El Salvador, on November 17, 1988, at the eighteenth General Assembly of the Organization of American States (“OAS”), entering into force on November 16, 1999.</w:t>
      </w:r>
      <w:proofErr w:type="gramEnd"/>
      <w:r w:rsidRPr="00D64D5C">
        <w:rPr>
          <w:rFonts w:eastAsia="Calibri" w:cs="Verdana"/>
          <w:noProof w:val="0"/>
          <w:szCs w:val="16"/>
          <w:lang w:val="en-US"/>
        </w:rPr>
        <w:t xml:space="preserve"> </w:t>
      </w:r>
      <w:r w:rsidRPr="00B31E31">
        <w:rPr>
          <w:rFonts w:eastAsia="Calibri" w:cs="Verdana"/>
          <w:noProof w:val="0"/>
          <w:szCs w:val="16"/>
          <w:lang w:val="es-CR"/>
        </w:rPr>
        <w:t>To date, this Protocol is in force in 16 countries: Argentina, Bolivia, Brazil, Colombia, Costa Rica, Ecuador, El Salvador, Guatemala, Honduras, Mexico, Nicaragua, Panama, Paraguay, Peru, Suriname and Uruguay.</w:t>
      </w:r>
    </w:p>
  </w:footnote>
  <w:footnote w:id="477">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lang w:val="en-US"/>
        </w:rPr>
        <w:t>The Third Contentious Administrative District Court declared the application for constitutional protection inadmissible considering that “there [was] a conflict of interests, between the individual rights and guarantees of [Talía] in relation to the interests of a group of students, a conflict that mean[t] that the societal or collective interests, such as the right to life</w:t>
      </w:r>
      <w:r>
        <w:rPr>
          <w:rFonts w:cs="Arial"/>
          <w:lang w:val="en-US"/>
        </w:rPr>
        <w:t>,</w:t>
      </w:r>
      <w:r w:rsidRPr="00D64D5C">
        <w:rPr>
          <w:rFonts w:cs="Arial"/>
          <w:lang w:val="en-US"/>
        </w:rPr>
        <w:t xml:space="preserve"> outweighed the right to education.” </w:t>
      </w:r>
      <w:r w:rsidRPr="00D64D5C">
        <w:rPr>
          <w:rFonts w:cs="Arial"/>
          <w:i/>
          <w:lang w:val="en-US"/>
        </w:rPr>
        <w:t>Cf.</w:t>
      </w:r>
      <w:r w:rsidRPr="00D64D5C">
        <w:rPr>
          <w:rFonts w:cs="Arial"/>
          <w:lang w:val="en-US"/>
        </w:rPr>
        <w:t xml:space="preserve"> para. 141 of this Judgment.</w:t>
      </w:r>
    </w:p>
  </w:footnote>
  <w:footnote w:id="478">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Para. 144 of this Judgment.</w:t>
      </w:r>
    </w:p>
  </w:footnote>
  <w:footnote w:id="479">
    <w:p w:rsidR="0051351F" w:rsidRPr="00D64D5C" w:rsidRDefault="0051351F" w:rsidP="00FC14B8">
      <w:pPr>
        <w:widowControl w:val="0"/>
        <w:tabs>
          <w:tab w:val="left" w:pos="540"/>
        </w:tabs>
        <w:autoSpaceDE w:val="0"/>
        <w:autoSpaceDN w:val="0"/>
        <w:adjustRightInd w:val="0"/>
        <w:spacing w:after="60"/>
        <w:rPr>
          <w:rFonts w:ascii="Times" w:eastAsia="Calibri" w:hAnsi="Times"/>
          <w:noProof w:val="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w:t>
      </w:r>
      <w:r w:rsidRPr="00D64D5C">
        <w:rPr>
          <w:rFonts w:eastAsia="Calibri" w:cs="Verdana"/>
          <w:bCs/>
          <w:noProof w:val="0"/>
          <w:sz w:val="16"/>
          <w:szCs w:val="16"/>
          <w:lang w:val="en-US"/>
        </w:rPr>
        <w:t>Article 13: Right to education:</w:t>
      </w:r>
    </w:p>
    <w:p w:rsidR="0051351F" w:rsidRPr="00D64D5C" w:rsidRDefault="0051351F" w:rsidP="00D64D5C">
      <w:pPr>
        <w:widowControl w:val="0"/>
        <w:tabs>
          <w:tab w:val="left" w:pos="540"/>
        </w:tabs>
        <w:autoSpaceDE w:val="0"/>
        <w:autoSpaceDN w:val="0"/>
        <w:adjustRightInd w:val="0"/>
        <w:spacing w:after="60"/>
        <w:ind w:left="270"/>
        <w:rPr>
          <w:rFonts w:ascii="Times" w:eastAsia="Calibri" w:hAnsi="Times"/>
          <w:noProof w:val="0"/>
          <w:sz w:val="16"/>
          <w:szCs w:val="16"/>
          <w:lang w:val="en-US"/>
        </w:rPr>
      </w:pPr>
      <w:r w:rsidRPr="00D64D5C">
        <w:rPr>
          <w:rFonts w:eastAsia="Calibri" w:cs="Verdana"/>
          <w:noProof w:val="0"/>
          <w:sz w:val="16"/>
          <w:szCs w:val="16"/>
          <w:lang w:val="en-US"/>
        </w:rPr>
        <w:t xml:space="preserve">1.    </w:t>
      </w:r>
      <w:r w:rsidRPr="00D64D5C">
        <w:rPr>
          <w:rFonts w:eastAsia="Calibri" w:cs="Verdana"/>
          <w:noProof w:val="0"/>
          <w:sz w:val="16"/>
          <w:szCs w:val="16"/>
          <w:lang w:val="en-US"/>
        </w:rPr>
        <w:tab/>
        <w:t>Everyone has the right to education.</w:t>
      </w:r>
    </w:p>
    <w:p w:rsidR="0051351F" w:rsidRPr="00D64D5C" w:rsidRDefault="0051351F" w:rsidP="00D64D5C">
      <w:pPr>
        <w:tabs>
          <w:tab w:val="left" w:pos="540"/>
        </w:tabs>
        <w:spacing w:after="60"/>
        <w:ind w:left="270" w:right="270"/>
        <w:rPr>
          <w:sz w:val="16"/>
          <w:szCs w:val="16"/>
          <w:lang w:val="en-US"/>
        </w:rPr>
      </w:pPr>
      <w:r w:rsidRPr="00D64D5C">
        <w:rPr>
          <w:rFonts w:cs="Tahoma"/>
          <w:sz w:val="16"/>
          <w:szCs w:val="16"/>
          <w:lang w:val="en-US"/>
        </w:rPr>
        <w:t xml:space="preserve">2. </w:t>
      </w:r>
      <w:r w:rsidRPr="00D64D5C">
        <w:rPr>
          <w:rFonts w:cs="Tahoma"/>
          <w:sz w:val="16"/>
          <w:szCs w:val="16"/>
          <w:lang w:val="en-US"/>
        </w:rPr>
        <w:tab/>
        <w:t>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p>
    <w:p w:rsidR="0051351F" w:rsidRPr="00D64D5C" w:rsidRDefault="0051351F" w:rsidP="00D64D5C">
      <w:pPr>
        <w:widowControl w:val="0"/>
        <w:tabs>
          <w:tab w:val="left" w:pos="540"/>
        </w:tabs>
        <w:autoSpaceDE w:val="0"/>
        <w:autoSpaceDN w:val="0"/>
        <w:adjustRightInd w:val="0"/>
        <w:spacing w:after="60"/>
        <w:ind w:left="270" w:right="270"/>
        <w:rPr>
          <w:rFonts w:eastAsia="Calibri" w:cs="Verdana"/>
          <w:noProof w:val="0"/>
          <w:sz w:val="16"/>
          <w:szCs w:val="16"/>
          <w:lang w:val="en-US"/>
        </w:rPr>
      </w:pPr>
      <w:r w:rsidRPr="00D64D5C">
        <w:rPr>
          <w:rFonts w:cs="Tahoma"/>
          <w:sz w:val="16"/>
          <w:szCs w:val="16"/>
          <w:lang w:val="en-US"/>
        </w:rPr>
        <w:t xml:space="preserve">3. </w:t>
      </w:r>
      <w:r w:rsidRPr="00D64D5C">
        <w:rPr>
          <w:rFonts w:cs="Tahoma"/>
          <w:sz w:val="16"/>
          <w:szCs w:val="16"/>
          <w:lang w:val="en-US"/>
        </w:rPr>
        <w:tab/>
        <w:t>The States Parties to this Protocol recognize that in order to achieve the full exercise of the right to education</w:t>
      </w:r>
      <w:r w:rsidRPr="00D64D5C">
        <w:rPr>
          <w:rFonts w:eastAsia="Calibri" w:cs="Verdana"/>
          <w:noProof w:val="0"/>
          <w:sz w:val="16"/>
          <w:szCs w:val="16"/>
          <w:lang w:val="en-US"/>
        </w:rPr>
        <w:t>:</w:t>
      </w:r>
    </w:p>
    <w:p w:rsidR="0051351F" w:rsidRPr="00D64D5C" w:rsidRDefault="0051351F" w:rsidP="00D64D5C">
      <w:pPr>
        <w:tabs>
          <w:tab w:val="left" w:pos="540"/>
        </w:tabs>
        <w:spacing w:after="60"/>
        <w:ind w:left="540" w:right="270"/>
        <w:rPr>
          <w:sz w:val="16"/>
          <w:szCs w:val="16"/>
          <w:lang w:val="en-US"/>
        </w:rPr>
      </w:pPr>
      <w:r w:rsidRPr="00D64D5C">
        <w:rPr>
          <w:rFonts w:cs="Tahoma"/>
          <w:sz w:val="16"/>
          <w:szCs w:val="16"/>
          <w:lang w:val="en-US"/>
        </w:rPr>
        <w:t>a. Primary education should be compulsory and accessible to all without cost;</w:t>
      </w:r>
    </w:p>
    <w:p w:rsidR="0051351F" w:rsidRPr="00D64D5C" w:rsidRDefault="0051351F" w:rsidP="00D64D5C">
      <w:pPr>
        <w:tabs>
          <w:tab w:val="left" w:pos="540"/>
        </w:tabs>
        <w:spacing w:after="60"/>
        <w:ind w:left="540" w:right="270"/>
        <w:rPr>
          <w:sz w:val="16"/>
          <w:szCs w:val="16"/>
          <w:lang w:val="en-US"/>
        </w:rPr>
      </w:pPr>
      <w:r w:rsidRPr="00D64D5C">
        <w:rPr>
          <w:rFonts w:cs="Tahoma"/>
          <w:sz w:val="16"/>
          <w:szCs w:val="16"/>
          <w:lang w:val="en-US"/>
        </w:rPr>
        <w:t>b. Secondary education in its different forms, including technical and vocational secondary education, should be made generally available and accessible to all by every appropriate means, and in particular, by the progressive introduction of free education;</w:t>
      </w:r>
    </w:p>
    <w:p w:rsidR="0051351F" w:rsidRPr="00D64D5C" w:rsidRDefault="0051351F" w:rsidP="00D64D5C">
      <w:pPr>
        <w:tabs>
          <w:tab w:val="left" w:pos="540"/>
        </w:tabs>
        <w:spacing w:after="60"/>
        <w:ind w:left="540" w:right="270"/>
        <w:rPr>
          <w:sz w:val="16"/>
          <w:szCs w:val="16"/>
          <w:lang w:val="en-US"/>
        </w:rPr>
      </w:pPr>
      <w:r w:rsidRPr="00D64D5C">
        <w:rPr>
          <w:rFonts w:cs="Tahoma"/>
          <w:sz w:val="16"/>
          <w:szCs w:val="16"/>
          <w:lang w:val="en-US"/>
        </w:rPr>
        <w:t>c. Higher education should be made equally accessible to all, on the basis of individual capacity, by every appropriate means, and in particular, by the progressive introduction of free education;</w:t>
      </w:r>
    </w:p>
    <w:p w:rsidR="0051351F" w:rsidRPr="00D64D5C" w:rsidRDefault="0051351F" w:rsidP="00D64D5C">
      <w:pPr>
        <w:tabs>
          <w:tab w:val="left" w:pos="540"/>
        </w:tabs>
        <w:spacing w:after="60"/>
        <w:ind w:left="540" w:right="270"/>
        <w:rPr>
          <w:sz w:val="16"/>
          <w:szCs w:val="16"/>
          <w:lang w:val="en-US"/>
        </w:rPr>
      </w:pPr>
      <w:r w:rsidRPr="00D64D5C">
        <w:rPr>
          <w:rFonts w:cs="Tahoma"/>
          <w:sz w:val="16"/>
          <w:szCs w:val="16"/>
          <w:lang w:val="en-US"/>
        </w:rPr>
        <w:t>d. Basic education should be encouraged or intensified as far as possible for those persons who have not received or completed the whole cycle of primary instruction;</w:t>
      </w:r>
    </w:p>
    <w:p w:rsidR="0051351F" w:rsidRPr="00D64D5C" w:rsidRDefault="0051351F" w:rsidP="00D64D5C">
      <w:pPr>
        <w:tabs>
          <w:tab w:val="left" w:pos="540"/>
        </w:tabs>
        <w:spacing w:after="60"/>
        <w:ind w:left="540" w:right="270"/>
        <w:rPr>
          <w:sz w:val="16"/>
          <w:szCs w:val="16"/>
          <w:lang w:val="en-US"/>
        </w:rPr>
      </w:pPr>
      <w:r w:rsidRPr="00D64D5C">
        <w:rPr>
          <w:rFonts w:cs="Tahoma"/>
          <w:sz w:val="16"/>
          <w:szCs w:val="16"/>
          <w:lang w:val="en-US"/>
        </w:rPr>
        <w:t>e. Programs of special education should be established for the handicapped, so as to provide special instruction and training to persons with physical disabilities or mental deficiencies.</w:t>
      </w:r>
    </w:p>
    <w:p w:rsidR="0051351F" w:rsidRPr="00D64D5C" w:rsidRDefault="0051351F" w:rsidP="00D64D5C">
      <w:pPr>
        <w:tabs>
          <w:tab w:val="left" w:pos="540"/>
        </w:tabs>
        <w:spacing w:after="60"/>
        <w:ind w:left="270" w:right="270"/>
        <w:rPr>
          <w:sz w:val="16"/>
          <w:szCs w:val="16"/>
          <w:lang w:val="en-US"/>
        </w:rPr>
      </w:pPr>
      <w:r w:rsidRPr="00D64D5C">
        <w:rPr>
          <w:rFonts w:cs="Tahoma"/>
          <w:sz w:val="16"/>
          <w:szCs w:val="16"/>
          <w:lang w:val="en-US"/>
        </w:rPr>
        <w:t xml:space="preserve">4. </w:t>
      </w:r>
      <w:r w:rsidRPr="00D64D5C">
        <w:rPr>
          <w:rFonts w:cs="Tahoma"/>
          <w:sz w:val="16"/>
          <w:szCs w:val="16"/>
          <w:lang w:val="en-US"/>
        </w:rPr>
        <w:tab/>
        <w:t>In conformity with the domestic legislation of the States Parties, parents should have the right to select the type of education to be given to their children, provided that it conforms to the principles set forth above.</w:t>
      </w:r>
    </w:p>
    <w:p w:rsidR="0051351F" w:rsidRPr="00D64D5C" w:rsidRDefault="0051351F" w:rsidP="00D64D5C">
      <w:pPr>
        <w:tabs>
          <w:tab w:val="left" w:pos="540"/>
        </w:tabs>
        <w:spacing w:after="60"/>
        <w:ind w:left="270" w:right="270"/>
        <w:rPr>
          <w:sz w:val="16"/>
          <w:szCs w:val="16"/>
          <w:lang w:val="en-US"/>
        </w:rPr>
      </w:pPr>
      <w:r w:rsidRPr="00D64D5C">
        <w:rPr>
          <w:rFonts w:cs="Tahoma"/>
          <w:sz w:val="16"/>
          <w:szCs w:val="16"/>
          <w:lang w:val="en-US"/>
        </w:rPr>
        <w:t xml:space="preserve">5. </w:t>
      </w:r>
      <w:r w:rsidRPr="00D64D5C">
        <w:rPr>
          <w:rFonts w:cs="Tahoma"/>
          <w:sz w:val="16"/>
          <w:szCs w:val="16"/>
          <w:lang w:val="en-US"/>
        </w:rPr>
        <w:tab/>
        <w:t>Nothing in this Protocol shall be interpreted as a restriction of the freedom of individuals and entities to establish and direct educational institutions in accordance with the domestic legislation of the States Parties</w:t>
      </w:r>
      <w:r w:rsidRPr="00D64D5C">
        <w:rPr>
          <w:sz w:val="16"/>
          <w:szCs w:val="16"/>
          <w:lang w:val="en-US"/>
        </w:rPr>
        <w:t>.”</w:t>
      </w:r>
    </w:p>
  </w:footnote>
  <w:footnote w:id="48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Pr>
          <w:szCs w:val="16"/>
          <w:lang w:val="en-US"/>
        </w:rPr>
        <w:t xml:space="preserve">United Nations </w:t>
      </w:r>
      <w:r w:rsidRPr="00D64D5C">
        <w:rPr>
          <w:szCs w:val="16"/>
          <w:lang w:val="en-US"/>
        </w:rPr>
        <w:t>Committee on Economic, Social and Cultural Rights. General comment No. 20, E/C.12/GC/20 of 2 July 2009, para. 17.</w:t>
      </w:r>
    </w:p>
  </w:footnote>
  <w:footnote w:id="481">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Inter-American Convention on Protecting the Human Rights of Older Persons, adopted by the OAS General Assembly on June 15, 2015</w:t>
      </w:r>
      <w:r>
        <w:rPr>
          <w:szCs w:val="16"/>
          <w:lang w:val="en-US"/>
        </w:rPr>
        <w:t>, a</w:t>
      </w:r>
      <w:r w:rsidRPr="00D64D5C">
        <w:rPr>
          <w:szCs w:val="16"/>
          <w:lang w:val="en-US"/>
        </w:rPr>
        <w:t xml:space="preserve">rticle 2. </w:t>
      </w:r>
    </w:p>
  </w:footnote>
  <w:footnote w:id="48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Pr>
          <w:szCs w:val="16"/>
          <w:lang w:val="en-US"/>
        </w:rPr>
        <w:t xml:space="preserve"> </w:t>
      </w:r>
      <w:r>
        <w:rPr>
          <w:szCs w:val="16"/>
          <w:lang w:val="en-US"/>
        </w:rPr>
        <w:tab/>
        <w:t>For furth</w:t>
      </w:r>
      <w:r w:rsidRPr="00D64D5C">
        <w:rPr>
          <w:szCs w:val="16"/>
          <w:lang w:val="en-US"/>
        </w:rPr>
        <w:t>er development of</w:t>
      </w:r>
      <w:r>
        <w:rPr>
          <w:szCs w:val="16"/>
          <w:lang w:val="en-US"/>
        </w:rPr>
        <w:t xml:space="preserve"> the legal doctrine on this</w:t>
      </w:r>
      <w:r w:rsidRPr="00D64D5C">
        <w:rPr>
          <w:szCs w:val="16"/>
          <w:lang w:val="en-US"/>
        </w:rPr>
        <w:t xml:space="preserve"> issue, see: Aylward, Carol, “Intersectionality: Crossing the Theoretical and Praxis Divide,” </w:t>
      </w:r>
      <w:r w:rsidRPr="00D64D5C">
        <w:rPr>
          <w:i/>
          <w:szCs w:val="16"/>
          <w:lang w:val="en-US"/>
        </w:rPr>
        <w:t>Journal of Critical Race Inquiry</w:t>
      </w:r>
      <w:r w:rsidRPr="00D64D5C">
        <w:rPr>
          <w:szCs w:val="16"/>
          <w:lang w:val="en-US"/>
        </w:rPr>
        <w:t>, Vol 1, No 1; and Góngora Mera, Manuel Eduardo, “</w:t>
      </w:r>
      <w:r w:rsidRPr="00D64D5C">
        <w:rPr>
          <w:i/>
          <w:szCs w:val="16"/>
          <w:lang w:val="en-US"/>
        </w:rPr>
        <w:t>Derecho a la salud and discriminación interseccional: Una perspectiva judicial de experiencias latinoamericanas</w:t>
      </w:r>
      <w:r w:rsidRPr="00D64D5C">
        <w:rPr>
          <w:szCs w:val="16"/>
          <w:lang w:val="en-US"/>
        </w:rPr>
        <w:t xml:space="preserve">,” in Clérico, Laura, Ronconi, Liliana, and Aldao, Martín (eds.): </w:t>
      </w:r>
      <w:r w:rsidRPr="00D64D5C">
        <w:rPr>
          <w:i/>
          <w:szCs w:val="16"/>
          <w:lang w:val="en-US"/>
        </w:rPr>
        <w:t>Tratado de Derecho a la Salud</w:t>
      </w:r>
      <w:r w:rsidRPr="00D64D5C">
        <w:rPr>
          <w:szCs w:val="16"/>
          <w:lang w:val="en-US"/>
        </w:rPr>
        <w:t>, Buenos Aires, Abeledo Perrot, 2013, pp. 133-159.</w:t>
      </w:r>
    </w:p>
  </w:footnote>
  <w:footnote w:id="483">
    <w:p w:rsidR="0051351F" w:rsidRPr="00D64D5C" w:rsidRDefault="0051351F" w:rsidP="00FC14B8">
      <w:pPr>
        <w:tabs>
          <w:tab w:val="left" w:pos="540"/>
        </w:tabs>
        <w:spacing w:after="100"/>
        <w:rPr>
          <w:kern w:val="2"/>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General Assembly of the United Nations.</w:t>
      </w:r>
      <w:r w:rsidRPr="00D64D5C">
        <w:rPr>
          <w:kern w:val="2"/>
          <w:sz w:val="16"/>
          <w:szCs w:val="16"/>
          <w:lang w:val="en-US"/>
        </w:rPr>
        <w:t xml:space="preserve"> World Conference Against Racism, Racial Discrimination, Xenophobia and Related Intolerance. </w:t>
      </w:r>
      <w:r w:rsidRPr="00D64D5C">
        <w:rPr>
          <w:sz w:val="16"/>
          <w:szCs w:val="16"/>
          <w:lang w:val="en-US"/>
        </w:rPr>
        <w:t xml:space="preserve">“The idea of ‘intersectionality’ seeks to capture both the structural and dynamic consequences of the interaction between two or more forms of discrimination or systems of subordination.” “Whatever the type of intersectional discrimination, the consequence is that different forms of discrimination are more often than not experienced simultaneously by marginalized women.”  A/CONF.189/PC.3/5 of 27 July 2001, paras. 23 and 32. In this regard, the CEDAW Committee has recognized that “discrimination against women based on sex and gender is inextricably linked to other factos that affect women, such as race, ethnicity, religion or belief, health, status, age, class, caste, and sexual orientation and gender identity.” United Nations Committee for the Elimination of Discrimination against Women. </w:t>
      </w:r>
      <w:r w:rsidRPr="0051351F">
        <w:rPr>
          <w:sz w:val="16"/>
          <w:szCs w:val="16"/>
        </w:rPr>
        <w:t xml:space="preserve">Views. </w:t>
      </w:r>
      <w:r w:rsidRPr="0051351F">
        <w:rPr>
          <w:i/>
          <w:sz w:val="16"/>
          <w:szCs w:val="16"/>
        </w:rPr>
        <w:t>Comunication No. 17/2008, Alyne da Silva Pimentel Teixeira v. Brazil</w:t>
      </w:r>
      <w:r w:rsidRPr="0051351F">
        <w:rPr>
          <w:sz w:val="16"/>
          <w:szCs w:val="16"/>
        </w:rPr>
        <w:t xml:space="preserve">. </w:t>
      </w:r>
      <w:r w:rsidRPr="00D64D5C">
        <w:rPr>
          <w:sz w:val="16"/>
          <w:szCs w:val="16"/>
          <w:lang w:val="en-US"/>
        </w:rPr>
        <w:t xml:space="preserve">CEDAW/C/49/D/17/2008 of 27 September 2011, para. 7.7. </w:t>
      </w:r>
    </w:p>
  </w:footnote>
  <w:footnote w:id="484">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szCs w:val="16"/>
          <w:shd w:val="clear" w:color="auto" w:fill="FFFFFF"/>
          <w:lang w:val="en-US"/>
        </w:rPr>
        <w:t>Case of Suárez Peralta v. Ecuador. Preliminary objections, merits, reparations and costs</w:t>
      </w:r>
      <w:r w:rsidRPr="00D64D5C">
        <w:rPr>
          <w:rStyle w:val="Strong"/>
          <w:b w:val="0"/>
          <w:szCs w:val="16"/>
          <w:shd w:val="clear" w:color="auto" w:fill="FFFFFF"/>
          <w:lang w:val="en-US"/>
        </w:rPr>
        <w:t>. Judgment of May 21, 2013. Series C No. 261.</w:t>
      </w:r>
    </w:p>
  </w:footnote>
  <w:footnote w:id="485">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Paras. 193 to 197 of the</w:t>
      </w:r>
      <w:r w:rsidRPr="00D64D5C">
        <w:rPr>
          <w:lang w:val="en-US"/>
        </w:rPr>
        <w:t xml:space="preserve"> Judgment.</w:t>
      </w:r>
    </w:p>
  </w:footnote>
  <w:footnote w:id="486">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 198 of the</w:t>
      </w:r>
      <w:r w:rsidRPr="00D64D5C">
        <w:rPr>
          <w:lang w:val="en-US"/>
        </w:rPr>
        <w:t xml:space="preserve"> Judgment.</w:t>
      </w:r>
    </w:p>
  </w:footnote>
  <w:footnote w:id="487">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 174 of the</w:t>
      </w:r>
      <w:r w:rsidRPr="00D64D5C">
        <w:rPr>
          <w:lang w:val="en-US"/>
        </w:rPr>
        <w:t xml:space="preserve"> Judgment.</w:t>
      </w:r>
    </w:p>
  </w:footnote>
  <w:footnote w:id="488">
    <w:p w:rsidR="0051351F" w:rsidRPr="00D64D5C" w:rsidRDefault="0051351F" w:rsidP="00FC14B8">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sidRPr="00D64D5C">
        <w:rPr>
          <w:lang w:val="en-US"/>
        </w:rPr>
        <w:t>Paras.</w:t>
      </w:r>
      <w:r>
        <w:rPr>
          <w:lang w:val="en-US"/>
        </w:rPr>
        <w:t xml:space="preserve"> 198 and 199 of the</w:t>
      </w:r>
      <w:r w:rsidRPr="00D64D5C">
        <w:rPr>
          <w:lang w:val="en-US"/>
        </w:rPr>
        <w:t xml:space="preserve"> Judgment.</w:t>
      </w:r>
    </w:p>
  </w:footnote>
  <w:footnote w:id="48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lang w:val="en-US"/>
        </w:rPr>
        <w:t xml:space="preserve"> </w:t>
      </w:r>
      <w:r w:rsidRPr="00D64D5C">
        <w:rPr>
          <w:i/>
          <w:szCs w:val="16"/>
          <w:lang w:val="en-US"/>
        </w:rPr>
        <w:t xml:space="preserve">Case of </w:t>
      </w:r>
      <w:r w:rsidRPr="00D64D5C">
        <w:rPr>
          <w:bCs/>
          <w:i/>
          <w:szCs w:val="16"/>
          <w:lang w:val="en-US"/>
        </w:rPr>
        <w:t xml:space="preserve">Acevedo Buendía et al. (“Discharged and Retired Employees from the </w:t>
      </w:r>
      <w:r>
        <w:rPr>
          <w:bCs/>
          <w:i/>
          <w:szCs w:val="16"/>
          <w:lang w:val="en-US"/>
        </w:rPr>
        <w:t>Comptroller’s Office</w:t>
      </w:r>
      <w:r w:rsidRPr="00D64D5C">
        <w:rPr>
          <w:bCs/>
          <w:i/>
          <w:szCs w:val="16"/>
          <w:lang w:val="en-US"/>
        </w:rPr>
        <w:t xml:space="preserve">”) v. Peru. </w:t>
      </w:r>
      <w:r w:rsidRPr="00D64D5C">
        <w:rPr>
          <w:i/>
          <w:szCs w:val="16"/>
          <w:lang w:val="en-US"/>
        </w:rPr>
        <w:t xml:space="preserve">Preliminary objection, merits, reparations and costs. </w:t>
      </w:r>
      <w:r w:rsidRPr="00D64D5C">
        <w:rPr>
          <w:szCs w:val="16"/>
          <w:lang w:val="en-US"/>
        </w:rPr>
        <w:t>Judgment of July 1, 2009. Series C No. 198,</w:t>
      </w:r>
      <w:r w:rsidRPr="00D64D5C">
        <w:rPr>
          <w:i/>
          <w:szCs w:val="16"/>
          <w:lang w:val="en-US"/>
        </w:rPr>
        <w:t xml:space="preserve">  </w:t>
      </w:r>
      <w:r w:rsidRPr="00D64D5C">
        <w:rPr>
          <w:bCs/>
          <w:szCs w:val="16"/>
          <w:lang w:val="en-US"/>
        </w:rPr>
        <w:t>para. 16: “</w:t>
      </w:r>
      <w:r w:rsidRPr="00D64D5C">
        <w:rPr>
          <w:szCs w:val="16"/>
          <w:lang w:val="en-US"/>
        </w:rPr>
        <w:t>the Court has previously indicated that the broad terms in which the Convention is written indicate that the Court exercises full jurisdiction over all its articles and provisions,” and,</w:t>
      </w:r>
      <w:r>
        <w:rPr>
          <w:szCs w:val="16"/>
          <w:lang w:val="en-US"/>
        </w:rPr>
        <w:t xml:space="preserve"> </w:t>
      </w:r>
      <w:r w:rsidRPr="00D64D5C">
        <w:rPr>
          <w:szCs w:val="16"/>
          <w:lang w:val="en-US"/>
        </w:rPr>
        <w:t xml:space="preserve">thus, </w:t>
      </w:r>
      <w:r>
        <w:rPr>
          <w:szCs w:val="16"/>
          <w:lang w:val="en-US"/>
        </w:rPr>
        <w:t xml:space="preserve">it </w:t>
      </w:r>
      <w:r w:rsidRPr="00D64D5C">
        <w:rPr>
          <w:szCs w:val="16"/>
          <w:lang w:val="en-US"/>
        </w:rPr>
        <w:t>decided to examine the merits of the matter and reject the preliminary objection filed by the State, precisely with regard to the Court’s supposed lack of competence with regard to Article 26 of the American Convention.</w:t>
      </w:r>
    </w:p>
  </w:footnote>
  <w:footnote w:id="490">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Joint Concurring Opinion of Judges Roberto F. Caldas and Eduardo Ferrer Mac-Gregor Poisot. </w:t>
      </w:r>
      <w:r w:rsidRPr="00D64D5C">
        <w:rPr>
          <w:i/>
          <w:szCs w:val="16"/>
          <w:lang w:val="en-US"/>
        </w:rPr>
        <w:t>Case of Canales Huapaya et al. v. Peru. Preliminary objections, merits, reparations and costs</w:t>
      </w:r>
      <w:r w:rsidRPr="00D64D5C">
        <w:rPr>
          <w:szCs w:val="16"/>
          <w:lang w:val="en-US"/>
        </w:rPr>
        <w:t>. Judgment of June 24, 2015, especially paras. 26 to 29. In this opinion, we gave examples related to Protocols Additional to the European Convention on Human Rights and to the International Covenant on Civil and Political Rights.</w:t>
      </w:r>
    </w:p>
  </w:footnote>
  <w:footnote w:id="491">
    <w:p w:rsidR="0051351F" w:rsidRPr="00D64D5C" w:rsidRDefault="0051351F" w:rsidP="00FC14B8">
      <w:pPr>
        <w:pStyle w:val="FootnoteText"/>
        <w:tabs>
          <w:tab w:val="left" w:pos="540"/>
        </w:tabs>
        <w:spacing w:before="0" w:after="100"/>
        <w:rPr>
          <w:szCs w:val="16"/>
          <w:lang w:val="en-US"/>
        </w:rPr>
      </w:pPr>
      <w:r w:rsidRPr="00D64D5C">
        <w:rPr>
          <w:rStyle w:val="FootnoteReference"/>
          <w:lang w:val="en-US"/>
        </w:rPr>
        <w:footnoteRef/>
      </w:r>
      <w:r w:rsidRPr="00D64D5C">
        <w:rPr>
          <w:lang w:val="en-US"/>
        </w:rPr>
        <w:t xml:space="preserve"> </w:t>
      </w:r>
      <w:r w:rsidRPr="00D64D5C">
        <w:rPr>
          <w:lang w:val="en-US"/>
        </w:rPr>
        <w:tab/>
        <w:t xml:space="preserve">Concurring Opinion of Judge Eduardo Ferrer Mac-Gregor Poisot in the </w:t>
      </w:r>
      <w:r w:rsidRPr="00D64D5C">
        <w:rPr>
          <w:i/>
          <w:lang w:val="en-US"/>
        </w:rPr>
        <w:t>Case of Suárez Peralta v. Ecuador</w:t>
      </w:r>
      <w:r w:rsidRPr="00D64D5C">
        <w:rPr>
          <w:lang w:val="en-US"/>
        </w:rPr>
        <w:t xml:space="preserve">. </w:t>
      </w:r>
      <w:r w:rsidRPr="00D64D5C">
        <w:rPr>
          <w:rStyle w:val="Strong"/>
          <w:b w:val="0"/>
          <w:i/>
          <w:szCs w:val="16"/>
          <w:shd w:val="clear" w:color="auto" w:fill="FFFFFF"/>
          <w:lang w:val="en-US"/>
        </w:rPr>
        <w:t>Preliminary objections, merits, reparations and costs</w:t>
      </w:r>
      <w:r w:rsidRPr="00D64D5C">
        <w:rPr>
          <w:rStyle w:val="Strong"/>
          <w:b w:val="0"/>
          <w:szCs w:val="16"/>
          <w:shd w:val="clear" w:color="auto" w:fill="FFFFFF"/>
          <w:lang w:val="en-US"/>
        </w:rPr>
        <w:t>. Judgment of May 21, 2013. Series C No. 261.</w:t>
      </w:r>
    </w:p>
  </w:footnote>
  <w:footnote w:id="492">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Acevedo Buendía et al. (“Discharged and Retired Employees of the Comptroller’s Office”) v. Peru, supra, </w:t>
      </w:r>
      <w:r w:rsidRPr="00D64D5C">
        <w:rPr>
          <w:szCs w:val="16"/>
          <w:lang w:val="en-US"/>
        </w:rPr>
        <w:t>para. 100.</w:t>
      </w:r>
    </w:p>
  </w:footnote>
  <w:footnote w:id="493">
    <w:p w:rsidR="0051351F" w:rsidRPr="0051351F" w:rsidRDefault="0051351F" w:rsidP="00FC14B8">
      <w:pPr>
        <w:tabs>
          <w:tab w:val="left" w:pos="540"/>
          <w:tab w:val="left" w:pos="709"/>
          <w:tab w:val="left" w:pos="9356"/>
        </w:tabs>
        <w:spacing w:after="100"/>
        <w:ind w:right="4"/>
        <w:rPr>
          <w:sz w:val="16"/>
          <w:szCs w:val="16"/>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The evolutive interpretation of Article 26 of the American Convention is also based on the constitutional norms and the practice of the highest national courts, especially with regard to the justiciability of the “right to health”; as we tried to show in paras. 73 to 87 of the </w:t>
      </w:r>
      <w:r w:rsidRPr="004F3AAF">
        <w:rPr>
          <w:sz w:val="16"/>
          <w:szCs w:val="16"/>
          <w:lang w:val="en-US"/>
        </w:rPr>
        <w:t>Concurring Opinion</w:t>
      </w:r>
      <w:r w:rsidRPr="00D64D5C">
        <w:rPr>
          <w:sz w:val="16"/>
          <w:szCs w:val="16"/>
          <w:lang w:val="en-US"/>
        </w:rPr>
        <w:t xml:space="preserve"> in the </w:t>
      </w:r>
      <w:r w:rsidRPr="00D64D5C">
        <w:rPr>
          <w:i/>
          <w:sz w:val="16"/>
          <w:szCs w:val="16"/>
          <w:lang w:val="en-US"/>
        </w:rPr>
        <w:t>Case of Suárez Peralta v. Ecuador</w:t>
      </w:r>
      <w:r w:rsidRPr="00D64D5C">
        <w:rPr>
          <w:sz w:val="16"/>
          <w:szCs w:val="16"/>
          <w:lang w:val="en-US"/>
        </w:rPr>
        <w:t>. Regarding judicial practice to protect the right to health in different countries across the globe, see: Yamin, Alicia Ely and Gloppen, Siri (coords.)</w:t>
      </w:r>
      <w:r w:rsidRPr="00D64D5C">
        <w:rPr>
          <w:i/>
          <w:sz w:val="16"/>
          <w:szCs w:val="16"/>
          <w:lang w:val="en-US"/>
        </w:rPr>
        <w:t xml:space="preserve"> </w:t>
      </w:r>
      <w:r w:rsidRPr="0051351F">
        <w:rPr>
          <w:i/>
          <w:sz w:val="16"/>
          <w:szCs w:val="16"/>
        </w:rPr>
        <w:t>La lucha por los derechos de la salud. ¿Puede la justicia ser una herramienta de cambio?</w:t>
      </w:r>
      <w:r w:rsidRPr="0051351F">
        <w:rPr>
          <w:sz w:val="16"/>
          <w:szCs w:val="16"/>
        </w:rPr>
        <w:t>, Buenos Aires, Siglo XXI, 2013.</w:t>
      </w:r>
    </w:p>
  </w:footnote>
  <w:footnote w:id="494">
    <w:p w:rsidR="0051351F" w:rsidRPr="00D64D5C" w:rsidRDefault="0051351F" w:rsidP="00FC14B8">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Paras. 172 and 173 of the Judgment that prompts this Opinion recall “the interdependence and indivisibility that exists between civil and political rights and economic, social and cultural rights, because they should be understood as a whole as human rights, without any order of precedence, and enforceable in all cases before the competent authorities.” In addition, the judgment cites numerous norms related to the right to health: “Article XI of the American Declaration of the Rights and Duties of Man es</w:t>
      </w:r>
      <w:r>
        <w:rPr>
          <w:sz w:val="16"/>
          <w:szCs w:val="16"/>
          <w:lang w:val="en-US"/>
        </w:rPr>
        <w:t>tablishes</w:t>
      </w:r>
      <w:r w:rsidRPr="00D64D5C">
        <w:rPr>
          <w:sz w:val="16"/>
          <w:szCs w:val="16"/>
          <w:lang w:val="en-US"/>
        </w:rPr>
        <w:t xml:space="preserve"> that “every person has the right to the preservation of his health through sanitary and social measures relating to […] medical care, to the extent permitted by public and community resources.” Meanwhile, Article 45 of the OAS Charter requires Member States to “dedicate every effort […] to [the] development of an efficient social security policy.” Similarly, Article 10 of the Additional Protocol to</w:t>
      </w:r>
      <w:r w:rsidRPr="00D64D5C">
        <w:rPr>
          <w:rFonts w:cs="Verdana"/>
          <w:sz w:val="16"/>
          <w:szCs w:val="16"/>
          <w:lang w:val="en-US"/>
        </w:rPr>
        <w:t xml:space="preserve"> the American Convention on Human Rights in the Area of Economic, Social and Cultural Rights, ratified by Ecuador on March 25, 1993, […] establishes that everyone has the right to health, understood to mean the enjoyment of the highest level of physical, mental and social well-being, and indicates that health is a public right. </w:t>
      </w:r>
      <w:r w:rsidRPr="00D64D5C">
        <w:rPr>
          <w:sz w:val="16"/>
          <w:szCs w:val="16"/>
          <w:lang w:val="en-US"/>
        </w:rPr>
        <w:t xml:space="preserve">In addition, in July 2012, the General Assembly of the Organization of American States emphasized the quality of health care establishments, good and services, which require the presence of skilled medical personnel, and adequate sanitation.” See, OAS, Progress Indicators in respect of Rights contemplated in the Protocol of </w:t>
      </w:r>
      <w:r w:rsidRPr="00D64D5C">
        <w:rPr>
          <w:iCs/>
          <w:sz w:val="16"/>
          <w:szCs w:val="16"/>
          <w:lang w:val="en-US"/>
        </w:rPr>
        <w:t>San Salvador</w:t>
      </w:r>
      <w:r w:rsidRPr="00D64D5C">
        <w:rPr>
          <w:sz w:val="16"/>
          <w:szCs w:val="16"/>
          <w:lang w:val="en-US"/>
        </w:rPr>
        <w:t xml:space="preserve">, OEA/Ser.L/XXV.2.1, Doc 2/11 rev.2, December 16, 2011, paras. 66 and 67. The judgment even considers the essential elements of the right to health in relation to the </w:t>
      </w:r>
      <w:r w:rsidRPr="00D64D5C">
        <w:rPr>
          <w:i/>
          <w:sz w:val="16"/>
          <w:szCs w:val="16"/>
          <w:lang w:val="en-US"/>
        </w:rPr>
        <w:t>availability, accessibility, acceptability and quality</w:t>
      </w:r>
      <w:r w:rsidRPr="00D64D5C">
        <w:rPr>
          <w:sz w:val="16"/>
          <w:szCs w:val="16"/>
          <w:lang w:val="en-US"/>
        </w:rPr>
        <w:t xml:space="preserve"> referred to by</w:t>
      </w:r>
      <w:r>
        <w:rPr>
          <w:sz w:val="16"/>
          <w:szCs w:val="16"/>
          <w:lang w:val="en-US"/>
        </w:rPr>
        <w:t xml:space="preserve"> the United Nations Committee on</w:t>
      </w:r>
      <w:r w:rsidRPr="00D64D5C">
        <w:rPr>
          <w:sz w:val="16"/>
          <w:szCs w:val="16"/>
          <w:lang w:val="en-US"/>
        </w:rPr>
        <w:t xml:space="preserve"> the International Covenant on Economic, Social and Cultural Rights (</w:t>
      </w:r>
      <w:r w:rsidRPr="00D64D5C">
        <w:rPr>
          <w:i/>
          <w:sz w:val="16"/>
          <w:szCs w:val="16"/>
          <w:lang w:val="en-US"/>
        </w:rPr>
        <w:t>General comment No. 14</w:t>
      </w:r>
      <w:r w:rsidRPr="00D64D5C">
        <w:rPr>
          <w:sz w:val="16"/>
          <w:szCs w:val="16"/>
          <w:lang w:val="en-US"/>
        </w:rPr>
        <w:t>) in para. 173 of the judgment that prompts this Opinion.</w:t>
      </w:r>
    </w:p>
  </w:footnote>
  <w:footnote w:id="495">
    <w:p w:rsidR="0051351F" w:rsidRPr="0051351F" w:rsidRDefault="0051351F" w:rsidP="00FC14B8">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see: von Bogdandy, Armin, Fix-Fierro, Héctor, Morales Antoniazzi, Mariela and Ferrer Mac-Gregor, Eduardo (coords.), </w:t>
      </w:r>
      <w:r w:rsidRPr="00D64D5C">
        <w:rPr>
          <w:i/>
          <w:szCs w:val="16"/>
          <w:lang w:val="en-US"/>
        </w:rPr>
        <w:t xml:space="preserve">Construcción y papel de los derechos sociales fundamentales. </w:t>
      </w:r>
      <w:r w:rsidRPr="0051351F">
        <w:rPr>
          <w:i/>
          <w:szCs w:val="16"/>
        </w:rPr>
        <w:t xml:space="preserve">Hacia </w:t>
      </w:r>
      <w:r w:rsidRPr="0051351F">
        <w:rPr>
          <w:szCs w:val="16"/>
        </w:rPr>
        <w:t>un Ius Constitutionale Commune</w:t>
      </w:r>
      <w:r w:rsidRPr="0051351F">
        <w:rPr>
          <w:i/>
          <w:szCs w:val="16"/>
        </w:rPr>
        <w:t xml:space="preserve"> en América Latina</w:t>
      </w:r>
      <w:r w:rsidRPr="0051351F">
        <w:rPr>
          <w:szCs w:val="16"/>
        </w:rPr>
        <w:t>, Mexico, UNAM-IIJ-Instituto Iberoamericano de Derecho Constitucional-Max-Planck-Institut für ausländisches öffentiliches Recht und Völkerrecht, 2011.</w:t>
      </w:r>
    </w:p>
  </w:footnote>
  <w:footnote w:id="496">
    <w:p w:rsidR="0051351F" w:rsidRPr="00D64D5C" w:rsidRDefault="0051351F" w:rsidP="00FC14B8">
      <w:pPr>
        <w:pStyle w:val="FootnoteText"/>
        <w:tabs>
          <w:tab w:val="left" w:pos="540"/>
          <w:tab w:val="left" w:pos="709"/>
          <w:tab w:val="left" w:pos="9356"/>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Acevedo Buendía et al. (“Discharged and Retired Employees of the Comptroller’s Office”) v. Peru, supra</w:t>
      </w:r>
      <w:r w:rsidRPr="00D64D5C">
        <w:rPr>
          <w:szCs w:val="16"/>
          <w:lang w:val="en-US"/>
        </w:rPr>
        <w:t>, paras. 99-103.</w:t>
      </w:r>
    </w:p>
  </w:footnote>
  <w:footnote w:id="497">
    <w:p w:rsidR="0051351F" w:rsidRPr="005A0643"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Protocol </w:t>
      </w:r>
      <w:r w:rsidRPr="005A0643">
        <w:rPr>
          <w:szCs w:val="16"/>
          <w:lang w:val="en-US"/>
        </w:rPr>
        <w:t xml:space="preserve">Additional to the International Covenant on Economic, Social and Cultural Rights, signed by Ecuador. </w:t>
      </w:r>
    </w:p>
  </w:footnote>
  <w:footnote w:id="498">
    <w:p w:rsidR="0051351F" w:rsidRPr="005A0643" w:rsidRDefault="0051351F" w:rsidP="005A0643">
      <w:pPr>
        <w:tabs>
          <w:tab w:val="left" w:pos="540"/>
        </w:tabs>
        <w:spacing w:after="100"/>
        <w:rPr>
          <w:rFonts w:eastAsia="Arial Unicode MS"/>
          <w:sz w:val="16"/>
          <w:szCs w:val="16"/>
          <w:lang w:val="en-US"/>
        </w:rPr>
      </w:pPr>
      <w:r w:rsidRPr="005A0643">
        <w:rPr>
          <w:rStyle w:val="FootnoteReference"/>
          <w:sz w:val="16"/>
          <w:szCs w:val="16"/>
          <w:lang w:val="en-US"/>
        </w:rPr>
        <w:footnoteRef/>
      </w:r>
      <w:r w:rsidRPr="005A0643">
        <w:rPr>
          <w:sz w:val="16"/>
          <w:szCs w:val="16"/>
          <w:lang w:val="en-US"/>
        </w:rPr>
        <w:t xml:space="preserve"> </w:t>
      </w:r>
      <w:r w:rsidRPr="005A0643">
        <w:rPr>
          <w:sz w:val="16"/>
          <w:szCs w:val="16"/>
          <w:lang w:val="en-US"/>
        </w:rPr>
        <w:tab/>
        <w:t xml:space="preserve">Article 36. System of individual petitions. </w:t>
      </w:r>
      <w:r w:rsidRPr="005A0643">
        <w:rPr>
          <w:rFonts w:eastAsia="Arial Unicode MS"/>
          <w:sz w:val="16"/>
          <w:szCs w:val="16"/>
          <w:lang w:val="en-US"/>
        </w:rPr>
        <w:t xml:space="preserve">Any person or group of persons, or nongovernmental entity legally recognized in one or more member states of the Organization of American States may submit to the Inter-American Commission on Human Rights petitions containing reports or complaints of violations of the provisions contained in this Convention by a State Party. / In implementing the provisions of this article, consideration shall be given to the progressive nature of the observance of the economic, social and cultural rights protected under this Convention. / In addition, any State Party, when depositing its instrument of ratification of, or accession to, this Convention, or at any time thereafter, may declare that it recognizes the competence of the Inter-American Commission on Human Rights to receive and examine communications in which a State Party alleges that another State Party has committed violations of the human rights established in this Convention. In such an instance, all the relevant procedural rules contained in the American Convention on Human Rights shall be applicable. / […] / Any State Party may, when depositing its instrument of ratification of, or accession to, this Convention, or at any time thereafter, declare that it recognizes as binding, </w:t>
      </w:r>
      <w:r w:rsidRPr="005A0643">
        <w:rPr>
          <w:rFonts w:eastAsia="Arial Unicode MS"/>
          <w:i/>
          <w:sz w:val="16"/>
          <w:szCs w:val="16"/>
          <w:lang w:val="en-US"/>
        </w:rPr>
        <w:t>ipso jure</w:t>
      </w:r>
      <w:r w:rsidRPr="005A0643">
        <w:rPr>
          <w:rFonts w:eastAsia="Arial Unicode MS"/>
          <w:sz w:val="16"/>
          <w:szCs w:val="16"/>
          <w:lang w:val="en-US"/>
        </w:rPr>
        <w:t xml:space="preserve"> and without any special agreement, the jurisdiction of the Inter-American Court of Human Rights on all matters relating to the interpretation or application of this Convention. In such an instance, all relevant procedural rules contained in the American Convention on Human Rights shall be applicable.</w:t>
      </w:r>
      <w:r w:rsidRPr="00D64D5C">
        <w:rPr>
          <w:rFonts w:eastAsia="Arial Unicode MS"/>
          <w:sz w:val="16"/>
          <w:szCs w:val="16"/>
          <w:lang w:val="en-US"/>
        </w:rPr>
        <w:t xml:space="preserve"> </w:t>
      </w:r>
    </w:p>
  </w:footnote>
  <w:footnote w:id="499">
    <w:p w:rsidR="0051351F" w:rsidRPr="00D64D5C" w:rsidRDefault="0051351F" w:rsidP="00FC14B8">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Thus, for example, in the </w:t>
      </w:r>
      <w:r w:rsidRPr="00D64D5C">
        <w:rPr>
          <w:i/>
          <w:szCs w:val="16"/>
          <w:lang w:val="en-US"/>
        </w:rPr>
        <w:t>Case of the Kichwa Indigenous People of Sarayaku v.</w:t>
      </w:r>
      <w:r w:rsidRPr="00D64D5C">
        <w:rPr>
          <w:szCs w:val="16"/>
          <w:lang w:val="en-US"/>
        </w:rPr>
        <w:t xml:space="preserve"> </w:t>
      </w:r>
      <w:r w:rsidRPr="00D64D5C">
        <w:rPr>
          <w:i/>
          <w:szCs w:val="16"/>
          <w:lang w:val="en-US"/>
        </w:rPr>
        <w:t>Ecuador,</w:t>
      </w:r>
      <w:r w:rsidRPr="00D64D5C">
        <w:rPr>
          <w:szCs w:val="16"/>
          <w:lang w:val="en-US"/>
        </w:rPr>
        <w:t xml:space="preserve"> the Court interpreted the “right to prior, free and informed consultation” of indigenous and tribal peoples and communities by the recognition of the right to their own culture or cultural identity recognized in ILO Convention 169. In the </w:t>
      </w:r>
      <w:r w:rsidRPr="00D64D5C">
        <w:rPr>
          <w:i/>
          <w:szCs w:val="16"/>
          <w:lang w:val="en-US"/>
        </w:rPr>
        <w:t>Case of Chitay Nech v. Guatemala</w:t>
      </w:r>
      <w:r w:rsidRPr="00D64D5C">
        <w:rPr>
          <w:szCs w:val="16"/>
          <w:lang w:val="en-US"/>
        </w:rPr>
        <w:t xml:space="preserve">, the Court established the special obligation to ensure the “right to cultural life” of indigenous children. Also, in the </w:t>
      </w:r>
      <w:r w:rsidRPr="00D64D5C">
        <w:rPr>
          <w:i/>
          <w:szCs w:val="16"/>
          <w:lang w:val="en-US"/>
        </w:rPr>
        <w:t>Case of the Las Dos Erres Massacre v. Guatemala</w:t>
      </w:r>
      <w:r w:rsidRPr="00D64D5C">
        <w:rPr>
          <w:szCs w:val="16"/>
          <w:lang w:val="en-US"/>
        </w:rPr>
        <w:t xml:space="preserve">, when analyzing the State’s responsibility in relation to the rights to a name (Article 18), of the family (Article 17) and of the child (Article 19 of the American Convention), the Court considered that the right of every individual to receive protection against arbitrary or unlawful interference in the family forms part, implicitly, of the right to protection of the family and of the child. Similarly, in the </w:t>
      </w:r>
      <w:r w:rsidRPr="00D64D5C">
        <w:rPr>
          <w:i/>
          <w:szCs w:val="16"/>
          <w:lang w:val="en-US"/>
        </w:rPr>
        <w:t>Case of Gelman v. Uruguay</w:t>
      </w:r>
      <w:r w:rsidRPr="00D64D5C">
        <w:rPr>
          <w:szCs w:val="16"/>
          <w:lang w:val="en-US"/>
        </w:rPr>
        <w:t xml:space="preserve">, the Court developed the so-called “right to identity (which is not expressly established in the American Convention), based on the provisions of Article 8 of the Convention on the Rights of the Child, which establishes that this right includes, among other matters, the right to nationality, name and family relations. In the </w:t>
      </w:r>
      <w:r w:rsidRPr="00D64D5C">
        <w:rPr>
          <w:i/>
          <w:szCs w:val="16"/>
          <w:lang w:val="en-US"/>
        </w:rPr>
        <w:t>Case of Gomes Lund et al. (“Guerrilha do Araguaia”) v. Brazil</w:t>
      </w:r>
      <w:r w:rsidRPr="00D64D5C">
        <w:rPr>
          <w:szCs w:val="16"/>
          <w:lang w:val="en-US"/>
        </w:rPr>
        <w:t xml:space="preserve">, the Inter-American Court declared the violation of the “right to know the truth” (a right that is not established autonomously in the American Convention). In addition, in the </w:t>
      </w:r>
      <w:r w:rsidRPr="00D64D5C">
        <w:rPr>
          <w:i/>
          <w:szCs w:val="16"/>
          <w:lang w:val="en-US"/>
        </w:rPr>
        <w:t>Case of the Massacres of El Mozote and nearby places v. El Salvador,</w:t>
      </w:r>
      <w:r w:rsidRPr="00D64D5C">
        <w:rPr>
          <w:szCs w:val="16"/>
          <w:lang w:val="en-US"/>
        </w:rPr>
        <w:t xml:space="preserve"> the Court supplemented its case law in relation to the right to property established in Article 21 of the Convention when referring to Articles 13 and 14 of Protocol II Additional to the 1949 Geneva Conventions relating to the Protection of Victims of Non-International Armed Conflicts of June 8, 1977. Subsequently, in the </w:t>
      </w:r>
      <w:r w:rsidRPr="00D64D5C">
        <w:rPr>
          <w:i/>
          <w:szCs w:val="16"/>
          <w:lang w:val="en-US"/>
        </w:rPr>
        <w:t>Case of the Santo Domingo Massacre v. Colombia</w:t>
      </w:r>
      <w:r w:rsidRPr="00D64D5C">
        <w:rPr>
          <w:szCs w:val="16"/>
          <w:lang w:val="en-US"/>
        </w:rPr>
        <w:t>, the Inter-American Court interpreted the scope of the same Article 21 using treaties other than the American Convention. Thus, it referred to Rule 7 of Customary International Humanitarian Law regarding the distinction between civilian objects and military objectives,</w:t>
      </w:r>
      <w:r>
        <w:rPr>
          <w:szCs w:val="16"/>
          <w:lang w:val="en-US"/>
        </w:rPr>
        <w:t xml:space="preserve"> </w:t>
      </w:r>
      <w:r w:rsidRPr="00D64D5C">
        <w:rPr>
          <w:szCs w:val="16"/>
          <w:lang w:val="en-US"/>
        </w:rPr>
        <w:t>and Article 4(2)(g) of Protocol II regarding pillage, in order to give content to the right to property established in Article 21 of the American Convention.</w:t>
      </w:r>
    </w:p>
    <w:p w:rsidR="0051351F" w:rsidRPr="00D64D5C" w:rsidRDefault="0051351F" w:rsidP="00FC14B8">
      <w:pPr>
        <w:pStyle w:val="FootnoteText"/>
        <w:tabs>
          <w:tab w:val="left" w:pos="540"/>
        </w:tabs>
        <w:spacing w:before="0" w:after="100"/>
        <w:rPr>
          <w:lang w:val="en-US"/>
        </w:rPr>
      </w:pPr>
      <w:r w:rsidRPr="00D64D5C">
        <w:rPr>
          <w:szCs w:val="16"/>
          <w:lang w:val="en-US"/>
        </w:rPr>
        <w:t xml:space="preserve">As can be appreciated from these examples of inter-American case law, it has been the consistent practice of the Court to use </w:t>
      </w:r>
      <w:r>
        <w:rPr>
          <w:szCs w:val="16"/>
          <w:lang w:val="en-US"/>
        </w:rPr>
        <w:t>different</w:t>
      </w:r>
      <w:r w:rsidRPr="00D64D5C">
        <w:rPr>
          <w:szCs w:val="16"/>
          <w:lang w:val="en-US"/>
        </w:rPr>
        <w:t xml:space="preserve"> international instruments and sources other than the Pact of San José</w:t>
      </w:r>
      <w:r>
        <w:rPr>
          <w:szCs w:val="16"/>
          <w:lang w:val="en-US"/>
        </w:rPr>
        <w:t xml:space="preserve"> in order to define the content</w:t>
      </w:r>
      <w:r w:rsidRPr="00D64D5C">
        <w:rPr>
          <w:szCs w:val="16"/>
          <w:lang w:val="en-US"/>
        </w:rPr>
        <w:t xml:space="preserve"> and even expand the scope of th</w:t>
      </w:r>
      <w:r>
        <w:rPr>
          <w:szCs w:val="16"/>
          <w:lang w:val="en-US"/>
        </w:rPr>
        <w:t>e rights established in the A</w:t>
      </w:r>
      <w:r w:rsidRPr="00D64D5C">
        <w:rPr>
          <w:szCs w:val="16"/>
          <w:lang w:val="en-US"/>
        </w:rPr>
        <w:t xml:space="preserve">merican Convention and to stipulate the obligations of the States, because those international instruments and sources are part of a very comprehensive international </w:t>
      </w:r>
      <w:r w:rsidRPr="00D64D5C">
        <w:rPr>
          <w:i/>
          <w:szCs w:val="16"/>
          <w:lang w:val="en-US"/>
        </w:rPr>
        <w:t>corpus iuris</w:t>
      </w:r>
      <w:r>
        <w:rPr>
          <w:szCs w:val="16"/>
          <w:lang w:val="en-US"/>
        </w:rPr>
        <w:t xml:space="preserve"> in the matter, </w:t>
      </w:r>
      <w:r w:rsidRPr="00D64D5C">
        <w:rPr>
          <w:szCs w:val="16"/>
          <w:lang w:val="en-US"/>
        </w:rPr>
        <w:t>also using the Protocol of San Salvador. The possibility of using the Protocol of San Salvador to give content and scope to the economic, social and cultural rights derived from Article 26 of the American Convention, in relation to the general obligations established in Articles 1 and 2 of this treaty, is viable and the Inter-American Court has been using the Protocol to give content to many rights of the Convention using treaties and sources other than the Pact of San José. Thus, it could also use Protocol of San Salvador, together with other international instruments to establish the content and scope of the right to health protected by</w:t>
      </w:r>
      <w:r w:rsidRPr="00D64D5C">
        <w:rPr>
          <w:lang w:val="en-US"/>
        </w:rPr>
        <w:t xml:space="preserve"> </w:t>
      </w:r>
      <w:r w:rsidRPr="00D64D5C">
        <w:rPr>
          <w:szCs w:val="16"/>
          <w:lang w:val="en-US"/>
        </w:rPr>
        <w:t>Article 26 of the American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Header"/>
      <w:jc w:val="center"/>
    </w:pPr>
    <w:r>
      <w:rPr>
        <w:noProof w:val="0"/>
      </w:rPr>
      <w:fldChar w:fldCharType="begin"/>
    </w:r>
    <w:r>
      <w:instrText xml:space="preserve"> PAGE   \* MERGEFORMAT </w:instrText>
    </w:r>
    <w:r>
      <w:rPr>
        <w:noProof w:val="0"/>
      </w:rPr>
      <w:fldChar w:fldCharType="separate"/>
    </w:r>
    <w:r w:rsidR="00E50BFC">
      <w:t>2</w:t>
    </w:r>
    <w:r>
      <w:fldChar w:fldCharType="end"/>
    </w:r>
  </w:p>
  <w:p w:rsidR="0051351F" w:rsidRDefault="00513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73" w:type="pct"/>
      <w:tblInd w:w="108" w:type="dxa"/>
      <w:tblLook w:val="01E0" w:firstRow="1" w:lastRow="1" w:firstColumn="1" w:lastColumn="1" w:noHBand="0" w:noVBand="0"/>
    </w:tblPr>
    <w:tblGrid>
      <w:gridCol w:w="4793"/>
    </w:tblGrid>
    <w:tr w:rsidR="0051351F" w:rsidRPr="0021094B" w:rsidTr="00E01875">
      <w:tc>
        <w:tcPr>
          <w:tcW w:w="5000" w:type="pct"/>
        </w:tcPr>
        <w:p w:rsidR="0051351F" w:rsidRPr="00E7627A" w:rsidRDefault="0051351F" w:rsidP="003040F7">
          <w:pPr>
            <w:pStyle w:val="Header"/>
            <w:rPr>
              <w:i/>
              <w:iCs/>
              <w:sz w:val="16"/>
              <w:szCs w:val="16"/>
            </w:rPr>
          </w:pPr>
        </w:p>
      </w:tc>
    </w:tr>
  </w:tbl>
  <w:p w:rsidR="0051351F" w:rsidRPr="00E7627A" w:rsidRDefault="0051351F" w:rsidP="003040F7">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Header"/>
      <w:jc w:val="center"/>
    </w:pPr>
    <w:r>
      <w:rPr>
        <w:noProof w:val="0"/>
      </w:rPr>
      <w:fldChar w:fldCharType="begin"/>
    </w:r>
    <w:r>
      <w:instrText xml:space="preserve"> PAGE   \* MERGEFORMAT </w:instrText>
    </w:r>
    <w:r>
      <w:rPr>
        <w:noProof w:val="0"/>
      </w:rPr>
      <w:fldChar w:fldCharType="separate"/>
    </w:r>
    <w:r w:rsidR="00E50BFC">
      <w:t>11</w:t>
    </w:r>
    <w:r>
      <w:fldChar w:fldCharType="end"/>
    </w:r>
  </w:p>
  <w:p w:rsidR="0051351F" w:rsidRDefault="00513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Pr="00AA78D6" w:rsidRDefault="0051351F">
    <w:pPr>
      <w:pStyle w:val="Header"/>
      <w:jc w:val="center"/>
      <w:rPr>
        <w:szCs w:val="20"/>
      </w:rPr>
    </w:pPr>
    <w:r w:rsidRPr="00AA78D6">
      <w:rPr>
        <w:szCs w:val="20"/>
      </w:rPr>
      <w:fldChar w:fldCharType="begin"/>
    </w:r>
    <w:r w:rsidRPr="00AA78D6">
      <w:rPr>
        <w:szCs w:val="20"/>
      </w:rPr>
      <w:instrText>PAGE   \* MERGEFORMAT</w:instrText>
    </w:r>
    <w:r w:rsidRPr="00AA78D6">
      <w:rPr>
        <w:szCs w:val="20"/>
      </w:rPr>
      <w:fldChar w:fldCharType="separate"/>
    </w:r>
    <w:r w:rsidR="00E50BFC" w:rsidRPr="00E50BFC">
      <w:rPr>
        <w:szCs w:val="20"/>
        <w:lang w:val="es-ES"/>
      </w:rPr>
      <w:t>10</w:t>
    </w:r>
    <w:r w:rsidRPr="00AA78D6">
      <w:rPr>
        <w:szCs w:val="20"/>
      </w:rPr>
      <w:fldChar w:fldCharType="end"/>
    </w:r>
  </w:p>
  <w:p w:rsidR="0051351F" w:rsidRDefault="005135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51351F" w:rsidP="00C05754">
    <w:pPr>
      <w:pStyle w:val="Header"/>
      <w:jc w:val="center"/>
    </w:pPr>
    <w:r>
      <w:t>-</w:t>
    </w:r>
    <w:r>
      <w:fldChar w:fldCharType="begin"/>
    </w:r>
    <w:r>
      <w:instrText xml:space="preserve"> PAGE   \* MERGEFORMAT </w:instrText>
    </w:r>
    <w:r>
      <w:fldChar w:fldCharType="separate"/>
    </w:r>
    <w:r w:rsidR="00E50BFC">
      <w:t>14</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297"/>
    <w:multiLevelType w:val="hybridMultilevel"/>
    <w:tmpl w:val="65A4A3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92D43"/>
    <w:multiLevelType w:val="hybridMultilevel"/>
    <w:tmpl w:val="F9B065E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682282"/>
    <w:multiLevelType w:val="hybridMultilevel"/>
    <w:tmpl w:val="096603D6"/>
    <w:lvl w:ilvl="0" w:tplc="F8C0A81E">
      <w:start w:val="1"/>
      <w:numFmt w:val="upperLetter"/>
      <w:lvlText w:val="%1)"/>
      <w:lvlJc w:val="left"/>
      <w:pPr>
        <w:ind w:left="1160" w:hanging="45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6C434E8"/>
    <w:multiLevelType w:val="hybridMultilevel"/>
    <w:tmpl w:val="CC543F76"/>
    <w:lvl w:ilvl="0" w:tplc="27ECED64">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515E9E"/>
    <w:multiLevelType w:val="hybridMultilevel"/>
    <w:tmpl w:val="E18C4FA6"/>
    <w:lvl w:ilvl="0" w:tplc="0A361A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C7552"/>
    <w:multiLevelType w:val="hybridMultilevel"/>
    <w:tmpl w:val="9F1C96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6F2E83"/>
    <w:multiLevelType w:val="hybridMultilevel"/>
    <w:tmpl w:val="30467760"/>
    <w:lvl w:ilvl="0" w:tplc="FEAE2600">
      <w:start w:val="1"/>
      <w:numFmt w:val="decimal"/>
      <w:lvlText w:val="%1."/>
      <w:lvlJc w:val="left"/>
      <w:pPr>
        <w:ind w:left="6570" w:hanging="360"/>
      </w:pPr>
      <w:rPr>
        <w:rFonts w:hint="default"/>
        <w:sz w:val="20"/>
      </w:rPr>
    </w:lvl>
    <w:lvl w:ilvl="1" w:tplc="380A0019" w:tentative="1">
      <w:start w:val="1"/>
      <w:numFmt w:val="lowerLetter"/>
      <w:lvlText w:val="%2."/>
      <w:lvlJc w:val="left"/>
      <w:pPr>
        <w:ind w:left="4247" w:hanging="360"/>
      </w:pPr>
    </w:lvl>
    <w:lvl w:ilvl="2" w:tplc="380A001B" w:tentative="1">
      <w:start w:val="1"/>
      <w:numFmt w:val="lowerRoman"/>
      <w:lvlText w:val="%3."/>
      <w:lvlJc w:val="right"/>
      <w:pPr>
        <w:ind w:left="4967" w:hanging="180"/>
      </w:pPr>
    </w:lvl>
    <w:lvl w:ilvl="3" w:tplc="380A000F" w:tentative="1">
      <w:start w:val="1"/>
      <w:numFmt w:val="decimal"/>
      <w:lvlText w:val="%4."/>
      <w:lvlJc w:val="left"/>
      <w:pPr>
        <w:ind w:left="5687" w:hanging="360"/>
      </w:pPr>
    </w:lvl>
    <w:lvl w:ilvl="4" w:tplc="380A0019" w:tentative="1">
      <w:start w:val="1"/>
      <w:numFmt w:val="lowerLetter"/>
      <w:lvlText w:val="%5."/>
      <w:lvlJc w:val="left"/>
      <w:pPr>
        <w:ind w:left="6407" w:hanging="360"/>
      </w:pPr>
    </w:lvl>
    <w:lvl w:ilvl="5" w:tplc="380A001B" w:tentative="1">
      <w:start w:val="1"/>
      <w:numFmt w:val="lowerRoman"/>
      <w:lvlText w:val="%6."/>
      <w:lvlJc w:val="right"/>
      <w:pPr>
        <w:ind w:left="7127" w:hanging="180"/>
      </w:pPr>
    </w:lvl>
    <w:lvl w:ilvl="6" w:tplc="380A000F" w:tentative="1">
      <w:start w:val="1"/>
      <w:numFmt w:val="decimal"/>
      <w:lvlText w:val="%7."/>
      <w:lvlJc w:val="left"/>
      <w:pPr>
        <w:ind w:left="7847" w:hanging="360"/>
      </w:pPr>
    </w:lvl>
    <w:lvl w:ilvl="7" w:tplc="380A0019" w:tentative="1">
      <w:start w:val="1"/>
      <w:numFmt w:val="lowerLetter"/>
      <w:lvlText w:val="%8."/>
      <w:lvlJc w:val="left"/>
      <w:pPr>
        <w:ind w:left="8567" w:hanging="360"/>
      </w:pPr>
    </w:lvl>
    <w:lvl w:ilvl="8" w:tplc="380A001B" w:tentative="1">
      <w:start w:val="1"/>
      <w:numFmt w:val="lowerRoman"/>
      <w:lvlText w:val="%9."/>
      <w:lvlJc w:val="right"/>
      <w:pPr>
        <w:ind w:left="9287" w:hanging="180"/>
      </w:pPr>
    </w:lvl>
  </w:abstractNum>
  <w:abstractNum w:abstractNumId="8">
    <w:nsid w:val="19E46E7B"/>
    <w:multiLevelType w:val="hybridMultilevel"/>
    <w:tmpl w:val="A670A930"/>
    <w:lvl w:ilvl="0" w:tplc="78EEE44C">
      <w:start w:val="44"/>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0621"/>
    <w:multiLevelType w:val="hybridMultilevel"/>
    <w:tmpl w:val="65446486"/>
    <w:lvl w:ilvl="0" w:tplc="954CEE0A">
      <w:start w:val="1"/>
      <w:numFmt w:val="upperLetter"/>
      <w:pStyle w:val="Heading2"/>
      <w:lvlText w:val="%1."/>
      <w:lvlJc w:val="left"/>
      <w:pPr>
        <w:ind w:left="279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11">
    <w:nsid w:val="3BBA7DE2"/>
    <w:multiLevelType w:val="hybridMultilevel"/>
    <w:tmpl w:val="583A020C"/>
    <w:lvl w:ilvl="0" w:tplc="E9D41320">
      <w:start w:val="1"/>
      <w:numFmt w:val="decimal"/>
      <w:lvlText w:val="%1."/>
      <w:lvlJc w:val="left"/>
      <w:pPr>
        <w:tabs>
          <w:tab w:val="num" w:pos="1260"/>
        </w:tabs>
        <w:ind w:left="1260" w:hanging="360"/>
      </w:pPr>
      <w:rPr>
        <w:rFonts w:ascii="Calibri" w:hAnsi="Calibri"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682F14"/>
    <w:multiLevelType w:val="hybridMultilevel"/>
    <w:tmpl w:val="111823BA"/>
    <w:lvl w:ilvl="0" w:tplc="907A2CB2">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41B11B1"/>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DD86B66"/>
    <w:multiLevelType w:val="hybridMultilevel"/>
    <w:tmpl w:val="C54EE236"/>
    <w:lvl w:ilvl="0" w:tplc="FA0A065E">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nsid w:val="651E7F53"/>
    <w:multiLevelType w:val="hybridMultilevel"/>
    <w:tmpl w:val="3C0607AE"/>
    <w:lvl w:ilvl="0" w:tplc="088AFF12">
      <w:start w:val="1"/>
      <w:numFmt w:val="upperLetter"/>
      <w:lvlText w:val="%1."/>
      <w:lvlJc w:val="left"/>
      <w:pPr>
        <w:ind w:left="1429" w:hanging="360"/>
      </w:pPr>
      <w:rPr>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1">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3184346"/>
    <w:multiLevelType w:val="hybridMultilevel"/>
    <w:tmpl w:val="064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A77EC"/>
    <w:multiLevelType w:val="hybridMultilevel"/>
    <w:tmpl w:val="465C99A8"/>
    <w:lvl w:ilvl="0" w:tplc="50F4FA94">
      <w:start w:val="1"/>
      <w:numFmt w:val="upperRoman"/>
      <w:lvlText w:val="%1."/>
      <w:lvlJc w:val="left"/>
      <w:pPr>
        <w:ind w:left="720" w:hanging="360"/>
      </w:pPr>
      <w:rPr>
        <w:rFonts w:ascii="Verdana" w:eastAsia="Calibr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9"/>
  </w:num>
  <w:num w:numId="4">
    <w:abstractNumId w:val="21"/>
  </w:num>
  <w:num w:numId="5">
    <w:abstractNumId w:val="6"/>
  </w:num>
  <w:num w:numId="6">
    <w:abstractNumId w:val="13"/>
  </w:num>
  <w:num w:numId="7">
    <w:abstractNumId w:val="18"/>
  </w:num>
  <w:num w:numId="8">
    <w:abstractNumId w:val="19"/>
  </w:num>
  <w:num w:numId="9">
    <w:abstractNumId w:val="5"/>
  </w:num>
  <w:num w:numId="10">
    <w:abstractNumId w:val="0"/>
  </w:num>
  <w:num w:numId="11">
    <w:abstractNumId w:val="3"/>
  </w:num>
  <w:num w:numId="12">
    <w:abstractNumId w:val="2"/>
  </w:num>
  <w:num w:numId="13">
    <w:abstractNumId w:val="15"/>
  </w:num>
  <w:num w:numId="14">
    <w:abstractNumId w:val="22"/>
  </w:num>
  <w:num w:numId="15">
    <w:abstractNumId w:val="4"/>
  </w:num>
  <w:num w:numId="16">
    <w:abstractNumId w:val="1"/>
  </w:num>
  <w:num w:numId="17">
    <w:abstractNumId w:val="25"/>
  </w:num>
  <w:num w:numId="18">
    <w:abstractNumId w:val="16"/>
  </w:num>
  <w:num w:numId="19">
    <w:abstractNumId w:val="23"/>
  </w:num>
  <w:num w:numId="20">
    <w:abstractNumId w:val="7"/>
  </w:num>
  <w:num w:numId="21">
    <w:abstractNumId w:val="20"/>
  </w:num>
  <w:num w:numId="22">
    <w:abstractNumId w:val="17"/>
  </w:num>
  <w:num w:numId="23">
    <w:abstractNumId w:val="20"/>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1"/>
  </w:num>
  <w:num w:numId="28">
    <w:abstractNumId w:val="10"/>
  </w:num>
  <w:num w:numId="29">
    <w:abstractNumId w:val="8"/>
  </w:num>
  <w:num w:numId="30">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08AE"/>
    <w:rsid w:val="000019B6"/>
    <w:rsid w:val="000041CD"/>
    <w:rsid w:val="0000669D"/>
    <w:rsid w:val="00007441"/>
    <w:rsid w:val="00010702"/>
    <w:rsid w:val="00010F61"/>
    <w:rsid w:val="00013ADE"/>
    <w:rsid w:val="000148C4"/>
    <w:rsid w:val="00014ABB"/>
    <w:rsid w:val="00017AA5"/>
    <w:rsid w:val="00017F00"/>
    <w:rsid w:val="00021417"/>
    <w:rsid w:val="00021DF5"/>
    <w:rsid w:val="00022A6F"/>
    <w:rsid w:val="00022ABA"/>
    <w:rsid w:val="00022F5E"/>
    <w:rsid w:val="0002332D"/>
    <w:rsid w:val="00024572"/>
    <w:rsid w:val="000253C0"/>
    <w:rsid w:val="0002562D"/>
    <w:rsid w:val="00026312"/>
    <w:rsid w:val="00027573"/>
    <w:rsid w:val="00033A41"/>
    <w:rsid w:val="00033DA9"/>
    <w:rsid w:val="00035C38"/>
    <w:rsid w:val="00036BF9"/>
    <w:rsid w:val="00037C2B"/>
    <w:rsid w:val="0004399C"/>
    <w:rsid w:val="0004516E"/>
    <w:rsid w:val="00045719"/>
    <w:rsid w:val="00046307"/>
    <w:rsid w:val="00046DAD"/>
    <w:rsid w:val="000505D7"/>
    <w:rsid w:val="00050D21"/>
    <w:rsid w:val="00052B9D"/>
    <w:rsid w:val="00052C13"/>
    <w:rsid w:val="00054980"/>
    <w:rsid w:val="000606C0"/>
    <w:rsid w:val="00060EAD"/>
    <w:rsid w:val="000622FE"/>
    <w:rsid w:val="00064880"/>
    <w:rsid w:val="00064B21"/>
    <w:rsid w:val="00065FFA"/>
    <w:rsid w:val="00066EA5"/>
    <w:rsid w:val="000705A1"/>
    <w:rsid w:val="00071F88"/>
    <w:rsid w:val="00073A6D"/>
    <w:rsid w:val="00082A6E"/>
    <w:rsid w:val="00083D02"/>
    <w:rsid w:val="00084223"/>
    <w:rsid w:val="00085970"/>
    <w:rsid w:val="000866A6"/>
    <w:rsid w:val="00087CA2"/>
    <w:rsid w:val="00087E77"/>
    <w:rsid w:val="00091F7C"/>
    <w:rsid w:val="00092815"/>
    <w:rsid w:val="0009382A"/>
    <w:rsid w:val="0009446B"/>
    <w:rsid w:val="0009482C"/>
    <w:rsid w:val="000948E6"/>
    <w:rsid w:val="000A20E6"/>
    <w:rsid w:val="000A47F3"/>
    <w:rsid w:val="000A515C"/>
    <w:rsid w:val="000A53C0"/>
    <w:rsid w:val="000B12B0"/>
    <w:rsid w:val="000B14D7"/>
    <w:rsid w:val="000B1E0C"/>
    <w:rsid w:val="000B2A9B"/>
    <w:rsid w:val="000B49F5"/>
    <w:rsid w:val="000B5594"/>
    <w:rsid w:val="000B775F"/>
    <w:rsid w:val="000C18A1"/>
    <w:rsid w:val="000C2A14"/>
    <w:rsid w:val="000C38B3"/>
    <w:rsid w:val="000C3DD2"/>
    <w:rsid w:val="000C47DC"/>
    <w:rsid w:val="000C697B"/>
    <w:rsid w:val="000C6D28"/>
    <w:rsid w:val="000D0D2C"/>
    <w:rsid w:val="000D3657"/>
    <w:rsid w:val="000D3C50"/>
    <w:rsid w:val="000D4472"/>
    <w:rsid w:val="000D7C76"/>
    <w:rsid w:val="000E0505"/>
    <w:rsid w:val="000E067E"/>
    <w:rsid w:val="000E2741"/>
    <w:rsid w:val="000E39B5"/>
    <w:rsid w:val="000F0AA2"/>
    <w:rsid w:val="000F183F"/>
    <w:rsid w:val="000F35AC"/>
    <w:rsid w:val="000F3C10"/>
    <w:rsid w:val="000F5889"/>
    <w:rsid w:val="000F610F"/>
    <w:rsid w:val="000F6B45"/>
    <w:rsid w:val="00100ECF"/>
    <w:rsid w:val="0010285B"/>
    <w:rsid w:val="00102A7E"/>
    <w:rsid w:val="0010363B"/>
    <w:rsid w:val="00104B3F"/>
    <w:rsid w:val="00104C45"/>
    <w:rsid w:val="00105704"/>
    <w:rsid w:val="001059C0"/>
    <w:rsid w:val="001066DF"/>
    <w:rsid w:val="00107B39"/>
    <w:rsid w:val="00107C2D"/>
    <w:rsid w:val="0011384A"/>
    <w:rsid w:val="00113F34"/>
    <w:rsid w:val="0011516A"/>
    <w:rsid w:val="00116AE9"/>
    <w:rsid w:val="001174C5"/>
    <w:rsid w:val="001236E7"/>
    <w:rsid w:val="00123E80"/>
    <w:rsid w:val="00125D6A"/>
    <w:rsid w:val="001273AF"/>
    <w:rsid w:val="00127C47"/>
    <w:rsid w:val="001316F4"/>
    <w:rsid w:val="00132B18"/>
    <w:rsid w:val="0013395A"/>
    <w:rsid w:val="001356C6"/>
    <w:rsid w:val="001359E5"/>
    <w:rsid w:val="00135F8F"/>
    <w:rsid w:val="00136766"/>
    <w:rsid w:val="001368D9"/>
    <w:rsid w:val="001403CE"/>
    <w:rsid w:val="00142040"/>
    <w:rsid w:val="00142237"/>
    <w:rsid w:val="00142327"/>
    <w:rsid w:val="00142E98"/>
    <w:rsid w:val="001440F9"/>
    <w:rsid w:val="0014580E"/>
    <w:rsid w:val="00145A59"/>
    <w:rsid w:val="001526E8"/>
    <w:rsid w:val="001530A1"/>
    <w:rsid w:val="00157FD2"/>
    <w:rsid w:val="00160249"/>
    <w:rsid w:val="001604B3"/>
    <w:rsid w:val="00161709"/>
    <w:rsid w:val="0016209E"/>
    <w:rsid w:val="00163298"/>
    <w:rsid w:val="00163B18"/>
    <w:rsid w:val="00163F7F"/>
    <w:rsid w:val="00166D5A"/>
    <w:rsid w:val="001674F2"/>
    <w:rsid w:val="00173E59"/>
    <w:rsid w:val="00173F82"/>
    <w:rsid w:val="00176C7A"/>
    <w:rsid w:val="00180452"/>
    <w:rsid w:val="00182B51"/>
    <w:rsid w:val="001834DC"/>
    <w:rsid w:val="001853B4"/>
    <w:rsid w:val="00190273"/>
    <w:rsid w:val="00190370"/>
    <w:rsid w:val="001936B3"/>
    <w:rsid w:val="00193E70"/>
    <w:rsid w:val="0019568C"/>
    <w:rsid w:val="00195A06"/>
    <w:rsid w:val="0019754B"/>
    <w:rsid w:val="001A2523"/>
    <w:rsid w:val="001A6DEF"/>
    <w:rsid w:val="001B03DE"/>
    <w:rsid w:val="001B060C"/>
    <w:rsid w:val="001B077C"/>
    <w:rsid w:val="001B085D"/>
    <w:rsid w:val="001B11AA"/>
    <w:rsid w:val="001B553E"/>
    <w:rsid w:val="001B76D3"/>
    <w:rsid w:val="001B7F08"/>
    <w:rsid w:val="001B7F99"/>
    <w:rsid w:val="001C1773"/>
    <w:rsid w:val="001C5C5C"/>
    <w:rsid w:val="001C5D38"/>
    <w:rsid w:val="001C69B9"/>
    <w:rsid w:val="001C7932"/>
    <w:rsid w:val="001D106E"/>
    <w:rsid w:val="001D1530"/>
    <w:rsid w:val="001D4B60"/>
    <w:rsid w:val="001D5CE0"/>
    <w:rsid w:val="001E070F"/>
    <w:rsid w:val="001E40C8"/>
    <w:rsid w:val="001E5566"/>
    <w:rsid w:val="001E749E"/>
    <w:rsid w:val="001E7CC2"/>
    <w:rsid w:val="001F1231"/>
    <w:rsid w:val="001F2379"/>
    <w:rsid w:val="001F2FFF"/>
    <w:rsid w:val="001F48DA"/>
    <w:rsid w:val="001F59C8"/>
    <w:rsid w:val="00204F1B"/>
    <w:rsid w:val="0020643A"/>
    <w:rsid w:val="002072E5"/>
    <w:rsid w:val="00211221"/>
    <w:rsid w:val="002112A8"/>
    <w:rsid w:val="002113C8"/>
    <w:rsid w:val="00211969"/>
    <w:rsid w:val="002119C4"/>
    <w:rsid w:val="00211BE6"/>
    <w:rsid w:val="00211C84"/>
    <w:rsid w:val="00212633"/>
    <w:rsid w:val="00213199"/>
    <w:rsid w:val="002131F9"/>
    <w:rsid w:val="00213F1A"/>
    <w:rsid w:val="0021468E"/>
    <w:rsid w:val="00214D4E"/>
    <w:rsid w:val="00215C41"/>
    <w:rsid w:val="00216495"/>
    <w:rsid w:val="00217B61"/>
    <w:rsid w:val="002207E1"/>
    <w:rsid w:val="002235EF"/>
    <w:rsid w:val="00223622"/>
    <w:rsid w:val="00223996"/>
    <w:rsid w:val="00225C8A"/>
    <w:rsid w:val="00225D2C"/>
    <w:rsid w:val="002261F2"/>
    <w:rsid w:val="002270CB"/>
    <w:rsid w:val="00227153"/>
    <w:rsid w:val="002310E6"/>
    <w:rsid w:val="00231C59"/>
    <w:rsid w:val="00231CDE"/>
    <w:rsid w:val="0023208C"/>
    <w:rsid w:val="00232AC0"/>
    <w:rsid w:val="00234F89"/>
    <w:rsid w:val="00235A4C"/>
    <w:rsid w:val="00237B83"/>
    <w:rsid w:val="002416BB"/>
    <w:rsid w:val="00241FFD"/>
    <w:rsid w:val="00243A8A"/>
    <w:rsid w:val="002453CC"/>
    <w:rsid w:val="00245D7A"/>
    <w:rsid w:val="002511F6"/>
    <w:rsid w:val="002522DF"/>
    <w:rsid w:val="00252A96"/>
    <w:rsid w:val="00252D1A"/>
    <w:rsid w:val="002546C8"/>
    <w:rsid w:val="00254704"/>
    <w:rsid w:val="00255F84"/>
    <w:rsid w:val="00256488"/>
    <w:rsid w:val="00256F58"/>
    <w:rsid w:val="0026427C"/>
    <w:rsid w:val="00264AC6"/>
    <w:rsid w:val="00264DF9"/>
    <w:rsid w:val="00265AED"/>
    <w:rsid w:val="00266721"/>
    <w:rsid w:val="00266953"/>
    <w:rsid w:val="002678F0"/>
    <w:rsid w:val="00267F5D"/>
    <w:rsid w:val="00270019"/>
    <w:rsid w:val="002713BC"/>
    <w:rsid w:val="00271593"/>
    <w:rsid w:val="00271924"/>
    <w:rsid w:val="00271FDA"/>
    <w:rsid w:val="00273B13"/>
    <w:rsid w:val="00274818"/>
    <w:rsid w:val="00274F85"/>
    <w:rsid w:val="00275FA5"/>
    <w:rsid w:val="0027651F"/>
    <w:rsid w:val="00280A76"/>
    <w:rsid w:val="002826C2"/>
    <w:rsid w:val="0028358D"/>
    <w:rsid w:val="00284EDF"/>
    <w:rsid w:val="00287A4F"/>
    <w:rsid w:val="00287C75"/>
    <w:rsid w:val="002944FC"/>
    <w:rsid w:val="002A0212"/>
    <w:rsid w:val="002A2E72"/>
    <w:rsid w:val="002A3981"/>
    <w:rsid w:val="002A679C"/>
    <w:rsid w:val="002A68DB"/>
    <w:rsid w:val="002A6BDA"/>
    <w:rsid w:val="002A7D45"/>
    <w:rsid w:val="002B12A3"/>
    <w:rsid w:val="002B3089"/>
    <w:rsid w:val="002B49D2"/>
    <w:rsid w:val="002B5502"/>
    <w:rsid w:val="002B5DC4"/>
    <w:rsid w:val="002B6A0C"/>
    <w:rsid w:val="002B6BCF"/>
    <w:rsid w:val="002B72C5"/>
    <w:rsid w:val="002C20FC"/>
    <w:rsid w:val="002C2AB2"/>
    <w:rsid w:val="002C40B0"/>
    <w:rsid w:val="002C43B0"/>
    <w:rsid w:val="002C4550"/>
    <w:rsid w:val="002C5A54"/>
    <w:rsid w:val="002C7D60"/>
    <w:rsid w:val="002D4714"/>
    <w:rsid w:val="002D527F"/>
    <w:rsid w:val="002D6E02"/>
    <w:rsid w:val="002D7480"/>
    <w:rsid w:val="002E0B9F"/>
    <w:rsid w:val="002F3063"/>
    <w:rsid w:val="002F5BBA"/>
    <w:rsid w:val="0030249D"/>
    <w:rsid w:val="00302CFC"/>
    <w:rsid w:val="00303622"/>
    <w:rsid w:val="003040F7"/>
    <w:rsid w:val="00304E70"/>
    <w:rsid w:val="003073CC"/>
    <w:rsid w:val="003107A4"/>
    <w:rsid w:val="003115BA"/>
    <w:rsid w:val="00312B9E"/>
    <w:rsid w:val="00312EA4"/>
    <w:rsid w:val="00313307"/>
    <w:rsid w:val="00313EB4"/>
    <w:rsid w:val="00314F9B"/>
    <w:rsid w:val="00316B2C"/>
    <w:rsid w:val="0032499B"/>
    <w:rsid w:val="00326761"/>
    <w:rsid w:val="003309BE"/>
    <w:rsid w:val="00333756"/>
    <w:rsid w:val="0033480E"/>
    <w:rsid w:val="00334879"/>
    <w:rsid w:val="0033702D"/>
    <w:rsid w:val="00340DA1"/>
    <w:rsid w:val="00341170"/>
    <w:rsid w:val="00342B91"/>
    <w:rsid w:val="00343A8A"/>
    <w:rsid w:val="00343B4C"/>
    <w:rsid w:val="003477FC"/>
    <w:rsid w:val="00347D9C"/>
    <w:rsid w:val="0035101F"/>
    <w:rsid w:val="003510B0"/>
    <w:rsid w:val="00352424"/>
    <w:rsid w:val="003526CD"/>
    <w:rsid w:val="003538BF"/>
    <w:rsid w:val="003571AD"/>
    <w:rsid w:val="00357398"/>
    <w:rsid w:val="00357AD1"/>
    <w:rsid w:val="00357CD1"/>
    <w:rsid w:val="00357F59"/>
    <w:rsid w:val="00367358"/>
    <w:rsid w:val="00370AE7"/>
    <w:rsid w:val="0037105B"/>
    <w:rsid w:val="00372EDC"/>
    <w:rsid w:val="0037369A"/>
    <w:rsid w:val="0037438C"/>
    <w:rsid w:val="0037520F"/>
    <w:rsid w:val="003755D4"/>
    <w:rsid w:val="0038023A"/>
    <w:rsid w:val="00383963"/>
    <w:rsid w:val="003843C5"/>
    <w:rsid w:val="0038651D"/>
    <w:rsid w:val="00387F06"/>
    <w:rsid w:val="00390D91"/>
    <w:rsid w:val="00391F07"/>
    <w:rsid w:val="00393AB9"/>
    <w:rsid w:val="0039619C"/>
    <w:rsid w:val="0039638D"/>
    <w:rsid w:val="00396FBB"/>
    <w:rsid w:val="00397973"/>
    <w:rsid w:val="00397CD0"/>
    <w:rsid w:val="003A0653"/>
    <w:rsid w:val="003A27C8"/>
    <w:rsid w:val="003A2C63"/>
    <w:rsid w:val="003A2FB0"/>
    <w:rsid w:val="003A3A82"/>
    <w:rsid w:val="003A418E"/>
    <w:rsid w:val="003A554F"/>
    <w:rsid w:val="003A5CA1"/>
    <w:rsid w:val="003A5D67"/>
    <w:rsid w:val="003A67CA"/>
    <w:rsid w:val="003A6971"/>
    <w:rsid w:val="003B002D"/>
    <w:rsid w:val="003B110C"/>
    <w:rsid w:val="003B2A5E"/>
    <w:rsid w:val="003B4284"/>
    <w:rsid w:val="003B4E73"/>
    <w:rsid w:val="003B5118"/>
    <w:rsid w:val="003B6A66"/>
    <w:rsid w:val="003B6BC5"/>
    <w:rsid w:val="003C0294"/>
    <w:rsid w:val="003C0737"/>
    <w:rsid w:val="003C3697"/>
    <w:rsid w:val="003C4C85"/>
    <w:rsid w:val="003C5B8B"/>
    <w:rsid w:val="003C6416"/>
    <w:rsid w:val="003C6EDD"/>
    <w:rsid w:val="003D0D2D"/>
    <w:rsid w:val="003D199F"/>
    <w:rsid w:val="003D2416"/>
    <w:rsid w:val="003D3ABA"/>
    <w:rsid w:val="003E0396"/>
    <w:rsid w:val="003E08F4"/>
    <w:rsid w:val="003E107A"/>
    <w:rsid w:val="003E12DE"/>
    <w:rsid w:val="003E20AA"/>
    <w:rsid w:val="003E7BE8"/>
    <w:rsid w:val="003F35E9"/>
    <w:rsid w:val="003F4FC1"/>
    <w:rsid w:val="00400714"/>
    <w:rsid w:val="00400B1D"/>
    <w:rsid w:val="004016D9"/>
    <w:rsid w:val="00402E60"/>
    <w:rsid w:val="0040318B"/>
    <w:rsid w:val="004047B3"/>
    <w:rsid w:val="00404965"/>
    <w:rsid w:val="00404EE1"/>
    <w:rsid w:val="00406812"/>
    <w:rsid w:val="00407345"/>
    <w:rsid w:val="00407F7C"/>
    <w:rsid w:val="00410F98"/>
    <w:rsid w:val="00412878"/>
    <w:rsid w:val="004150B2"/>
    <w:rsid w:val="00415E6B"/>
    <w:rsid w:val="004161B7"/>
    <w:rsid w:val="00416225"/>
    <w:rsid w:val="00417383"/>
    <w:rsid w:val="004176AB"/>
    <w:rsid w:val="004177C5"/>
    <w:rsid w:val="004179D6"/>
    <w:rsid w:val="00421B7B"/>
    <w:rsid w:val="0042243A"/>
    <w:rsid w:val="0042322A"/>
    <w:rsid w:val="00426523"/>
    <w:rsid w:val="00427F68"/>
    <w:rsid w:val="00430B22"/>
    <w:rsid w:val="0043290F"/>
    <w:rsid w:val="00432C98"/>
    <w:rsid w:val="0043300E"/>
    <w:rsid w:val="00433EDA"/>
    <w:rsid w:val="00436066"/>
    <w:rsid w:val="00436505"/>
    <w:rsid w:val="00436E84"/>
    <w:rsid w:val="00436ECD"/>
    <w:rsid w:val="004373DE"/>
    <w:rsid w:val="004401C6"/>
    <w:rsid w:val="0044298F"/>
    <w:rsid w:val="00443310"/>
    <w:rsid w:val="004439E0"/>
    <w:rsid w:val="00446D48"/>
    <w:rsid w:val="004476D1"/>
    <w:rsid w:val="0045100A"/>
    <w:rsid w:val="00453529"/>
    <w:rsid w:val="00462B72"/>
    <w:rsid w:val="00463DAB"/>
    <w:rsid w:val="00466122"/>
    <w:rsid w:val="004707CE"/>
    <w:rsid w:val="00471BA0"/>
    <w:rsid w:val="00473780"/>
    <w:rsid w:val="0047379C"/>
    <w:rsid w:val="004739D6"/>
    <w:rsid w:val="00476A45"/>
    <w:rsid w:val="0047719F"/>
    <w:rsid w:val="00480F07"/>
    <w:rsid w:val="00481285"/>
    <w:rsid w:val="0048304A"/>
    <w:rsid w:val="00483F66"/>
    <w:rsid w:val="00484423"/>
    <w:rsid w:val="00484B08"/>
    <w:rsid w:val="00485975"/>
    <w:rsid w:val="004867A0"/>
    <w:rsid w:val="004918A1"/>
    <w:rsid w:val="00494C7E"/>
    <w:rsid w:val="00494E21"/>
    <w:rsid w:val="00497578"/>
    <w:rsid w:val="004A2848"/>
    <w:rsid w:val="004A306E"/>
    <w:rsid w:val="004A4768"/>
    <w:rsid w:val="004A6C34"/>
    <w:rsid w:val="004A6E8B"/>
    <w:rsid w:val="004A764A"/>
    <w:rsid w:val="004B03CD"/>
    <w:rsid w:val="004B1593"/>
    <w:rsid w:val="004B18C3"/>
    <w:rsid w:val="004B2410"/>
    <w:rsid w:val="004B5557"/>
    <w:rsid w:val="004B7853"/>
    <w:rsid w:val="004B7B50"/>
    <w:rsid w:val="004B7C8A"/>
    <w:rsid w:val="004C1F8B"/>
    <w:rsid w:val="004C6DAF"/>
    <w:rsid w:val="004D0738"/>
    <w:rsid w:val="004D0A52"/>
    <w:rsid w:val="004D0F91"/>
    <w:rsid w:val="004D16C8"/>
    <w:rsid w:val="004D243A"/>
    <w:rsid w:val="004D2562"/>
    <w:rsid w:val="004D27A7"/>
    <w:rsid w:val="004D427B"/>
    <w:rsid w:val="004D47AE"/>
    <w:rsid w:val="004D4E47"/>
    <w:rsid w:val="004D7546"/>
    <w:rsid w:val="004D7846"/>
    <w:rsid w:val="004E25C4"/>
    <w:rsid w:val="004E26AC"/>
    <w:rsid w:val="004E2999"/>
    <w:rsid w:val="004E362C"/>
    <w:rsid w:val="004E42C9"/>
    <w:rsid w:val="004E4EC1"/>
    <w:rsid w:val="004E4F5A"/>
    <w:rsid w:val="004F13F0"/>
    <w:rsid w:val="004F1C33"/>
    <w:rsid w:val="004F1C51"/>
    <w:rsid w:val="004F26D1"/>
    <w:rsid w:val="004F2AFC"/>
    <w:rsid w:val="004F3AAF"/>
    <w:rsid w:val="004F3CBB"/>
    <w:rsid w:val="004F570D"/>
    <w:rsid w:val="0050058C"/>
    <w:rsid w:val="00501464"/>
    <w:rsid w:val="00503116"/>
    <w:rsid w:val="00503720"/>
    <w:rsid w:val="005059E6"/>
    <w:rsid w:val="0050699A"/>
    <w:rsid w:val="00510910"/>
    <w:rsid w:val="00512F28"/>
    <w:rsid w:val="0051335D"/>
    <w:rsid w:val="0051351F"/>
    <w:rsid w:val="00513744"/>
    <w:rsid w:val="00514E6D"/>
    <w:rsid w:val="00515E46"/>
    <w:rsid w:val="00516818"/>
    <w:rsid w:val="005178B9"/>
    <w:rsid w:val="00521F86"/>
    <w:rsid w:val="005227AF"/>
    <w:rsid w:val="00523679"/>
    <w:rsid w:val="00523C30"/>
    <w:rsid w:val="005249E5"/>
    <w:rsid w:val="00524E77"/>
    <w:rsid w:val="00526CA3"/>
    <w:rsid w:val="00526EBD"/>
    <w:rsid w:val="00527E16"/>
    <w:rsid w:val="00531028"/>
    <w:rsid w:val="005328FF"/>
    <w:rsid w:val="005353C8"/>
    <w:rsid w:val="00535633"/>
    <w:rsid w:val="00535693"/>
    <w:rsid w:val="005357B1"/>
    <w:rsid w:val="00536E4B"/>
    <w:rsid w:val="00537559"/>
    <w:rsid w:val="00537BF1"/>
    <w:rsid w:val="00542755"/>
    <w:rsid w:val="00542ABF"/>
    <w:rsid w:val="005435DE"/>
    <w:rsid w:val="005444D2"/>
    <w:rsid w:val="00544C91"/>
    <w:rsid w:val="00545F2A"/>
    <w:rsid w:val="00547817"/>
    <w:rsid w:val="005501B7"/>
    <w:rsid w:val="005510DF"/>
    <w:rsid w:val="005523C3"/>
    <w:rsid w:val="00554B6F"/>
    <w:rsid w:val="005550B0"/>
    <w:rsid w:val="00555783"/>
    <w:rsid w:val="00555CDD"/>
    <w:rsid w:val="005571C8"/>
    <w:rsid w:val="0056138C"/>
    <w:rsid w:val="00562663"/>
    <w:rsid w:val="00563022"/>
    <w:rsid w:val="0056339D"/>
    <w:rsid w:val="0056398E"/>
    <w:rsid w:val="0056536B"/>
    <w:rsid w:val="00567320"/>
    <w:rsid w:val="005675A4"/>
    <w:rsid w:val="00567EC5"/>
    <w:rsid w:val="00570141"/>
    <w:rsid w:val="0057207C"/>
    <w:rsid w:val="005750A9"/>
    <w:rsid w:val="00575A92"/>
    <w:rsid w:val="005774C1"/>
    <w:rsid w:val="00577D01"/>
    <w:rsid w:val="00580F4F"/>
    <w:rsid w:val="005814B5"/>
    <w:rsid w:val="00582B4A"/>
    <w:rsid w:val="00583096"/>
    <w:rsid w:val="00584F9C"/>
    <w:rsid w:val="0058509F"/>
    <w:rsid w:val="0058644E"/>
    <w:rsid w:val="00586E1B"/>
    <w:rsid w:val="005875DD"/>
    <w:rsid w:val="00590656"/>
    <w:rsid w:val="00594038"/>
    <w:rsid w:val="00594449"/>
    <w:rsid w:val="005959D8"/>
    <w:rsid w:val="00596929"/>
    <w:rsid w:val="00597512"/>
    <w:rsid w:val="005976F4"/>
    <w:rsid w:val="005A0643"/>
    <w:rsid w:val="005A0878"/>
    <w:rsid w:val="005A10EA"/>
    <w:rsid w:val="005A1DF2"/>
    <w:rsid w:val="005A2A8C"/>
    <w:rsid w:val="005A32B0"/>
    <w:rsid w:val="005A44FB"/>
    <w:rsid w:val="005A58C2"/>
    <w:rsid w:val="005A6B04"/>
    <w:rsid w:val="005A7961"/>
    <w:rsid w:val="005B02A7"/>
    <w:rsid w:val="005B1051"/>
    <w:rsid w:val="005B143E"/>
    <w:rsid w:val="005B20B3"/>
    <w:rsid w:val="005B3E6E"/>
    <w:rsid w:val="005B4B25"/>
    <w:rsid w:val="005B5168"/>
    <w:rsid w:val="005B5F67"/>
    <w:rsid w:val="005B61E1"/>
    <w:rsid w:val="005B7C9E"/>
    <w:rsid w:val="005B7F41"/>
    <w:rsid w:val="005C07F0"/>
    <w:rsid w:val="005C2038"/>
    <w:rsid w:val="005C27CD"/>
    <w:rsid w:val="005C3462"/>
    <w:rsid w:val="005C3B17"/>
    <w:rsid w:val="005C4372"/>
    <w:rsid w:val="005C4A4A"/>
    <w:rsid w:val="005C4E0A"/>
    <w:rsid w:val="005C5402"/>
    <w:rsid w:val="005C7A38"/>
    <w:rsid w:val="005D06FD"/>
    <w:rsid w:val="005D1303"/>
    <w:rsid w:val="005D142F"/>
    <w:rsid w:val="005D1D93"/>
    <w:rsid w:val="005D2A0C"/>
    <w:rsid w:val="005D312C"/>
    <w:rsid w:val="005D3B47"/>
    <w:rsid w:val="005D439A"/>
    <w:rsid w:val="005D47D8"/>
    <w:rsid w:val="005E08DD"/>
    <w:rsid w:val="005E10C6"/>
    <w:rsid w:val="005E1232"/>
    <w:rsid w:val="005E1AD1"/>
    <w:rsid w:val="005E205E"/>
    <w:rsid w:val="005E3565"/>
    <w:rsid w:val="005E4736"/>
    <w:rsid w:val="005E4911"/>
    <w:rsid w:val="005E4F9E"/>
    <w:rsid w:val="005F270B"/>
    <w:rsid w:val="005F30CF"/>
    <w:rsid w:val="005F48EF"/>
    <w:rsid w:val="005F5ABF"/>
    <w:rsid w:val="005F6DAA"/>
    <w:rsid w:val="00601264"/>
    <w:rsid w:val="00601CB5"/>
    <w:rsid w:val="006020C3"/>
    <w:rsid w:val="00602F1C"/>
    <w:rsid w:val="00603588"/>
    <w:rsid w:val="00603D42"/>
    <w:rsid w:val="00606958"/>
    <w:rsid w:val="00607091"/>
    <w:rsid w:val="006078A5"/>
    <w:rsid w:val="00610033"/>
    <w:rsid w:val="00610904"/>
    <w:rsid w:val="00611A0A"/>
    <w:rsid w:val="0061207C"/>
    <w:rsid w:val="006142D9"/>
    <w:rsid w:val="006144A8"/>
    <w:rsid w:val="00614DEA"/>
    <w:rsid w:val="00615626"/>
    <w:rsid w:val="00615D5F"/>
    <w:rsid w:val="006163E9"/>
    <w:rsid w:val="006178E8"/>
    <w:rsid w:val="00621929"/>
    <w:rsid w:val="00622F18"/>
    <w:rsid w:val="00623A6A"/>
    <w:rsid w:val="006251ED"/>
    <w:rsid w:val="00625DF9"/>
    <w:rsid w:val="006262D4"/>
    <w:rsid w:val="00626C14"/>
    <w:rsid w:val="006273CB"/>
    <w:rsid w:val="006350EB"/>
    <w:rsid w:val="00636E1F"/>
    <w:rsid w:val="00641388"/>
    <w:rsid w:val="00641902"/>
    <w:rsid w:val="00641C03"/>
    <w:rsid w:val="006442D4"/>
    <w:rsid w:val="0064533C"/>
    <w:rsid w:val="00645C29"/>
    <w:rsid w:val="00645FF0"/>
    <w:rsid w:val="0064738C"/>
    <w:rsid w:val="00650729"/>
    <w:rsid w:val="00651432"/>
    <w:rsid w:val="0065360C"/>
    <w:rsid w:val="00653A30"/>
    <w:rsid w:val="00654E5F"/>
    <w:rsid w:val="00657014"/>
    <w:rsid w:val="0066004E"/>
    <w:rsid w:val="0066155A"/>
    <w:rsid w:val="0066207F"/>
    <w:rsid w:val="00662C0E"/>
    <w:rsid w:val="00662EC8"/>
    <w:rsid w:val="00662F1A"/>
    <w:rsid w:val="00663830"/>
    <w:rsid w:val="00663D7C"/>
    <w:rsid w:val="006650DF"/>
    <w:rsid w:val="006679B4"/>
    <w:rsid w:val="00671491"/>
    <w:rsid w:val="006714D1"/>
    <w:rsid w:val="00674358"/>
    <w:rsid w:val="006747AA"/>
    <w:rsid w:val="0067538E"/>
    <w:rsid w:val="006753CE"/>
    <w:rsid w:val="00677588"/>
    <w:rsid w:val="00677BD3"/>
    <w:rsid w:val="00677E74"/>
    <w:rsid w:val="00677EC3"/>
    <w:rsid w:val="006803F3"/>
    <w:rsid w:val="006805C3"/>
    <w:rsid w:val="006808E4"/>
    <w:rsid w:val="00681158"/>
    <w:rsid w:val="006818FA"/>
    <w:rsid w:val="00683100"/>
    <w:rsid w:val="0068365D"/>
    <w:rsid w:val="00687FC5"/>
    <w:rsid w:val="006920CC"/>
    <w:rsid w:val="00693D16"/>
    <w:rsid w:val="00696185"/>
    <w:rsid w:val="006961D0"/>
    <w:rsid w:val="00697153"/>
    <w:rsid w:val="006A0775"/>
    <w:rsid w:val="006A0BDD"/>
    <w:rsid w:val="006A1685"/>
    <w:rsid w:val="006A36A5"/>
    <w:rsid w:val="006A3788"/>
    <w:rsid w:val="006A4800"/>
    <w:rsid w:val="006A5067"/>
    <w:rsid w:val="006A527F"/>
    <w:rsid w:val="006A728E"/>
    <w:rsid w:val="006B2CD1"/>
    <w:rsid w:val="006B4E28"/>
    <w:rsid w:val="006B5115"/>
    <w:rsid w:val="006B6975"/>
    <w:rsid w:val="006B7FEF"/>
    <w:rsid w:val="006C32CA"/>
    <w:rsid w:val="006C486B"/>
    <w:rsid w:val="006C5068"/>
    <w:rsid w:val="006C7903"/>
    <w:rsid w:val="006D0928"/>
    <w:rsid w:val="006D13E7"/>
    <w:rsid w:val="006D1529"/>
    <w:rsid w:val="006D376C"/>
    <w:rsid w:val="006D428A"/>
    <w:rsid w:val="006D79A4"/>
    <w:rsid w:val="006D7F48"/>
    <w:rsid w:val="006E253B"/>
    <w:rsid w:val="006E264D"/>
    <w:rsid w:val="006E2A26"/>
    <w:rsid w:val="006E3F86"/>
    <w:rsid w:val="006E4CEE"/>
    <w:rsid w:val="006E502B"/>
    <w:rsid w:val="006F07E6"/>
    <w:rsid w:val="006F1D1A"/>
    <w:rsid w:val="006F3910"/>
    <w:rsid w:val="006F7B3C"/>
    <w:rsid w:val="006F7D38"/>
    <w:rsid w:val="00701FAC"/>
    <w:rsid w:val="007037C7"/>
    <w:rsid w:val="0070685A"/>
    <w:rsid w:val="0071342E"/>
    <w:rsid w:val="0071482F"/>
    <w:rsid w:val="007156C2"/>
    <w:rsid w:val="00715B9A"/>
    <w:rsid w:val="0071696F"/>
    <w:rsid w:val="007226D5"/>
    <w:rsid w:val="007230A0"/>
    <w:rsid w:val="0072328D"/>
    <w:rsid w:val="007234E7"/>
    <w:rsid w:val="0072517C"/>
    <w:rsid w:val="00725FF5"/>
    <w:rsid w:val="007260FB"/>
    <w:rsid w:val="00726798"/>
    <w:rsid w:val="00727200"/>
    <w:rsid w:val="007313C3"/>
    <w:rsid w:val="0073469A"/>
    <w:rsid w:val="00734C7D"/>
    <w:rsid w:val="007378BA"/>
    <w:rsid w:val="00740CC7"/>
    <w:rsid w:val="00744CA7"/>
    <w:rsid w:val="0074600E"/>
    <w:rsid w:val="00746B47"/>
    <w:rsid w:val="007534F7"/>
    <w:rsid w:val="00753CE1"/>
    <w:rsid w:val="00756D09"/>
    <w:rsid w:val="00756ECD"/>
    <w:rsid w:val="0076216D"/>
    <w:rsid w:val="00762CCD"/>
    <w:rsid w:val="0076468C"/>
    <w:rsid w:val="00764E20"/>
    <w:rsid w:val="0076589E"/>
    <w:rsid w:val="007658DF"/>
    <w:rsid w:val="00766B12"/>
    <w:rsid w:val="00766C39"/>
    <w:rsid w:val="00771064"/>
    <w:rsid w:val="007732E4"/>
    <w:rsid w:val="007760B3"/>
    <w:rsid w:val="00780B26"/>
    <w:rsid w:val="00783FFF"/>
    <w:rsid w:val="00786CD1"/>
    <w:rsid w:val="00787438"/>
    <w:rsid w:val="00790386"/>
    <w:rsid w:val="007915FB"/>
    <w:rsid w:val="007916C1"/>
    <w:rsid w:val="0079214E"/>
    <w:rsid w:val="00792ECD"/>
    <w:rsid w:val="00792F71"/>
    <w:rsid w:val="00793F1C"/>
    <w:rsid w:val="00794BF0"/>
    <w:rsid w:val="007950D7"/>
    <w:rsid w:val="00795F5F"/>
    <w:rsid w:val="0079783D"/>
    <w:rsid w:val="00797A4E"/>
    <w:rsid w:val="007A237B"/>
    <w:rsid w:val="007A4E0E"/>
    <w:rsid w:val="007A6EE9"/>
    <w:rsid w:val="007B0C87"/>
    <w:rsid w:val="007B1756"/>
    <w:rsid w:val="007B2CE6"/>
    <w:rsid w:val="007B2CF5"/>
    <w:rsid w:val="007B3443"/>
    <w:rsid w:val="007B5711"/>
    <w:rsid w:val="007C0734"/>
    <w:rsid w:val="007C152C"/>
    <w:rsid w:val="007C277B"/>
    <w:rsid w:val="007C2959"/>
    <w:rsid w:val="007C401C"/>
    <w:rsid w:val="007C66B1"/>
    <w:rsid w:val="007C7889"/>
    <w:rsid w:val="007D19F1"/>
    <w:rsid w:val="007D1E9D"/>
    <w:rsid w:val="007D22DF"/>
    <w:rsid w:val="007D3A79"/>
    <w:rsid w:val="007D413B"/>
    <w:rsid w:val="007D41E0"/>
    <w:rsid w:val="007D585C"/>
    <w:rsid w:val="007D65B3"/>
    <w:rsid w:val="007D72DC"/>
    <w:rsid w:val="007E0FB8"/>
    <w:rsid w:val="007E1208"/>
    <w:rsid w:val="007E2D36"/>
    <w:rsid w:val="007E3CF8"/>
    <w:rsid w:val="007F13CC"/>
    <w:rsid w:val="007F3DC9"/>
    <w:rsid w:val="007F47B6"/>
    <w:rsid w:val="007F5E22"/>
    <w:rsid w:val="007F7F51"/>
    <w:rsid w:val="00801E49"/>
    <w:rsid w:val="00802855"/>
    <w:rsid w:val="008041AD"/>
    <w:rsid w:val="00805AA1"/>
    <w:rsid w:val="00806CFA"/>
    <w:rsid w:val="00812629"/>
    <w:rsid w:val="00813A9D"/>
    <w:rsid w:val="008149B0"/>
    <w:rsid w:val="008164FD"/>
    <w:rsid w:val="00817165"/>
    <w:rsid w:val="008173DE"/>
    <w:rsid w:val="00817F01"/>
    <w:rsid w:val="00823431"/>
    <w:rsid w:val="00825A3F"/>
    <w:rsid w:val="00827377"/>
    <w:rsid w:val="00827892"/>
    <w:rsid w:val="00827F4C"/>
    <w:rsid w:val="00827F60"/>
    <w:rsid w:val="00830022"/>
    <w:rsid w:val="00830D84"/>
    <w:rsid w:val="00832C62"/>
    <w:rsid w:val="0083447A"/>
    <w:rsid w:val="0083526D"/>
    <w:rsid w:val="008357AC"/>
    <w:rsid w:val="008357DB"/>
    <w:rsid w:val="00835C39"/>
    <w:rsid w:val="00836473"/>
    <w:rsid w:val="008364EF"/>
    <w:rsid w:val="00836BA0"/>
    <w:rsid w:val="00837072"/>
    <w:rsid w:val="00841163"/>
    <w:rsid w:val="00841177"/>
    <w:rsid w:val="00841C99"/>
    <w:rsid w:val="00841D75"/>
    <w:rsid w:val="00845065"/>
    <w:rsid w:val="00845C6D"/>
    <w:rsid w:val="00847AFE"/>
    <w:rsid w:val="00850706"/>
    <w:rsid w:val="00852A2E"/>
    <w:rsid w:val="00852B50"/>
    <w:rsid w:val="00854AEC"/>
    <w:rsid w:val="00854EA4"/>
    <w:rsid w:val="0085517C"/>
    <w:rsid w:val="00855212"/>
    <w:rsid w:val="0085538B"/>
    <w:rsid w:val="008553D8"/>
    <w:rsid w:val="00855C2E"/>
    <w:rsid w:val="00856968"/>
    <w:rsid w:val="008604F4"/>
    <w:rsid w:val="00860538"/>
    <w:rsid w:val="00861465"/>
    <w:rsid w:val="00861A2D"/>
    <w:rsid w:val="00862DEA"/>
    <w:rsid w:val="00863526"/>
    <w:rsid w:val="00864DEB"/>
    <w:rsid w:val="00865072"/>
    <w:rsid w:val="008664F5"/>
    <w:rsid w:val="00866658"/>
    <w:rsid w:val="00870970"/>
    <w:rsid w:val="0087130E"/>
    <w:rsid w:val="00871F5C"/>
    <w:rsid w:val="00872AB7"/>
    <w:rsid w:val="008747E8"/>
    <w:rsid w:val="008778CE"/>
    <w:rsid w:val="00880003"/>
    <w:rsid w:val="008802D9"/>
    <w:rsid w:val="00880810"/>
    <w:rsid w:val="00882CCC"/>
    <w:rsid w:val="0088311A"/>
    <w:rsid w:val="00885BAE"/>
    <w:rsid w:val="008872FD"/>
    <w:rsid w:val="00887503"/>
    <w:rsid w:val="0088750E"/>
    <w:rsid w:val="00892055"/>
    <w:rsid w:val="008942A5"/>
    <w:rsid w:val="00894926"/>
    <w:rsid w:val="00894BA9"/>
    <w:rsid w:val="008956E2"/>
    <w:rsid w:val="008966F4"/>
    <w:rsid w:val="008978A9"/>
    <w:rsid w:val="008A19DC"/>
    <w:rsid w:val="008A2184"/>
    <w:rsid w:val="008A2211"/>
    <w:rsid w:val="008A4E77"/>
    <w:rsid w:val="008A55DF"/>
    <w:rsid w:val="008A57FA"/>
    <w:rsid w:val="008A58D6"/>
    <w:rsid w:val="008A63D3"/>
    <w:rsid w:val="008A7D78"/>
    <w:rsid w:val="008B157E"/>
    <w:rsid w:val="008B42D8"/>
    <w:rsid w:val="008B4F40"/>
    <w:rsid w:val="008B4F7D"/>
    <w:rsid w:val="008B53C2"/>
    <w:rsid w:val="008B60A7"/>
    <w:rsid w:val="008B789A"/>
    <w:rsid w:val="008C0567"/>
    <w:rsid w:val="008C0EEA"/>
    <w:rsid w:val="008C22FF"/>
    <w:rsid w:val="008C2422"/>
    <w:rsid w:val="008C24BC"/>
    <w:rsid w:val="008C290B"/>
    <w:rsid w:val="008C2CCE"/>
    <w:rsid w:val="008C4C14"/>
    <w:rsid w:val="008C6CBB"/>
    <w:rsid w:val="008D14BB"/>
    <w:rsid w:val="008D1C4A"/>
    <w:rsid w:val="008D220C"/>
    <w:rsid w:val="008D2E09"/>
    <w:rsid w:val="008D43D9"/>
    <w:rsid w:val="008D5E1D"/>
    <w:rsid w:val="008D7907"/>
    <w:rsid w:val="008D7B3A"/>
    <w:rsid w:val="008E2C80"/>
    <w:rsid w:val="008E3673"/>
    <w:rsid w:val="008E38B6"/>
    <w:rsid w:val="008E4341"/>
    <w:rsid w:val="008E474A"/>
    <w:rsid w:val="008E668D"/>
    <w:rsid w:val="008E687B"/>
    <w:rsid w:val="008E6C52"/>
    <w:rsid w:val="008E73AA"/>
    <w:rsid w:val="008F0127"/>
    <w:rsid w:val="008F273C"/>
    <w:rsid w:val="008F37DF"/>
    <w:rsid w:val="008F3B2E"/>
    <w:rsid w:val="008F7949"/>
    <w:rsid w:val="00907E5C"/>
    <w:rsid w:val="00911574"/>
    <w:rsid w:val="00916AA5"/>
    <w:rsid w:val="00917117"/>
    <w:rsid w:val="0091796A"/>
    <w:rsid w:val="009221FA"/>
    <w:rsid w:val="00922321"/>
    <w:rsid w:val="00923CD3"/>
    <w:rsid w:val="00924048"/>
    <w:rsid w:val="00926AF0"/>
    <w:rsid w:val="00927C4A"/>
    <w:rsid w:val="009303FF"/>
    <w:rsid w:val="0093058C"/>
    <w:rsid w:val="00932A63"/>
    <w:rsid w:val="00934343"/>
    <w:rsid w:val="009350C6"/>
    <w:rsid w:val="00935693"/>
    <w:rsid w:val="00940D86"/>
    <w:rsid w:val="00941013"/>
    <w:rsid w:val="00941F5D"/>
    <w:rsid w:val="0094200B"/>
    <w:rsid w:val="00942C11"/>
    <w:rsid w:val="00944A8D"/>
    <w:rsid w:val="00944E13"/>
    <w:rsid w:val="00944EAA"/>
    <w:rsid w:val="00945CBA"/>
    <w:rsid w:val="0094628B"/>
    <w:rsid w:val="009463F6"/>
    <w:rsid w:val="00946455"/>
    <w:rsid w:val="009469FB"/>
    <w:rsid w:val="00947169"/>
    <w:rsid w:val="009500CD"/>
    <w:rsid w:val="0095033A"/>
    <w:rsid w:val="00950D74"/>
    <w:rsid w:val="00951823"/>
    <w:rsid w:val="00951EC3"/>
    <w:rsid w:val="009530A1"/>
    <w:rsid w:val="00953111"/>
    <w:rsid w:val="00956779"/>
    <w:rsid w:val="00961327"/>
    <w:rsid w:val="009640FE"/>
    <w:rsid w:val="0096651C"/>
    <w:rsid w:val="00966854"/>
    <w:rsid w:val="00972F01"/>
    <w:rsid w:val="009812EF"/>
    <w:rsid w:val="00986AB0"/>
    <w:rsid w:val="00986DE7"/>
    <w:rsid w:val="00987042"/>
    <w:rsid w:val="00987F2E"/>
    <w:rsid w:val="00990D6B"/>
    <w:rsid w:val="009946DB"/>
    <w:rsid w:val="00994864"/>
    <w:rsid w:val="00997327"/>
    <w:rsid w:val="0099753F"/>
    <w:rsid w:val="009A0304"/>
    <w:rsid w:val="009A14D1"/>
    <w:rsid w:val="009A1E33"/>
    <w:rsid w:val="009A2176"/>
    <w:rsid w:val="009A2EB5"/>
    <w:rsid w:val="009A32E7"/>
    <w:rsid w:val="009A4058"/>
    <w:rsid w:val="009A45A9"/>
    <w:rsid w:val="009A5F54"/>
    <w:rsid w:val="009A6375"/>
    <w:rsid w:val="009B033F"/>
    <w:rsid w:val="009B05FE"/>
    <w:rsid w:val="009B1F1D"/>
    <w:rsid w:val="009B5D66"/>
    <w:rsid w:val="009C3863"/>
    <w:rsid w:val="009C38E5"/>
    <w:rsid w:val="009C435E"/>
    <w:rsid w:val="009C521C"/>
    <w:rsid w:val="009C55BD"/>
    <w:rsid w:val="009C5D12"/>
    <w:rsid w:val="009C719E"/>
    <w:rsid w:val="009C7D4F"/>
    <w:rsid w:val="009D0A69"/>
    <w:rsid w:val="009D5311"/>
    <w:rsid w:val="009D555F"/>
    <w:rsid w:val="009D5889"/>
    <w:rsid w:val="009D7989"/>
    <w:rsid w:val="009D7C1D"/>
    <w:rsid w:val="009E081C"/>
    <w:rsid w:val="009E28E2"/>
    <w:rsid w:val="009E7834"/>
    <w:rsid w:val="009E7C76"/>
    <w:rsid w:val="009F1D42"/>
    <w:rsid w:val="009F3941"/>
    <w:rsid w:val="009F3D78"/>
    <w:rsid w:val="00A02D00"/>
    <w:rsid w:val="00A043BF"/>
    <w:rsid w:val="00A044FE"/>
    <w:rsid w:val="00A05246"/>
    <w:rsid w:val="00A05847"/>
    <w:rsid w:val="00A05C48"/>
    <w:rsid w:val="00A06F0C"/>
    <w:rsid w:val="00A0766E"/>
    <w:rsid w:val="00A07E0B"/>
    <w:rsid w:val="00A1078C"/>
    <w:rsid w:val="00A109CF"/>
    <w:rsid w:val="00A116C2"/>
    <w:rsid w:val="00A1191E"/>
    <w:rsid w:val="00A14904"/>
    <w:rsid w:val="00A14D3E"/>
    <w:rsid w:val="00A151A5"/>
    <w:rsid w:val="00A1613D"/>
    <w:rsid w:val="00A170E4"/>
    <w:rsid w:val="00A17642"/>
    <w:rsid w:val="00A17E5A"/>
    <w:rsid w:val="00A212B0"/>
    <w:rsid w:val="00A217D7"/>
    <w:rsid w:val="00A22D50"/>
    <w:rsid w:val="00A235F9"/>
    <w:rsid w:val="00A23F74"/>
    <w:rsid w:val="00A258D3"/>
    <w:rsid w:val="00A25CA4"/>
    <w:rsid w:val="00A306C5"/>
    <w:rsid w:val="00A308F2"/>
    <w:rsid w:val="00A30FA7"/>
    <w:rsid w:val="00A312D6"/>
    <w:rsid w:val="00A31E5C"/>
    <w:rsid w:val="00A3389C"/>
    <w:rsid w:val="00A35CB0"/>
    <w:rsid w:val="00A36E9A"/>
    <w:rsid w:val="00A4010F"/>
    <w:rsid w:val="00A4094A"/>
    <w:rsid w:val="00A425FC"/>
    <w:rsid w:val="00A441AB"/>
    <w:rsid w:val="00A457BC"/>
    <w:rsid w:val="00A476DD"/>
    <w:rsid w:val="00A47D99"/>
    <w:rsid w:val="00A51726"/>
    <w:rsid w:val="00A52529"/>
    <w:rsid w:val="00A54A85"/>
    <w:rsid w:val="00A637FE"/>
    <w:rsid w:val="00A63A0A"/>
    <w:rsid w:val="00A670A6"/>
    <w:rsid w:val="00A6733B"/>
    <w:rsid w:val="00A714BB"/>
    <w:rsid w:val="00A74840"/>
    <w:rsid w:val="00A75310"/>
    <w:rsid w:val="00A77418"/>
    <w:rsid w:val="00A8072E"/>
    <w:rsid w:val="00A81333"/>
    <w:rsid w:val="00A813CE"/>
    <w:rsid w:val="00A82536"/>
    <w:rsid w:val="00A826BC"/>
    <w:rsid w:val="00A829BE"/>
    <w:rsid w:val="00A8385C"/>
    <w:rsid w:val="00A838D5"/>
    <w:rsid w:val="00A85684"/>
    <w:rsid w:val="00A858AE"/>
    <w:rsid w:val="00A86868"/>
    <w:rsid w:val="00A86EA4"/>
    <w:rsid w:val="00A87026"/>
    <w:rsid w:val="00A870F6"/>
    <w:rsid w:val="00A90089"/>
    <w:rsid w:val="00A9101C"/>
    <w:rsid w:val="00A92118"/>
    <w:rsid w:val="00A92C5C"/>
    <w:rsid w:val="00A932E0"/>
    <w:rsid w:val="00A9743F"/>
    <w:rsid w:val="00A9745B"/>
    <w:rsid w:val="00AA493E"/>
    <w:rsid w:val="00AA6709"/>
    <w:rsid w:val="00AB1D8A"/>
    <w:rsid w:val="00AB3753"/>
    <w:rsid w:val="00AB600B"/>
    <w:rsid w:val="00AB70CC"/>
    <w:rsid w:val="00AC05AD"/>
    <w:rsid w:val="00AC1CDE"/>
    <w:rsid w:val="00AC2638"/>
    <w:rsid w:val="00AC2FC4"/>
    <w:rsid w:val="00AC33C4"/>
    <w:rsid w:val="00AD001D"/>
    <w:rsid w:val="00AD0601"/>
    <w:rsid w:val="00AD1522"/>
    <w:rsid w:val="00AD28F4"/>
    <w:rsid w:val="00AD2E66"/>
    <w:rsid w:val="00AD326E"/>
    <w:rsid w:val="00AD3D18"/>
    <w:rsid w:val="00AD3D88"/>
    <w:rsid w:val="00AD4401"/>
    <w:rsid w:val="00AD4ADC"/>
    <w:rsid w:val="00AD687D"/>
    <w:rsid w:val="00AD719B"/>
    <w:rsid w:val="00AD76E8"/>
    <w:rsid w:val="00AE0D76"/>
    <w:rsid w:val="00AE1BCF"/>
    <w:rsid w:val="00AE34C7"/>
    <w:rsid w:val="00AE4388"/>
    <w:rsid w:val="00AE5133"/>
    <w:rsid w:val="00AE7220"/>
    <w:rsid w:val="00AF038E"/>
    <w:rsid w:val="00AF0399"/>
    <w:rsid w:val="00AF14CB"/>
    <w:rsid w:val="00AF76DD"/>
    <w:rsid w:val="00B006F5"/>
    <w:rsid w:val="00B01D0E"/>
    <w:rsid w:val="00B0336F"/>
    <w:rsid w:val="00B0371D"/>
    <w:rsid w:val="00B053EA"/>
    <w:rsid w:val="00B0579D"/>
    <w:rsid w:val="00B05D06"/>
    <w:rsid w:val="00B05F0B"/>
    <w:rsid w:val="00B06AED"/>
    <w:rsid w:val="00B07430"/>
    <w:rsid w:val="00B11DD1"/>
    <w:rsid w:val="00B13A75"/>
    <w:rsid w:val="00B16420"/>
    <w:rsid w:val="00B21702"/>
    <w:rsid w:val="00B2178E"/>
    <w:rsid w:val="00B22AB5"/>
    <w:rsid w:val="00B22F63"/>
    <w:rsid w:val="00B25D99"/>
    <w:rsid w:val="00B2704A"/>
    <w:rsid w:val="00B27D2F"/>
    <w:rsid w:val="00B31E31"/>
    <w:rsid w:val="00B35B59"/>
    <w:rsid w:val="00B35DBA"/>
    <w:rsid w:val="00B364E5"/>
    <w:rsid w:val="00B36A37"/>
    <w:rsid w:val="00B41C79"/>
    <w:rsid w:val="00B421F5"/>
    <w:rsid w:val="00B4406D"/>
    <w:rsid w:val="00B45E43"/>
    <w:rsid w:val="00B465E9"/>
    <w:rsid w:val="00B47917"/>
    <w:rsid w:val="00B50271"/>
    <w:rsid w:val="00B517E3"/>
    <w:rsid w:val="00B51E73"/>
    <w:rsid w:val="00B53011"/>
    <w:rsid w:val="00B53B66"/>
    <w:rsid w:val="00B5479B"/>
    <w:rsid w:val="00B554BE"/>
    <w:rsid w:val="00B55D72"/>
    <w:rsid w:val="00B5759A"/>
    <w:rsid w:val="00B6151E"/>
    <w:rsid w:val="00B61B2A"/>
    <w:rsid w:val="00B61D16"/>
    <w:rsid w:val="00B628C2"/>
    <w:rsid w:val="00B63D4D"/>
    <w:rsid w:val="00B735F9"/>
    <w:rsid w:val="00B7425D"/>
    <w:rsid w:val="00B75755"/>
    <w:rsid w:val="00B80C71"/>
    <w:rsid w:val="00B81EA0"/>
    <w:rsid w:val="00B82FFC"/>
    <w:rsid w:val="00B83277"/>
    <w:rsid w:val="00B83651"/>
    <w:rsid w:val="00B86EDB"/>
    <w:rsid w:val="00B872AD"/>
    <w:rsid w:val="00B874D1"/>
    <w:rsid w:val="00B87EAD"/>
    <w:rsid w:val="00B905B5"/>
    <w:rsid w:val="00B91997"/>
    <w:rsid w:val="00B91A91"/>
    <w:rsid w:val="00B9200D"/>
    <w:rsid w:val="00B93D77"/>
    <w:rsid w:val="00B95158"/>
    <w:rsid w:val="00B95390"/>
    <w:rsid w:val="00B962C7"/>
    <w:rsid w:val="00B97B2E"/>
    <w:rsid w:val="00BA0151"/>
    <w:rsid w:val="00BA0AD2"/>
    <w:rsid w:val="00BA1329"/>
    <w:rsid w:val="00BA561C"/>
    <w:rsid w:val="00BA5DB2"/>
    <w:rsid w:val="00BA708E"/>
    <w:rsid w:val="00BA70D1"/>
    <w:rsid w:val="00BA7D8F"/>
    <w:rsid w:val="00BB0445"/>
    <w:rsid w:val="00BB127D"/>
    <w:rsid w:val="00BB1BFF"/>
    <w:rsid w:val="00BB1F24"/>
    <w:rsid w:val="00BB24ED"/>
    <w:rsid w:val="00BB2CAB"/>
    <w:rsid w:val="00BB4ADF"/>
    <w:rsid w:val="00BB69A9"/>
    <w:rsid w:val="00BB71B4"/>
    <w:rsid w:val="00BC104B"/>
    <w:rsid w:val="00BC2CDB"/>
    <w:rsid w:val="00BC4152"/>
    <w:rsid w:val="00BC7469"/>
    <w:rsid w:val="00BC7870"/>
    <w:rsid w:val="00BD0379"/>
    <w:rsid w:val="00BD3CD6"/>
    <w:rsid w:val="00BD3DC0"/>
    <w:rsid w:val="00BD5E19"/>
    <w:rsid w:val="00BD672B"/>
    <w:rsid w:val="00BD69E6"/>
    <w:rsid w:val="00BD7101"/>
    <w:rsid w:val="00BE3CC3"/>
    <w:rsid w:val="00BE51E2"/>
    <w:rsid w:val="00BE5C59"/>
    <w:rsid w:val="00BE6C7A"/>
    <w:rsid w:val="00BE7877"/>
    <w:rsid w:val="00BE7F56"/>
    <w:rsid w:val="00BF0C4F"/>
    <w:rsid w:val="00BF5717"/>
    <w:rsid w:val="00C00DB5"/>
    <w:rsid w:val="00C00E4B"/>
    <w:rsid w:val="00C01FDD"/>
    <w:rsid w:val="00C0500D"/>
    <w:rsid w:val="00C056AB"/>
    <w:rsid w:val="00C05754"/>
    <w:rsid w:val="00C066A2"/>
    <w:rsid w:val="00C07AAA"/>
    <w:rsid w:val="00C07C1F"/>
    <w:rsid w:val="00C11C30"/>
    <w:rsid w:val="00C140A8"/>
    <w:rsid w:val="00C1438F"/>
    <w:rsid w:val="00C147D9"/>
    <w:rsid w:val="00C15132"/>
    <w:rsid w:val="00C16090"/>
    <w:rsid w:val="00C221F3"/>
    <w:rsid w:val="00C23363"/>
    <w:rsid w:val="00C23950"/>
    <w:rsid w:val="00C2590C"/>
    <w:rsid w:val="00C25A62"/>
    <w:rsid w:val="00C26B4F"/>
    <w:rsid w:val="00C31070"/>
    <w:rsid w:val="00C31899"/>
    <w:rsid w:val="00C33211"/>
    <w:rsid w:val="00C340A4"/>
    <w:rsid w:val="00C3443D"/>
    <w:rsid w:val="00C34CEA"/>
    <w:rsid w:val="00C34DB3"/>
    <w:rsid w:val="00C35CEF"/>
    <w:rsid w:val="00C35EFF"/>
    <w:rsid w:val="00C3612F"/>
    <w:rsid w:val="00C36E8F"/>
    <w:rsid w:val="00C42E7A"/>
    <w:rsid w:val="00C44085"/>
    <w:rsid w:val="00C531D0"/>
    <w:rsid w:val="00C532F1"/>
    <w:rsid w:val="00C55854"/>
    <w:rsid w:val="00C561A5"/>
    <w:rsid w:val="00C605F2"/>
    <w:rsid w:val="00C61149"/>
    <w:rsid w:val="00C65B04"/>
    <w:rsid w:val="00C701A6"/>
    <w:rsid w:val="00C70659"/>
    <w:rsid w:val="00C716B7"/>
    <w:rsid w:val="00C720E6"/>
    <w:rsid w:val="00C7344B"/>
    <w:rsid w:val="00C76465"/>
    <w:rsid w:val="00C76E6E"/>
    <w:rsid w:val="00C7735B"/>
    <w:rsid w:val="00C80E28"/>
    <w:rsid w:val="00C812E4"/>
    <w:rsid w:val="00C81364"/>
    <w:rsid w:val="00C81D57"/>
    <w:rsid w:val="00C86069"/>
    <w:rsid w:val="00C91069"/>
    <w:rsid w:val="00C91A63"/>
    <w:rsid w:val="00C94345"/>
    <w:rsid w:val="00C94C5D"/>
    <w:rsid w:val="00C96AD9"/>
    <w:rsid w:val="00CA2832"/>
    <w:rsid w:val="00CA439B"/>
    <w:rsid w:val="00CB4FDE"/>
    <w:rsid w:val="00CB55C4"/>
    <w:rsid w:val="00CB596F"/>
    <w:rsid w:val="00CB59B7"/>
    <w:rsid w:val="00CC0C6D"/>
    <w:rsid w:val="00CC0EA4"/>
    <w:rsid w:val="00CC1A4E"/>
    <w:rsid w:val="00CC1D13"/>
    <w:rsid w:val="00CC30FE"/>
    <w:rsid w:val="00CC4639"/>
    <w:rsid w:val="00CC5FB6"/>
    <w:rsid w:val="00CC6C50"/>
    <w:rsid w:val="00CC711D"/>
    <w:rsid w:val="00CD3738"/>
    <w:rsid w:val="00CD5C58"/>
    <w:rsid w:val="00CD6500"/>
    <w:rsid w:val="00CD6660"/>
    <w:rsid w:val="00CD6BC6"/>
    <w:rsid w:val="00CD79DC"/>
    <w:rsid w:val="00CE2091"/>
    <w:rsid w:val="00CE307A"/>
    <w:rsid w:val="00CE5B25"/>
    <w:rsid w:val="00CE5BCA"/>
    <w:rsid w:val="00CE613B"/>
    <w:rsid w:val="00CE7E21"/>
    <w:rsid w:val="00CE7F5A"/>
    <w:rsid w:val="00CF11B6"/>
    <w:rsid w:val="00CF12AE"/>
    <w:rsid w:val="00CF12CB"/>
    <w:rsid w:val="00CF2C86"/>
    <w:rsid w:val="00CF5A1B"/>
    <w:rsid w:val="00CF7B4D"/>
    <w:rsid w:val="00D0270E"/>
    <w:rsid w:val="00D02C96"/>
    <w:rsid w:val="00D03D4D"/>
    <w:rsid w:val="00D06F30"/>
    <w:rsid w:val="00D076F6"/>
    <w:rsid w:val="00D0798C"/>
    <w:rsid w:val="00D07CE7"/>
    <w:rsid w:val="00D113EE"/>
    <w:rsid w:val="00D128FC"/>
    <w:rsid w:val="00D143A5"/>
    <w:rsid w:val="00D14CAE"/>
    <w:rsid w:val="00D16D83"/>
    <w:rsid w:val="00D2029A"/>
    <w:rsid w:val="00D23445"/>
    <w:rsid w:val="00D2779E"/>
    <w:rsid w:val="00D326BE"/>
    <w:rsid w:val="00D33231"/>
    <w:rsid w:val="00D336A6"/>
    <w:rsid w:val="00D350F8"/>
    <w:rsid w:val="00D353AC"/>
    <w:rsid w:val="00D353EA"/>
    <w:rsid w:val="00D40C62"/>
    <w:rsid w:val="00D41FB0"/>
    <w:rsid w:val="00D43CF7"/>
    <w:rsid w:val="00D452EA"/>
    <w:rsid w:val="00D461D1"/>
    <w:rsid w:val="00D462B5"/>
    <w:rsid w:val="00D46F2E"/>
    <w:rsid w:val="00D47395"/>
    <w:rsid w:val="00D47C7B"/>
    <w:rsid w:val="00D511F1"/>
    <w:rsid w:val="00D5317E"/>
    <w:rsid w:val="00D54613"/>
    <w:rsid w:val="00D5755E"/>
    <w:rsid w:val="00D5776B"/>
    <w:rsid w:val="00D606E7"/>
    <w:rsid w:val="00D608E3"/>
    <w:rsid w:val="00D60FE9"/>
    <w:rsid w:val="00D617A8"/>
    <w:rsid w:val="00D630C7"/>
    <w:rsid w:val="00D6412B"/>
    <w:rsid w:val="00D64C7A"/>
    <w:rsid w:val="00D64D5C"/>
    <w:rsid w:val="00D67AF0"/>
    <w:rsid w:val="00D718E2"/>
    <w:rsid w:val="00D71F54"/>
    <w:rsid w:val="00D7327A"/>
    <w:rsid w:val="00D73484"/>
    <w:rsid w:val="00D74A3C"/>
    <w:rsid w:val="00D767ED"/>
    <w:rsid w:val="00D76C84"/>
    <w:rsid w:val="00D77F04"/>
    <w:rsid w:val="00D80043"/>
    <w:rsid w:val="00D802B1"/>
    <w:rsid w:val="00D80BC2"/>
    <w:rsid w:val="00D820C3"/>
    <w:rsid w:val="00D820DB"/>
    <w:rsid w:val="00D839BE"/>
    <w:rsid w:val="00D85E37"/>
    <w:rsid w:val="00D93CCA"/>
    <w:rsid w:val="00D93F16"/>
    <w:rsid w:val="00DA12EA"/>
    <w:rsid w:val="00DA1908"/>
    <w:rsid w:val="00DA22B1"/>
    <w:rsid w:val="00DA3034"/>
    <w:rsid w:val="00DA59AD"/>
    <w:rsid w:val="00DB0657"/>
    <w:rsid w:val="00DB12C0"/>
    <w:rsid w:val="00DB1D4F"/>
    <w:rsid w:val="00DB25BC"/>
    <w:rsid w:val="00DB283F"/>
    <w:rsid w:val="00DB39D3"/>
    <w:rsid w:val="00DB6D19"/>
    <w:rsid w:val="00DB77A0"/>
    <w:rsid w:val="00DB7ACC"/>
    <w:rsid w:val="00DB7FC8"/>
    <w:rsid w:val="00DC00CC"/>
    <w:rsid w:val="00DC1BDA"/>
    <w:rsid w:val="00DC25C9"/>
    <w:rsid w:val="00DD0146"/>
    <w:rsid w:val="00DD05D5"/>
    <w:rsid w:val="00DE0A87"/>
    <w:rsid w:val="00DE20DC"/>
    <w:rsid w:val="00DE2798"/>
    <w:rsid w:val="00DE347E"/>
    <w:rsid w:val="00DE34D0"/>
    <w:rsid w:val="00DE3A7C"/>
    <w:rsid w:val="00DE72F1"/>
    <w:rsid w:val="00DF12CF"/>
    <w:rsid w:val="00DF14F2"/>
    <w:rsid w:val="00DF3C0A"/>
    <w:rsid w:val="00DF5A00"/>
    <w:rsid w:val="00DF5ECC"/>
    <w:rsid w:val="00DF7AC2"/>
    <w:rsid w:val="00DF7BB7"/>
    <w:rsid w:val="00E00C47"/>
    <w:rsid w:val="00E00E07"/>
    <w:rsid w:val="00E00E82"/>
    <w:rsid w:val="00E01875"/>
    <w:rsid w:val="00E01F14"/>
    <w:rsid w:val="00E0223B"/>
    <w:rsid w:val="00E03C4F"/>
    <w:rsid w:val="00E05272"/>
    <w:rsid w:val="00E05836"/>
    <w:rsid w:val="00E06D54"/>
    <w:rsid w:val="00E14507"/>
    <w:rsid w:val="00E15C36"/>
    <w:rsid w:val="00E160C8"/>
    <w:rsid w:val="00E16A92"/>
    <w:rsid w:val="00E16B9F"/>
    <w:rsid w:val="00E17229"/>
    <w:rsid w:val="00E2092E"/>
    <w:rsid w:val="00E21787"/>
    <w:rsid w:val="00E23CA6"/>
    <w:rsid w:val="00E2523C"/>
    <w:rsid w:val="00E318F9"/>
    <w:rsid w:val="00E32B61"/>
    <w:rsid w:val="00E34EDC"/>
    <w:rsid w:val="00E35442"/>
    <w:rsid w:val="00E4069A"/>
    <w:rsid w:val="00E42A68"/>
    <w:rsid w:val="00E44A66"/>
    <w:rsid w:val="00E47D18"/>
    <w:rsid w:val="00E47F36"/>
    <w:rsid w:val="00E50868"/>
    <w:rsid w:val="00E50BFC"/>
    <w:rsid w:val="00E511A5"/>
    <w:rsid w:val="00E51DD1"/>
    <w:rsid w:val="00E53DB3"/>
    <w:rsid w:val="00E54641"/>
    <w:rsid w:val="00E54F55"/>
    <w:rsid w:val="00E55465"/>
    <w:rsid w:val="00E61F33"/>
    <w:rsid w:val="00E6284A"/>
    <w:rsid w:val="00E63110"/>
    <w:rsid w:val="00E633D5"/>
    <w:rsid w:val="00E662B8"/>
    <w:rsid w:val="00E7125A"/>
    <w:rsid w:val="00E71F1E"/>
    <w:rsid w:val="00E72B1B"/>
    <w:rsid w:val="00E72D27"/>
    <w:rsid w:val="00E72E8B"/>
    <w:rsid w:val="00E73443"/>
    <w:rsid w:val="00E73F87"/>
    <w:rsid w:val="00E770D9"/>
    <w:rsid w:val="00E77F97"/>
    <w:rsid w:val="00E81B49"/>
    <w:rsid w:val="00E84932"/>
    <w:rsid w:val="00E90482"/>
    <w:rsid w:val="00E91782"/>
    <w:rsid w:val="00E96420"/>
    <w:rsid w:val="00E96D03"/>
    <w:rsid w:val="00E97A0A"/>
    <w:rsid w:val="00E97B0A"/>
    <w:rsid w:val="00EA116E"/>
    <w:rsid w:val="00EA12C3"/>
    <w:rsid w:val="00EA3E4F"/>
    <w:rsid w:val="00EA655D"/>
    <w:rsid w:val="00EA7759"/>
    <w:rsid w:val="00EB0EB9"/>
    <w:rsid w:val="00EB39B9"/>
    <w:rsid w:val="00EB3C88"/>
    <w:rsid w:val="00EB410B"/>
    <w:rsid w:val="00EB5951"/>
    <w:rsid w:val="00EC0A9D"/>
    <w:rsid w:val="00ED1D88"/>
    <w:rsid w:val="00ED42E3"/>
    <w:rsid w:val="00ED4773"/>
    <w:rsid w:val="00ED56AD"/>
    <w:rsid w:val="00ED58CB"/>
    <w:rsid w:val="00ED5B26"/>
    <w:rsid w:val="00ED6D8A"/>
    <w:rsid w:val="00ED7BAE"/>
    <w:rsid w:val="00EE078C"/>
    <w:rsid w:val="00EE11FB"/>
    <w:rsid w:val="00EE1A96"/>
    <w:rsid w:val="00EE43B5"/>
    <w:rsid w:val="00EE5986"/>
    <w:rsid w:val="00EE6B12"/>
    <w:rsid w:val="00EE70BC"/>
    <w:rsid w:val="00EE7D52"/>
    <w:rsid w:val="00EF3A11"/>
    <w:rsid w:val="00EF4B07"/>
    <w:rsid w:val="00EF508D"/>
    <w:rsid w:val="00EF5865"/>
    <w:rsid w:val="00EF5DEB"/>
    <w:rsid w:val="00EF600E"/>
    <w:rsid w:val="00EF6ACC"/>
    <w:rsid w:val="00EF7562"/>
    <w:rsid w:val="00EF7D06"/>
    <w:rsid w:val="00F0005D"/>
    <w:rsid w:val="00F01921"/>
    <w:rsid w:val="00F06376"/>
    <w:rsid w:val="00F07E4D"/>
    <w:rsid w:val="00F13115"/>
    <w:rsid w:val="00F13CB9"/>
    <w:rsid w:val="00F16328"/>
    <w:rsid w:val="00F175B9"/>
    <w:rsid w:val="00F20369"/>
    <w:rsid w:val="00F20607"/>
    <w:rsid w:val="00F215A7"/>
    <w:rsid w:val="00F275C8"/>
    <w:rsid w:val="00F30B54"/>
    <w:rsid w:val="00F311EC"/>
    <w:rsid w:val="00F3332C"/>
    <w:rsid w:val="00F33853"/>
    <w:rsid w:val="00F40EF6"/>
    <w:rsid w:val="00F41078"/>
    <w:rsid w:val="00F51FF6"/>
    <w:rsid w:val="00F52988"/>
    <w:rsid w:val="00F54E94"/>
    <w:rsid w:val="00F55A75"/>
    <w:rsid w:val="00F61054"/>
    <w:rsid w:val="00F62045"/>
    <w:rsid w:val="00F626C8"/>
    <w:rsid w:val="00F644A0"/>
    <w:rsid w:val="00F67761"/>
    <w:rsid w:val="00F67DBF"/>
    <w:rsid w:val="00F73E8A"/>
    <w:rsid w:val="00F75251"/>
    <w:rsid w:val="00F76048"/>
    <w:rsid w:val="00F76B50"/>
    <w:rsid w:val="00F76D51"/>
    <w:rsid w:val="00F76E3B"/>
    <w:rsid w:val="00F76FE1"/>
    <w:rsid w:val="00F802CB"/>
    <w:rsid w:val="00F802DA"/>
    <w:rsid w:val="00F802F5"/>
    <w:rsid w:val="00F80931"/>
    <w:rsid w:val="00F80B7B"/>
    <w:rsid w:val="00F80CCE"/>
    <w:rsid w:val="00F813FB"/>
    <w:rsid w:val="00F81BEA"/>
    <w:rsid w:val="00F81DAE"/>
    <w:rsid w:val="00F83DDA"/>
    <w:rsid w:val="00F83E85"/>
    <w:rsid w:val="00F846B7"/>
    <w:rsid w:val="00F84EDC"/>
    <w:rsid w:val="00F856B4"/>
    <w:rsid w:val="00F879B3"/>
    <w:rsid w:val="00F90640"/>
    <w:rsid w:val="00F90EDF"/>
    <w:rsid w:val="00F91FCF"/>
    <w:rsid w:val="00F9235D"/>
    <w:rsid w:val="00F92840"/>
    <w:rsid w:val="00F95DFC"/>
    <w:rsid w:val="00F96BDF"/>
    <w:rsid w:val="00FA16B8"/>
    <w:rsid w:val="00FA2B8A"/>
    <w:rsid w:val="00FA3428"/>
    <w:rsid w:val="00FA3D28"/>
    <w:rsid w:val="00FA4AE5"/>
    <w:rsid w:val="00FA50EC"/>
    <w:rsid w:val="00FA75B7"/>
    <w:rsid w:val="00FA7625"/>
    <w:rsid w:val="00FB186E"/>
    <w:rsid w:val="00FB18C2"/>
    <w:rsid w:val="00FB1B4D"/>
    <w:rsid w:val="00FB1C3F"/>
    <w:rsid w:val="00FB1DED"/>
    <w:rsid w:val="00FB2850"/>
    <w:rsid w:val="00FB355F"/>
    <w:rsid w:val="00FB4856"/>
    <w:rsid w:val="00FB4CC1"/>
    <w:rsid w:val="00FB5512"/>
    <w:rsid w:val="00FB5AC6"/>
    <w:rsid w:val="00FC0F3B"/>
    <w:rsid w:val="00FC136D"/>
    <w:rsid w:val="00FC14B8"/>
    <w:rsid w:val="00FC3074"/>
    <w:rsid w:val="00FC5103"/>
    <w:rsid w:val="00FD060B"/>
    <w:rsid w:val="00FD0936"/>
    <w:rsid w:val="00FD4796"/>
    <w:rsid w:val="00FD5407"/>
    <w:rsid w:val="00FD581E"/>
    <w:rsid w:val="00FD61B3"/>
    <w:rsid w:val="00FE0141"/>
    <w:rsid w:val="00FE0C32"/>
    <w:rsid w:val="00FE0F75"/>
    <w:rsid w:val="00FE1205"/>
    <w:rsid w:val="00FE19B4"/>
    <w:rsid w:val="00FE2A8B"/>
    <w:rsid w:val="00FE30F5"/>
    <w:rsid w:val="00FE327E"/>
    <w:rsid w:val="00FE32D9"/>
    <w:rsid w:val="00FE427B"/>
    <w:rsid w:val="00FE5651"/>
    <w:rsid w:val="00FE6BD5"/>
    <w:rsid w:val="00FF2673"/>
    <w:rsid w:val="00FF3200"/>
    <w:rsid w:val="00FF4FB6"/>
    <w:rsid w:val="00FF6802"/>
    <w:rsid w:val="00FF6D0A"/>
    <w:rsid w:val="00FF7B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1" w:unhideWhenUsed="0" w:qFormat="1"/>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6D48"/>
    <w:pPr>
      <w:jc w:val="both"/>
    </w:pPr>
    <w:rPr>
      <w:rFonts w:ascii="Verdana" w:eastAsia="Batang" w:hAnsi="Verdana" w:cs="Times"/>
      <w:noProof/>
      <w:szCs w:val="24"/>
      <w:lang w:val="es-ES_tradnl"/>
    </w:rPr>
  </w:style>
  <w:style w:type="paragraph" w:styleId="Heading1">
    <w:name w:val="heading 1"/>
    <w:aliases w:val="Título Verdana"/>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FF20F1"/>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ED774C"/>
    <w:pPr>
      <w:ind w:left="709"/>
      <w:outlineLvl w:val="2"/>
    </w:pPr>
    <w:rPr>
      <w:i/>
    </w:rPr>
  </w:style>
  <w:style w:type="paragraph" w:styleId="Heading4">
    <w:name w:val="heading 4"/>
    <w:basedOn w:val="Normal"/>
    <w:next w:val="Normal"/>
    <w:link w:val="Heading4Char"/>
    <w:uiPriority w:val="9"/>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link w:val="Heading2"/>
    <w:uiPriority w:val="9"/>
    <w:rsid w:val="00FF20F1"/>
    <w:rPr>
      <w:rFonts w:ascii="Verdana" w:eastAsia="Times New Roman" w:hAnsi="Verdana"/>
      <w:b/>
      <w:bCs/>
      <w:i/>
      <w:noProof/>
      <w:lang w:val="es-ES_tradnl" w:eastAsia="en-US"/>
    </w:rPr>
  </w:style>
  <w:style w:type="character" w:customStyle="1" w:styleId="Heading3Char">
    <w:name w:val="Heading 3 Char"/>
    <w:link w:val="Heading3"/>
    <w:uiPriority w:val="9"/>
    <w:rsid w:val="00ED774C"/>
    <w:rPr>
      <w:rFonts w:ascii="Verdana" w:eastAsia="Batang" w:hAnsi="Verdana" w:cs="Times"/>
      <w:i/>
      <w:noProof/>
      <w:sz w:val="20"/>
      <w:szCs w:val="24"/>
      <w:lang w:val="es-ES_tradnl"/>
    </w:rPr>
  </w:style>
  <w:style w:type="character" w:customStyle="1" w:styleId="Heading4Char">
    <w:name w:val="Heading 4 Char"/>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link w:val="Heading5"/>
    <w:uiPriority w:val="9"/>
    <w:rsid w:val="00203CE9"/>
    <w:rPr>
      <w:rFonts w:ascii="Verdana" w:eastAsia="Times New Roman" w:hAnsi="Verdana"/>
      <w:i/>
      <w:noProof/>
      <w:szCs w:val="24"/>
      <w:lang w:val="es-ES_tradnl" w:eastAsia="en-US"/>
    </w:rPr>
  </w:style>
  <w:style w:type="character" w:customStyle="1" w:styleId="Heading7Char">
    <w:name w:val="Heading 7 Char"/>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446D48"/>
    <w:pPr>
      <w:numPr>
        <w:ilvl w:val="1"/>
      </w:numPr>
      <w:jc w:val="center"/>
    </w:pPr>
    <w:rPr>
      <w:rFonts w:eastAsia="Times New Roman" w:cs="Times New Roman"/>
      <w:b/>
      <w:i/>
      <w:iCs/>
      <w:spacing w:val="15"/>
    </w:rPr>
  </w:style>
  <w:style w:type="character" w:customStyle="1" w:styleId="SubtitleChar">
    <w:name w:val="Subtitle Char"/>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446D48"/>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link w:val="Style1"/>
    <w:rsid w:val="00446D48"/>
    <w:rPr>
      <w:rFonts w:ascii="Verdana" w:eastAsia="Times New Roman" w:hAnsi="Verdana" w:cs="Verdana"/>
      <w:b w:val="0"/>
      <w:bCs w:val="0"/>
      <w:caps w:val="0"/>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eastAsia="x-none"/>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pPr>
    <w:rPr>
      <w:rFonts w:ascii="Verdana" w:hAnsi="Verdana" w:cs="Verdana"/>
      <w:color w:val="000000"/>
      <w:sz w:val="24"/>
      <w:szCs w:val="24"/>
    </w:rPr>
  </w:style>
  <w:style w:type="character" w:customStyle="1" w:styleId="Style2Char">
    <w:name w:val="Style2 Char"/>
    <w:link w:val="Style2"/>
    <w:rsid w:val="00446D48"/>
    <w:rPr>
      <w:rFonts w:ascii="Verdana" w:eastAsia="Times New Roman" w:hAnsi="Verdana" w:cs="Times New Roman"/>
      <w:b w:val="0"/>
      <w:bCs w:val="0"/>
      <w:i w:val="0"/>
      <w:noProof/>
      <w:sz w:val="20"/>
      <w:szCs w:val="20"/>
      <w:lang w:val="es-CR"/>
    </w:rPr>
  </w:style>
  <w:style w:type="paragraph" w:styleId="TOC1">
    <w:name w:val="toc 1"/>
    <w:basedOn w:val="Normal"/>
    <w:next w:val="Normal"/>
    <w:autoRedefine/>
    <w:uiPriority w:val="39"/>
    <w:unhideWhenUsed/>
    <w:qFormat/>
    <w:rsid w:val="00FA2C2F"/>
    <w:rPr>
      <w:b/>
      <w:szCs w:val="20"/>
    </w:rPr>
  </w:style>
  <w:style w:type="paragraph" w:styleId="TOC2">
    <w:name w:val="toc 2"/>
    <w:basedOn w:val="Normal"/>
    <w:next w:val="Normal"/>
    <w:autoRedefine/>
    <w:uiPriority w:val="39"/>
    <w:unhideWhenUsed/>
    <w:qFormat/>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44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446D48"/>
    <w:rPr>
      <w:rFonts w:cs="Times New Roman"/>
    </w:rPr>
  </w:style>
  <w:style w:type="paragraph" w:styleId="BodyText">
    <w:name w:val="Body Text"/>
    <w:basedOn w:val="Normal"/>
    <w:link w:val="BodyTextChar"/>
    <w:uiPriority w:val="99"/>
    <w:unhideWhenUsed/>
    <w:rsid w:val="00446D48"/>
    <w:rPr>
      <w:rFonts w:ascii="Garamond" w:eastAsia="Times" w:hAnsi="Garamond" w:cs="Times New Roman"/>
      <w:sz w:val="22"/>
      <w:szCs w:val="20"/>
    </w:rPr>
  </w:style>
  <w:style w:type="character" w:customStyle="1" w:styleId="BodyTextChar">
    <w:name w:val="Body Text Char"/>
    <w:link w:val="BodyText"/>
    <w:uiPriority w:val="99"/>
    <w:rsid w:val="00446D48"/>
    <w:rPr>
      <w:rFonts w:ascii="Garamond" w:eastAsia="Times" w:hAnsi="Garamond" w:cs="Times New Roman"/>
      <w:noProof/>
      <w:szCs w:val="20"/>
      <w:lang w:val="es-ES_tradnl"/>
    </w:rPr>
  </w:style>
  <w:style w:type="paragraph" w:customStyle="1" w:styleId="MediumShading1-Accent11">
    <w:name w:val="Medium Shading 1 - Accent 11"/>
    <w:uiPriority w:val="1"/>
    <w:qFormat/>
    <w:rsid w:val="00446D48"/>
    <w:rPr>
      <w:sz w:val="22"/>
      <w:szCs w:val="22"/>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link w:val="BodyTextIndent"/>
    <w:uiPriority w:val="99"/>
    <w:rsid w:val="00446D48"/>
    <w:rPr>
      <w:rFonts w:ascii="Verdana" w:eastAsia="Batang" w:hAnsi="Verdana" w:cs="Arial"/>
      <w:i/>
      <w:noProof/>
      <w:sz w:val="20"/>
      <w:szCs w:val="20"/>
      <w:lang w:val="es-ES_tradnl"/>
    </w:rPr>
  </w:style>
  <w:style w:type="character" w:styleId="Emphasis">
    <w:name w:val="Emphasis"/>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nhideWhenUsed/>
    <w:rsid w:val="00446D48"/>
    <w:rPr>
      <w:szCs w:val="20"/>
    </w:rPr>
  </w:style>
  <w:style w:type="character" w:customStyle="1" w:styleId="EndnoteTextChar">
    <w:name w:val="Endnote Text Char"/>
    <w:link w:val="EndnoteText"/>
    <w:rsid w:val="00446D48"/>
    <w:rPr>
      <w:rFonts w:ascii="Verdana" w:eastAsia="Batang" w:hAnsi="Verdana" w:cs="Times"/>
      <w:noProof/>
      <w:sz w:val="20"/>
      <w:szCs w:val="20"/>
      <w:lang w:val="es-ES_tradnl"/>
    </w:rPr>
  </w:style>
  <w:style w:type="character" w:styleId="EndnoteReference">
    <w:name w:val="endnote reference"/>
    <w:semiHidden/>
    <w:unhideWhenUsed/>
    <w:rsid w:val="00446D48"/>
    <w:rPr>
      <w:vertAlign w:val="superscript"/>
    </w:rPr>
  </w:style>
  <w:style w:type="paragraph" w:customStyle="1" w:styleId="PrrafodeSentencia">
    <w:name w:val="Párrafo de Sentencia"/>
    <w:basedOn w:val="MediumGrid1-Accent21"/>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rsid w:val="00446D48"/>
    <w:rPr>
      <w:sz w:val="14"/>
      <w:szCs w:val="14"/>
    </w:rPr>
  </w:style>
  <w:style w:type="character" w:customStyle="1" w:styleId="ListParagraphChar1">
    <w:name w:val="List Paragraph Char1"/>
    <w:aliases w:val="Footnote Char2"/>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customStyle="1" w:styleId="MediumList2-Accent21">
    <w:name w:val="Medium List 2 - Accent 21"/>
    <w:hidden/>
    <w:uiPriority w:val="99"/>
    <w:semiHidden/>
    <w:rsid w:val="00446D48"/>
    <w:rPr>
      <w:rFonts w:ascii="Verdana" w:eastAsia="Batang" w:hAnsi="Verdana" w:cs="Times"/>
      <w:noProof/>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rsid w:val="00ED0F94"/>
    <w:rPr>
      <w:vertAlign w:val="superscript"/>
    </w:rPr>
  </w:style>
  <w:style w:type="table" w:styleId="TableGrid">
    <w:name w:val="Table Grid"/>
    <w:basedOn w:val="TableNormal"/>
    <w:uiPriority w:val="59"/>
    <w:rsid w:val="005E1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72"/>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346B01"/>
    <w:rPr>
      <w:rFonts w:ascii="Verdana" w:hAnsi="Verdana"/>
      <w:i/>
      <w:iCs/>
      <w:color w:val="auto"/>
      <w:sz w:val="20"/>
    </w:rPr>
  </w:style>
  <w:style w:type="character" w:customStyle="1" w:styleId="CarCar">
    <w:name w:val="Car Car"/>
    <w:rsid w:val="00346B01"/>
    <w:rPr>
      <w:rFonts w:ascii="Times New Roman" w:eastAsia="Times New Roman" w:hAnsi="Times New Roman" w:cs="Times New Roman"/>
      <w:sz w:val="20"/>
      <w:szCs w:val="20"/>
      <w:lang w:val="es-ES_tradnl"/>
    </w:rPr>
  </w:style>
  <w:style w:type="character" w:customStyle="1" w:styleId="skypepnhcontainer">
    <w:name w:val="skype_pnh_container"/>
    <w:rsid w:val="00346B01"/>
    <w:rPr>
      <w:rFonts w:cs="Times New Roman"/>
    </w:rPr>
  </w:style>
  <w:style w:type="paragraph" w:customStyle="1" w:styleId="TextoArtculo">
    <w:name w:val="Texto Artículo"/>
    <w:next w:val="Normal"/>
    <w:rsid w:val="00346B01"/>
    <w:pPr>
      <w:autoSpaceDE w:val="0"/>
      <w:autoSpaceDN w:val="0"/>
      <w:adjustRightInd w:val="0"/>
      <w:ind w:left="90" w:right="1"/>
      <w:jc w:val="both"/>
    </w:pPr>
    <w:rPr>
      <w:rFonts w:ascii="Verdana" w:eastAsia="Times New Roman" w:hAnsi="Verdana" w:cs="Verdana"/>
      <w:color w:val="000000"/>
      <w:u w:color="000000"/>
      <w:shd w:val="clear" w:color="auto" w:fill="FFFFFF"/>
      <w:lang w:val="es-EC" w:eastAsia="es-ES"/>
    </w:rPr>
  </w:style>
  <w:style w:type="character" w:customStyle="1" w:styleId="nrmar">
    <w:name w:val="nrmar"/>
    <w:rsid w:val="00346B01"/>
  </w:style>
  <w:style w:type="paragraph" w:customStyle="1" w:styleId="s32b251d">
    <w:name w:val="s32b251d"/>
    <w:basedOn w:val="Normal"/>
    <w:rsid w:val="00346B01"/>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350159"/>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350159"/>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350159"/>
    <w:rPr>
      <w:rFonts w:ascii="Calibri" w:hAnsi="Calibri" w:cs="Times New Roman"/>
      <w:i/>
      <w:iCs/>
      <w:color w:val="000000"/>
      <w:sz w:val="20"/>
    </w:rPr>
  </w:style>
  <w:style w:type="paragraph" w:customStyle="1" w:styleId="Style8">
    <w:name w:val="Style 8"/>
    <w:basedOn w:val="Normal"/>
    <w:rsid w:val="00350159"/>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350159"/>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350159"/>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350159"/>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350159"/>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350159"/>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350159"/>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350159"/>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350159"/>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350159"/>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350159"/>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350159"/>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350159"/>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350159"/>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350159"/>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350159"/>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350159"/>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350159"/>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162BC9"/>
  </w:style>
  <w:style w:type="character" w:customStyle="1" w:styleId="highlighted">
    <w:name w:val="highlighted"/>
    <w:basedOn w:val="DefaultParagraphFont"/>
    <w:rsid w:val="00162BC9"/>
  </w:style>
  <w:style w:type="numbering" w:customStyle="1" w:styleId="NoList1">
    <w:name w:val="No List1"/>
    <w:next w:val="NoList"/>
    <w:uiPriority w:val="99"/>
    <w:semiHidden/>
    <w:unhideWhenUsed/>
    <w:rsid w:val="00CF7E7E"/>
  </w:style>
  <w:style w:type="table" w:customStyle="1" w:styleId="TableGrid1">
    <w:name w:val="Table Grid1"/>
    <w:basedOn w:val="TableNormal"/>
    <w:next w:val="TableGrid"/>
    <w:uiPriority w:val="59"/>
    <w:rsid w:val="00CF7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CF7E7E"/>
    <w:rPr>
      <w:rFonts w:ascii="Calibri" w:eastAsia="Calibri" w:hAnsi="Calibri" w:cs="Times New Roman"/>
      <w:i/>
      <w:iCs/>
      <w:noProof w:val="0"/>
      <w:color w:val="000000"/>
      <w:szCs w:val="22"/>
      <w:lang w:val="en-US"/>
    </w:rPr>
  </w:style>
  <w:style w:type="character" w:customStyle="1" w:styleId="QuoteChar1">
    <w:name w:val="Quote Char1"/>
    <w:uiPriority w:val="29"/>
    <w:rsid w:val="00CF7E7E"/>
    <w:rPr>
      <w:i/>
      <w:iCs/>
      <w:color w:val="000000"/>
    </w:rPr>
  </w:style>
  <w:style w:type="paragraph" w:customStyle="1" w:styleId="ColorfulList-Accent12">
    <w:name w:val="Colorful List - Accent 12"/>
    <w:basedOn w:val="Normal"/>
    <w:uiPriority w:val="72"/>
    <w:qFormat/>
    <w:rsid w:val="00794BF0"/>
    <w:pPr>
      <w:ind w:left="708"/>
    </w:pPr>
  </w:style>
  <w:style w:type="paragraph" w:styleId="ListParagraph">
    <w:name w:val="List Paragraph"/>
    <w:basedOn w:val="Normal"/>
    <w:qFormat/>
    <w:rsid w:val="005C3B17"/>
    <w:pPr>
      <w:ind w:left="720"/>
    </w:pPr>
  </w:style>
  <w:style w:type="paragraph" w:customStyle="1" w:styleId="Estilo3">
    <w:name w:val="Estilo3"/>
    <w:basedOn w:val="ListParagraph"/>
    <w:qFormat/>
    <w:rsid w:val="003E12D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3E12D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3E12DE"/>
    <w:rPr>
      <w:rFonts w:ascii="Verdana" w:eastAsia="Times New Roman" w:hAnsi="Verdana"/>
      <w:spacing w:val="-2"/>
      <w:lang w:val="es-CR" w:eastAsia="en-US"/>
    </w:rPr>
  </w:style>
  <w:style w:type="character" w:customStyle="1" w:styleId="Estilo5Car">
    <w:name w:val="Estilo5 Car"/>
    <w:link w:val="Estilo5"/>
    <w:rsid w:val="003E12DE"/>
    <w:rPr>
      <w:rFonts w:ascii="Times New Roman" w:hAnsi="Times New Roman"/>
      <w:i/>
      <w:sz w:val="24"/>
      <w:szCs w:val="24"/>
      <w:lang w:val="es-UY" w:eastAsia="en-US"/>
    </w:rPr>
  </w:style>
  <w:style w:type="paragraph" w:customStyle="1" w:styleId="Rom2">
    <w:name w:val="Rom2"/>
    <w:basedOn w:val="Normal"/>
    <w:rsid w:val="00DB6D19"/>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52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1" w:unhideWhenUsed="0" w:qFormat="1"/>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6D48"/>
    <w:pPr>
      <w:jc w:val="both"/>
    </w:pPr>
    <w:rPr>
      <w:rFonts w:ascii="Verdana" w:eastAsia="Batang" w:hAnsi="Verdana" w:cs="Times"/>
      <w:noProof/>
      <w:szCs w:val="24"/>
      <w:lang w:val="es-ES_tradnl"/>
    </w:rPr>
  </w:style>
  <w:style w:type="paragraph" w:styleId="Heading1">
    <w:name w:val="heading 1"/>
    <w:aliases w:val="Título Verdana"/>
    <w:basedOn w:val="Normal"/>
    <w:next w:val="Normal"/>
    <w:link w:val="Heading1Char"/>
    <w:uiPriority w:val="9"/>
    <w:qFormat/>
    <w:rsid w:val="000643B4"/>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FF20F1"/>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ED774C"/>
    <w:pPr>
      <w:ind w:left="709"/>
      <w:outlineLvl w:val="2"/>
    </w:pPr>
    <w:rPr>
      <w:i/>
    </w:rPr>
  </w:style>
  <w:style w:type="paragraph" w:styleId="Heading4">
    <w:name w:val="heading 4"/>
    <w:basedOn w:val="Normal"/>
    <w:next w:val="Normal"/>
    <w:link w:val="Heading4Char"/>
    <w:uiPriority w:val="9"/>
    <w:qFormat/>
    <w:rsid w:val="00FA0AB5"/>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203CE9"/>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5409D3"/>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446D48"/>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link w:val="Heading1"/>
    <w:uiPriority w:val="9"/>
    <w:rsid w:val="000643B4"/>
    <w:rPr>
      <w:rFonts w:ascii="Verdana" w:eastAsia="Times New Roman" w:hAnsi="Verdana" w:cs="Verdana"/>
      <w:b/>
      <w:bCs/>
      <w:caps/>
      <w:noProof/>
      <w:snapToGrid w:val="0"/>
      <w:sz w:val="20"/>
      <w:szCs w:val="20"/>
      <w:lang w:val="es-CR" w:eastAsia="es-ES"/>
    </w:rPr>
  </w:style>
  <w:style w:type="character" w:customStyle="1" w:styleId="Heading2Char">
    <w:name w:val="Heading 2 Char"/>
    <w:link w:val="Heading2"/>
    <w:uiPriority w:val="9"/>
    <w:rsid w:val="00FF20F1"/>
    <w:rPr>
      <w:rFonts w:ascii="Verdana" w:eastAsia="Times New Roman" w:hAnsi="Verdana"/>
      <w:b/>
      <w:bCs/>
      <w:i/>
      <w:noProof/>
      <w:lang w:val="es-ES_tradnl" w:eastAsia="en-US"/>
    </w:rPr>
  </w:style>
  <w:style w:type="character" w:customStyle="1" w:styleId="Heading3Char">
    <w:name w:val="Heading 3 Char"/>
    <w:link w:val="Heading3"/>
    <w:uiPriority w:val="9"/>
    <w:rsid w:val="00ED774C"/>
    <w:rPr>
      <w:rFonts w:ascii="Verdana" w:eastAsia="Batang" w:hAnsi="Verdana" w:cs="Times"/>
      <w:i/>
      <w:noProof/>
      <w:sz w:val="20"/>
      <w:szCs w:val="24"/>
      <w:lang w:val="es-ES_tradnl"/>
    </w:rPr>
  </w:style>
  <w:style w:type="character" w:customStyle="1" w:styleId="Heading4Char">
    <w:name w:val="Heading 4 Char"/>
    <w:link w:val="Heading4"/>
    <w:uiPriority w:val="9"/>
    <w:rsid w:val="00FA0AB5"/>
    <w:rPr>
      <w:rFonts w:ascii="Verdana" w:eastAsia="Times New Roman" w:hAnsi="Verdana" w:cs="Times New Roman"/>
      <w:bCs/>
      <w:i/>
      <w:iCs/>
      <w:noProof/>
      <w:sz w:val="20"/>
      <w:szCs w:val="24"/>
      <w:lang w:val="es-ES_tradnl"/>
    </w:rPr>
  </w:style>
  <w:style w:type="character" w:customStyle="1" w:styleId="Heading5Char">
    <w:name w:val="Heading 5 Char"/>
    <w:link w:val="Heading5"/>
    <w:uiPriority w:val="9"/>
    <w:rsid w:val="00203CE9"/>
    <w:rPr>
      <w:rFonts w:ascii="Verdana" w:eastAsia="Times New Roman" w:hAnsi="Verdana"/>
      <w:i/>
      <w:noProof/>
      <w:szCs w:val="24"/>
      <w:lang w:val="es-ES_tradnl" w:eastAsia="en-US"/>
    </w:rPr>
  </w:style>
  <w:style w:type="character" w:customStyle="1" w:styleId="Heading7Char">
    <w:name w:val="Heading 7 Char"/>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446D48"/>
    <w:rPr>
      <w:rFonts w:cs="Times New Roman"/>
      <w:szCs w:val="20"/>
      <w:vertAlign w:val="superscript"/>
    </w:rPr>
  </w:style>
  <w:style w:type="paragraph" w:styleId="Title">
    <w:name w:val="Title"/>
    <w:basedOn w:val="Normal"/>
    <w:link w:val="TitleChar"/>
    <w:qFormat/>
    <w:rsid w:val="00446D48"/>
    <w:pPr>
      <w:jc w:val="center"/>
    </w:pPr>
    <w:rPr>
      <w:rFonts w:eastAsia="Times New Roman" w:cs="Times New Roman"/>
      <w:b/>
      <w:szCs w:val="20"/>
    </w:rPr>
  </w:style>
  <w:style w:type="character" w:customStyle="1" w:styleId="TitleChar">
    <w:name w:val="Title Char"/>
    <w:link w:val="Title"/>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446D48"/>
    <w:pPr>
      <w:numPr>
        <w:ilvl w:val="1"/>
      </w:numPr>
      <w:jc w:val="center"/>
    </w:pPr>
    <w:rPr>
      <w:rFonts w:eastAsia="Times New Roman" w:cs="Times New Roman"/>
      <w:b/>
      <w:i/>
      <w:iCs/>
      <w:spacing w:val="15"/>
    </w:rPr>
  </w:style>
  <w:style w:type="character" w:customStyle="1" w:styleId="SubtitleChar">
    <w:name w:val="Subtitle Char"/>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446D48"/>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446D48"/>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i/>
    </w:rPr>
  </w:style>
  <w:style w:type="character" w:customStyle="1" w:styleId="Estilo1Car">
    <w:name w:val="Estilo1 Car"/>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lang w:val="es-ES"/>
    </w:rPr>
  </w:style>
  <w:style w:type="character" w:customStyle="1" w:styleId="Style1Char">
    <w:name w:val="Style1 Char"/>
    <w:link w:val="Style1"/>
    <w:rsid w:val="00446D48"/>
    <w:rPr>
      <w:rFonts w:ascii="Verdana" w:eastAsia="Times New Roman" w:hAnsi="Verdana" w:cs="Verdana"/>
      <w:b w:val="0"/>
      <w:bCs w:val="0"/>
      <w:caps w:val="0"/>
      <w:noProof/>
      <w:snapToGrid w:val="0"/>
      <w:sz w:val="20"/>
      <w:szCs w:val="20"/>
      <w:lang w:val="es-ES" w:eastAsia="es-ES"/>
    </w:rPr>
  </w:style>
  <w:style w:type="paragraph" w:customStyle="1" w:styleId="Estilo7">
    <w:name w:val="Estilo7"/>
    <w:basedOn w:val="Normal"/>
    <w:qFormat/>
    <w:rsid w:val="00446D48"/>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cs="Times New Roman"/>
      <w:bCs/>
      <w:iCs/>
      <w:noProof w:val="0"/>
      <w:szCs w:val="16"/>
      <w:lang w:val="es-ES" w:eastAsia="x-none"/>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lang w:val="es-CR"/>
    </w:rPr>
  </w:style>
  <w:style w:type="paragraph" w:customStyle="1" w:styleId="Default">
    <w:name w:val="Default"/>
    <w:rsid w:val="00446D48"/>
    <w:pPr>
      <w:autoSpaceDE w:val="0"/>
      <w:autoSpaceDN w:val="0"/>
      <w:adjustRightInd w:val="0"/>
    </w:pPr>
    <w:rPr>
      <w:rFonts w:ascii="Verdana" w:hAnsi="Verdana" w:cs="Verdana"/>
      <w:color w:val="000000"/>
      <w:sz w:val="24"/>
      <w:szCs w:val="24"/>
    </w:rPr>
  </w:style>
  <w:style w:type="character" w:customStyle="1" w:styleId="Style2Char">
    <w:name w:val="Style2 Char"/>
    <w:link w:val="Style2"/>
    <w:rsid w:val="00446D48"/>
    <w:rPr>
      <w:rFonts w:ascii="Verdana" w:eastAsia="Times New Roman" w:hAnsi="Verdana" w:cs="Times New Roman"/>
      <w:b w:val="0"/>
      <w:bCs w:val="0"/>
      <w:i w:val="0"/>
      <w:noProof/>
      <w:sz w:val="20"/>
      <w:szCs w:val="20"/>
      <w:lang w:val="es-CR"/>
    </w:rPr>
  </w:style>
  <w:style w:type="paragraph" w:styleId="TOC1">
    <w:name w:val="toc 1"/>
    <w:basedOn w:val="Normal"/>
    <w:next w:val="Normal"/>
    <w:autoRedefine/>
    <w:uiPriority w:val="39"/>
    <w:unhideWhenUsed/>
    <w:qFormat/>
    <w:rsid w:val="00FA2C2F"/>
    <w:rPr>
      <w:b/>
      <w:szCs w:val="20"/>
    </w:rPr>
  </w:style>
  <w:style w:type="paragraph" w:styleId="TOC2">
    <w:name w:val="toc 2"/>
    <w:basedOn w:val="Normal"/>
    <w:next w:val="Normal"/>
    <w:autoRedefine/>
    <w:uiPriority w:val="39"/>
    <w:unhideWhenUsed/>
    <w:qFormat/>
    <w:rsid w:val="00580D81"/>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446D48"/>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ahoma"/>
      <w:sz w:val="16"/>
      <w:szCs w:val="16"/>
    </w:rPr>
  </w:style>
  <w:style w:type="character" w:customStyle="1" w:styleId="BalloonTextChar">
    <w:name w:val="Balloon Text Char"/>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56D2C"/>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446D48"/>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44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446D48"/>
    <w:rPr>
      <w:rFonts w:cs="Times New Roman"/>
    </w:rPr>
  </w:style>
  <w:style w:type="paragraph" w:styleId="BodyText">
    <w:name w:val="Body Text"/>
    <w:basedOn w:val="Normal"/>
    <w:link w:val="BodyTextChar"/>
    <w:uiPriority w:val="99"/>
    <w:unhideWhenUsed/>
    <w:rsid w:val="00446D48"/>
    <w:rPr>
      <w:rFonts w:ascii="Garamond" w:eastAsia="Times" w:hAnsi="Garamond" w:cs="Times New Roman"/>
      <w:sz w:val="22"/>
      <w:szCs w:val="20"/>
    </w:rPr>
  </w:style>
  <w:style w:type="character" w:customStyle="1" w:styleId="BodyTextChar">
    <w:name w:val="Body Text Char"/>
    <w:link w:val="BodyText"/>
    <w:uiPriority w:val="99"/>
    <w:rsid w:val="00446D48"/>
    <w:rPr>
      <w:rFonts w:ascii="Garamond" w:eastAsia="Times" w:hAnsi="Garamond" w:cs="Times New Roman"/>
      <w:noProof/>
      <w:szCs w:val="20"/>
      <w:lang w:val="es-ES_tradnl"/>
    </w:rPr>
  </w:style>
  <w:style w:type="paragraph" w:customStyle="1" w:styleId="MediumShading1-Accent11">
    <w:name w:val="Medium Shading 1 - Accent 11"/>
    <w:uiPriority w:val="1"/>
    <w:qFormat/>
    <w:rsid w:val="00446D48"/>
    <w:rPr>
      <w:sz w:val="22"/>
      <w:szCs w:val="22"/>
    </w:rPr>
  </w:style>
  <w:style w:type="paragraph" w:styleId="Header">
    <w:name w:val="header"/>
    <w:basedOn w:val="Normal"/>
    <w:link w:val="HeaderChar"/>
    <w:uiPriority w:val="99"/>
    <w:unhideWhenUsed/>
    <w:rsid w:val="00446D48"/>
    <w:pPr>
      <w:tabs>
        <w:tab w:val="center" w:pos="4419"/>
        <w:tab w:val="right" w:pos="8838"/>
      </w:tabs>
    </w:pPr>
  </w:style>
  <w:style w:type="character" w:customStyle="1" w:styleId="HeaderChar">
    <w:name w:val="Header Char"/>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style>
  <w:style w:type="character" w:customStyle="1" w:styleId="FooterChar">
    <w:name w:val="Footer Char"/>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szCs w:val="20"/>
      <w:lang w:eastAsia="es-ES"/>
    </w:rPr>
  </w:style>
  <w:style w:type="character" w:customStyle="1" w:styleId="NotasProyectosChar">
    <w:name w:val="Notas Proyectos Char"/>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446D48"/>
    <w:pPr>
      <w:jc w:val="left"/>
    </w:pPr>
    <w:rPr>
      <w:rFonts w:ascii="Times New Roman" w:eastAsia="Times New Roman" w:hAnsi="Times New Roman" w:cs="Times New Roman"/>
      <w:szCs w:val="20"/>
    </w:rPr>
  </w:style>
  <w:style w:type="character" w:customStyle="1" w:styleId="CommentTextChar">
    <w:name w:val="Comment Text Char"/>
    <w:link w:val="CommentText"/>
    <w:uiPriority w:val="99"/>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Arial"/>
      <w:i/>
      <w:szCs w:val="20"/>
    </w:rPr>
  </w:style>
  <w:style w:type="character" w:customStyle="1" w:styleId="BodyTextIndentChar">
    <w:name w:val="Body Text Indent Char"/>
    <w:link w:val="BodyTextIndent"/>
    <w:uiPriority w:val="99"/>
    <w:rsid w:val="00446D48"/>
    <w:rPr>
      <w:rFonts w:ascii="Verdana" w:eastAsia="Batang" w:hAnsi="Verdana" w:cs="Arial"/>
      <w:i/>
      <w:noProof/>
      <w:sz w:val="20"/>
      <w:szCs w:val="20"/>
      <w:lang w:val="es-ES_tradnl"/>
    </w:rPr>
  </w:style>
  <w:style w:type="character" w:styleId="Emphasis">
    <w:name w:val="Emphasis"/>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cs="Palatino-Italic"/>
      <w:iCs/>
      <w:szCs w:val="18"/>
      <w:lang w:val="es-ES"/>
    </w:rPr>
  </w:style>
  <w:style w:type="character" w:customStyle="1" w:styleId="2FootnotesChar">
    <w:name w:val="2. Footnotes Char"/>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ahoma"/>
      <w:sz w:val="16"/>
      <w:szCs w:val="16"/>
    </w:rPr>
  </w:style>
  <w:style w:type="character" w:customStyle="1" w:styleId="DocumentMapChar">
    <w:name w:val="Document Map Char"/>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nhideWhenUsed/>
    <w:rsid w:val="00446D48"/>
    <w:rPr>
      <w:szCs w:val="20"/>
    </w:rPr>
  </w:style>
  <w:style w:type="character" w:customStyle="1" w:styleId="EndnoteTextChar">
    <w:name w:val="Endnote Text Char"/>
    <w:link w:val="EndnoteText"/>
    <w:rsid w:val="00446D48"/>
    <w:rPr>
      <w:rFonts w:ascii="Verdana" w:eastAsia="Batang" w:hAnsi="Verdana" w:cs="Times"/>
      <w:noProof/>
      <w:sz w:val="20"/>
      <w:szCs w:val="20"/>
      <w:lang w:val="es-ES_tradnl"/>
    </w:rPr>
  </w:style>
  <w:style w:type="character" w:styleId="EndnoteReference">
    <w:name w:val="endnote reference"/>
    <w:semiHidden/>
    <w:unhideWhenUsed/>
    <w:rsid w:val="00446D48"/>
    <w:rPr>
      <w:vertAlign w:val="superscript"/>
    </w:rPr>
  </w:style>
  <w:style w:type="paragraph" w:customStyle="1" w:styleId="PrrafodeSentencia">
    <w:name w:val="Párrafo de Sentencia"/>
    <w:basedOn w:val="MediumGrid1-Accent21"/>
    <w:autoRedefine/>
    <w:qFormat/>
    <w:rsid w:val="00446D48"/>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aliases w:val="Normal (Web) Char1,Normal (Web) Char Char,Normal (Web) Char1 Char,Normal (Web) Char Char Char"/>
    <w:basedOn w:val="Normal"/>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56D2C"/>
    <w:rPr>
      <w:rFonts w:ascii="Verdana" w:eastAsia="Batang" w:hAnsi="Verdana" w:cs="Times New Roman"/>
      <w:sz w:val="20"/>
      <w:szCs w:val="20"/>
      <w:lang w:val="es-CR" w:eastAsia="es-MX" w:bidi="en-US"/>
    </w:rPr>
  </w:style>
  <w:style w:type="character" w:customStyle="1" w:styleId="Caracteresdenotafinal">
    <w:name w:val="Caracteres de nota final"/>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Consolas"/>
      <w:sz w:val="21"/>
      <w:szCs w:val="21"/>
      <w:lang w:val="es-CR" w:eastAsia="es-CR"/>
    </w:rPr>
  </w:style>
  <w:style w:type="character" w:customStyle="1" w:styleId="PlainTextChar">
    <w:name w:val="Plain Text Char"/>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cs="Times"/>
      <w:b/>
      <w:bCs/>
    </w:rPr>
  </w:style>
  <w:style w:type="character" w:customStyle="1" w:styleId="CommentSubjectChar">
    <w:name w:val="Comment Subject 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rsid w:val="00446D48"/>
    <w:rPr>
      <w:sz w:val="14"/>
      <w:szCs w:val="14"/>
    </w:rPr>
  </w:style>
  <w:style w:type="character" w:customStyle="1" w:styleId="ListParagraphChar1">
    <w:name w:val="List Paragraph Char1"/>
    <w:aliases w:val="Footnote Char2"/>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customStyle="1" w:styleId="MediumList2-Accent21">
    <w:name w:val="Medium List 2 - Accent 21"/>
    <w:hidden/>
    <w:uiPriority w:val="99"/>
    <w:semiHidden/>
    <w:rsid w:val="00446D48"/>
    <w:rPr>
      <w:rFonts w:ascii="Verdana" w:eastAsia="Batang" w:hAnsi="Verdana" w:cs="Times"/>
      <w:noProof/>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style>
  <w:style w:type="character" w:customStyle="1" w:styleId="BodyTextIndent2Char">
    <w:name w:val="Body Text Indent 2 Char"/>
    <w:link w:val="BodyTextIndent2"/>
    <w:uiPriority w:val="99"/>
    <w:semiHidden/>
    <w:rsid w:val="00DD2BA7"/>
    <w:rPr>
      <w:rFonts w:ascii="Verdana" w:eastAsia="Batang" w:hAnsi="Verdana" w:cs="Times"/>
      <w:noProof/>
      <w:sz w:val="20"/>
      <w:szCs w:val="24"/>
      <w:lang w:val="es-ES_tradnl"/>
    </w:rPr>
  </w:style>
  <w:style w:type="character" w:customStyle="1" w:styleId="Heading6Char">
    <w:name w:val="Heading 6 Char"/>
    <w:link w:val="Heading6"/>
    <w:uiPriority w:val="9"/>
    <w:rsid w:val="005409D3"/>
    <w:rPr>
      <w:rFonts w:ascii="Verdana" w:eastAsia="Times New Roman" w:hAnsi="Verdana" w:cs="Times New Roman"/>
      <w:spacing w:val="-2"/>
      <w:sz w:val="20"/>
      <w:szCs w:val="20"/>
      <w:lang w:val="es-ES_tradnl" w:eastAsia="es-CR"/>
    </w:rPr>
  </w:style>
  <w:style w:type="paragraph" w:customStyle="1" w:styleId="NotasProyectos0">
    <w:name w:val="***. Notas Proyectos"/>
    <w:basedOn w:val="Normal"/>
    <w:link w:val="NotasProyectosChar0"/>
    <w:autoRedefine/>
    <w:qFormat/>
    <w:rsid w:val="00ED0F94"/>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ED0F94"/>
    <w:rPr>
      <w:rFonts w:ascii="Verdana" w:eastAsia="Times New Roman" w:hAnsi="Verdana" w:cs="Times New Roman"/>
      <w:sz w:val="20"/>
      <w:szCs w:val="20"/>
      <w:lang w:val="es-ES_tradnl" w:eastAsia="es-ES"/>
    </w:rPr>
  </w:style>
  <w:style w:type="character" w:customStyle="1" w:styleId="Smbolodenotaalpie">
    <w:name w:val="Símbolo de nota al pie"/>
    <w:rsid w:val="00ED0F94"/>
    <w:rPr>
      <w:vertAlign w:val="superscript"/>
    </w:rPr>
  </w:style>
  <w:style w:type="table" w:styleId="TableGrid">
    <w:name w:val="Table Grid"/>
    <w:basedOn w:val="TableNormal"/>
    <w:uiPriority w:val="59"/>
    <w:rsid w:val="005E1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5E1A04"/>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C12E50"/>
    <w:rPr>
      <w:b/>
      <w:bCs/>
    </w:rPr>
  </w:style>
  <w:style w:type="character" w:customStyle="1" w:styleId="Estilo2Car">
    <w:name w:val="Estilo2 Car"/>
    <w:link w:val="Estilo2"/>
    <w:rsid w:val="00A25249"/>
    <w:rPr>
      <w:rFonts w:ascii="Verdana" w:eastAsia="Calibri" w:hAnsi="Verdana" w:cs="Times New Roman"/>
      <w:noProof/>
      <w:sz w:val="20"/>
      <w:szCs w:val="20"/>
      <w:lang w:val="es-ES_tradnl"/>
    </w:rPr>
  </w:style>
  <w:style w:type="paragraph" w:customStyle="1" w:styleId="Textoindependiente1">
    <w:name w:val="Texto independiente1"/>
    <w:basedOn w:val="Normal"/>
    <w:rsid w:val="00865815"/>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115D82"/>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F351E5"/>
  </w:style>
  <w:style w:type="paragraph" w:customStyle="1" w:styleId="Prrafodelista1">
    <w:name w:val="Párrafo de lista1"/>
    <w:basedOn w:val="Normal"/>
    <w:uiPriority w:val="72"/>
    <w:qFormat/>
    <w:rsid w:val="00F351E5"/>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F351E5"/>
  </w:style>
  <w:style w:type="character" w:customStyle="1" w:styleId="skypepnhprintcontainer">
    <w:name w:val="skype_pnh_print_container"/>
    <w:basedOn w:val="DefaultParagraphFont"/>
    <w:rsid w:val="00395FBB"/>
  </w:style>
  <w:style w:type="character" w:customStyle="1" w:styleId="s6b621b36">
    <w:name w:val="s6b621b36"/>
    <w:basedOn w:val="DefaultParagraphFont"/>
    <w:rsid w:val="00395FBB"/>
  </w:style>
  <w:style w:type="paragraph" w:customStyle="1" w:styleId="ng-scope1">
    <w:name w:val="ng-scope1"/>
    <w:basedOn w:val="Normal"/>
    <w:rsid w:val="00395FBB"/>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346B01"/>
    <w:rPr>
      <w:rFonts w:ascii="Verdana" w:hAnsi="Verdana"/>
      <w:i/>
      <w:iCs/>
      <w:color w:val="auto"/>
      <w:sz w:val="20"/>
    </w:rPr>
  </w:style>
  <w:style w:type="character" w:customStyle="1" w:styleId="CarCar">
    <w:name w:val="Car Car"/>
    <w:rsid w:val="00346B01"/>
    <w:rPr>
      <w:rFonts w:ascii="Times New Roman" w:eastAsia="Times New Roman" w:hAnsi="Times New Roman" w:cs="Times New Roman"/>
      <w:sz w:val="20"/>
      <w:szCs w:val="20"/>
      <w:lang w:val="es-ES_tradnl"/>
    </w:rPr>
  </w:style>
  <w:style w:type="character" w:customStyle="1" w:styleId="skypepnhcontainer">
    <w:name w:val="skype_pnh_container"/>
    <w:rsid w:val="00346B01"/>
    <w:rPr>
      <w:rFonts w:cs="Times New Roman"/>
    </w:rPr>
  </w:style>
  <w:style w:type="paragraph" w:customStyle="1" w:styleId="TextoArtculo">
    <w:name w:val="Texto Artículo"/>
    <w:next w:val="Normal"/>
    <w:rsid w:val="00346B01"/>
    <w:pPr>
      <w:autoSpaceDE w:val="0"/>
      <w:autoSpaceDN w:val="0"/>
      <w:adjustRightInd w:val="0"/>
      <w:ind w:left="90" w:right="1"/>
      <w:jc w:val="both"/>
    </w:pPr>
    <w:rPr>
      <w:rFonts w:ascii="Verdana" w:eastAsia="Times New Roman" w:hAnsi="Verdana" w:cs="Verdana"/>
      <w:color w:val="000000"/>
      <w:u w:color="000000"/>
      <w:shd w:val="clear" w:color="auto" w:fill="FFFFFF"/>
      <w:lang w:val="es-EC" w:eastAsia="es-ES"/>
    </w:rPr>
  </w:style>
  <w:style w:type="character" w:customStyle="1" w:styleId="nrmar">
    <w:name w:val="nrmar"/>
    <w:rsid w:val="00346B01"/>
  </w:style>
  <w:style w:type="paragraph" w:customStyle="1" w:styleId="s32b251d">
    <w:name w:val="s32b251d"/>
    <w:basedOn w:val="Normal"/>
    <w:rsid w:val="00346B01"/>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350159"/>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350159"/>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350159"/>
    <w:rPr>
      <w:rFonts w:ascii="Calibri" w:hAnsi="Calibri" w:cs="Times New Roman"/>
      <w:i/>
      <w:iCs/>
      <w:color w:val="000000"/>
      <w:sz w:val="20"/>
    </w:rPr>
  </w:style>
  <w:style w:type="paragraph" w:customStyle="1" w:styleId="Style8">
    <w:name w:val="Style 8"/>
    <w:basedOn w:val="Normal"/>
    <w:rsid w:val="00350159"/>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350159"/>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350159"/>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350159"/>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350159"/>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350159"/>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350159"/>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350159"/>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350159"/>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350159"/>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350159"/>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350159"/>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350159"/>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350159"/>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350159"/>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350159"/>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350159"/>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350159"/>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162BC9"/>
  </w:style>
  <w:style w:type="character" w:customStyle="1" w:styleId="highlighted">
    <w:name w:val="highlighted"/>
    <w:basedOn w:val="DefaultParagraphFont"/>
    <w:rsid w:val="00162BC9"/>
  </w:style>
  <w:style w:type="numbering" w:customStyle="1" w:styleId="NoList1">
    <w:name w:val="No List1"/>
    <w:next w:val="NoList"/>
    <w:uiPriority w:val="99"/>
    <w:semiHidden/>
    <w:unhideWhenUsed/>
    <w:rsid w:val="00CF7E7E"/>
  </w:style>
  <w:style w:type="table" w:customStyle="1" w:styleId="TableGrid1">
    <w:name w:val="Table Grid1"/>
    <w:basedOn w:val="TableNormal"/>
    <w:next w:val="TableGrid"/>
    <w:uiPriority w:val="59"/>
    <w:rsid w:val="00CF7E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CF7E7E"/>
    <w:rPr>
      <w:rFonts w:ascii="Calibri" w:eastAsia="Calibri" w:hAnsi="Calibri" w:cs="Times New Roman"/>
      <w:i/>
      <w:iCs/>
      <w:noProof w:val="0"/>
      <w:color w:val="000000"/>
      <w:szCs w:val="22"/>
      <w:lang w:val="en-US"/>
    </w:rPr>
  </w:style>
  <w:style w:type="character" w:customStyle="1" w:styleId="QuoteChar1">
    <w:name w:val="Quote Char1"/>
    <w:uiPriority w:val="29"/>
    <w:rsid w:val="00CF7E7E"/>
    <w:rPr>
      <w:i/>
      <w:iCs/>
      <w:color w:val="000000"/>
    </w:rPr>
  </w:style>
  <w:style w:type="paragraph" w:customStyle="1" w:styleId="ColorfulList-Accent12">
    <w:name w:val="Colorful List - Accent 12"/>
    <w:basedOn w:val="Normal"/>
    <w:uiPriority w:val="72"/>
    <w:qFormat/>
    <w:rsid w:val="00794BF0"/>
    <w:pPr>
      <w:ind w:left="708"/>
    </w:pPr>
  </w:style>
  <w:style w:type="paragraph" w:styleId="ListParagraph">
    <w:name w:val="List Paragraph"/>
    <w:basedOn w:val="Normal"/>
    <w:qFormat/>
    <w:rsid w:val="005C3B17"/>
    <w:pPr>
      <w:ind w:left="720"/>
    </w:pPr>
  </w:style>
  <w:style w:type="paragraph" w:customStyle="1" w:styleId="Estilo3">
    <w:name w:val="Estilo3"/>
    <w:basedOn w:val="ListParagraph"/>
    <w:qFormat/>
    <w:rsid w:val="003E12D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3E12D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3E12DE"/>
    <w:rPr>
      <w:rFonts w:ascii="Verdana" w:eastAsia="Times New Roman" w:hAnsi="Verdana"/>
      <w:spacing w:val="-2"/>
      <w:lang w:val="es-CR" w:eastAsia="en-US"/>
    </w:rPr>
  </w:style>
  <w:style w:type="character" w:customStyle="1" w:styleId="Estilo5Car">
    <w:name w:val="Estilo5 Car"/>
    <w:link w:val="Estilo5"/>
    <w:rsid w:val="003E12DE"/>
    <w:rPr>
      <w:rFonts w:ascii="Times New Roman" w:hAnsi="Times New Roman"/>
      <w:i/>
      <w:sz w:val="24"/>
      <w:szCs w:val="24"/>
      <w:lang w:val="es-UY" w:eastAsia="en-US"/>
    </w:rPr>
  </w:style>
  <w:style w:type="paragraph" w:customStyle="1" w:styleId="Rom2">
    <w:name w:val="Rom2"/>
    <w:basedOn w:val="Normal"/>
    <w:rsid w:val="00DB6D19"/>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52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779">
      <w:bodyDiv w:val="1"/>
      <w:marLeft w:val="0"/>
      <w:marRight w:val="0"/>
      <w:marTop w:val="0"/>
      <w:marBottom w:val="0"/>
      <w:divBdr>
        <w:top w:val="none" w:sz="0" w:space="0" w:color="auto"/>
        <w:left w:val="none" w:sz="0" w:space="0" w:color="auto"/>
        <w:bottom w:val="none" w:sz="0" w:space="0" w:color="auto"/>
        <w:right w:val="none" w:sz="0" w:space="0" w:color="auto"/>
      </w:divBdr>
      <w:divsChild>
        <w:div w:id="1736775236">
          <w:marLeft w:val="0"/>
          <w:marRight w:val="0"/>
          <w:marTop w:val="0"/>
          <w:marBottom w:val="0"/>
          <w:divBdr>
            <w:top w:val="none" w:sz="0" w:space="0" w:color="auto"/>
            <w:left w:val="none" w:sz="0" w:space="0" w:color="auto"/>
            <w:bottom w:val="none" w:sz="0" w:space="0" w:color="auto"/>
            <w:right w:val="none" w:sz="0" w:space="0" w:color="auto"/>
          </w:divBdr>
        </w:div>
        <w:div w:id="711346938">
          <w:marLeft w:val="0"/>
          <w:marRight w:val="0"/>
          <w:marTop w:val="0"/>
          <w:marBottom w:val="0"/>
          <w:divBdr>
            <w:top w:val="none" w:sz="0" w:space="0" w:color="auto"/>
            <w:left w:val="none" w:sz="0" w:space="0" w:color="auto"/>
            <w:bottom w:val="none" w:sz="0" w:space="0" w:color="auto"/>
            <w:right w:val="none" w:sz="0" w:space="0" w:color="auto"/>
          </w:divBdr>
        </w:div>
        <w:div w:id="1794903889">
          <w:marLeft w:val="0"/>
          <w:marRight w:val="0"/>
          <w:marTop w:val="0"/>
          <w:marBottom w:val="0"/>
          <w:divBdr>
            <w:top w:val="none" w:sz="0" w:space="0" w:color="auto"/>
            <w:left w:val="none" w:sz="0" w:space="0" w:color="auto"/>
            <w:bottom w:val="none" w:sz="0" w:space="0" w:color="auto"/>
            <w:right w:val="none" w:sz="0" w:space="0" w:color="auto"/>
          </w:divBdr>
        </w:div>
        <w:div w:id="283273183">
          <w:marLeft w:val="0"/>
          <w:marRight w:val="0"/>
          <w:marTop w:val="0"/>
          <w:marBottom w:val="0"/>
          <w:divBdr>
            <w:top w:val="none" w:sz="0" w:space="0" w:color="auto"/>
            <w:left w:val="none" w:sz="0" w:space="0" w:color="auto"/>
            <w:bottom w:val="none" w:sz="0" w:space="0" w:color="auto"/>
            <w:right w:val="none" w:sz="0" w:space="0" w:color="auto"/>
          </w:divBdr>
        </w:div>
        <w:div w:id="29770007">
          <w:marLeft w:val="0"/>
          <w:marRight w:val="0"/>
          <w:marTop w:val="0"/>
          <w:marBottom w:val="0"/>
          <w:divBdr>
            <w:top w:val="none" w:sz="0" w:space="0" w:color="auto"/>
            <w:left w:val="none" w:sz="0" w:space="0" w:color="auto"/>
            <w:bottom w:val="none" w:sz="0" w:space="0" w:color="auto"/>
            <w:right w:val="none" w:sz="0" w:space="0" w:color="auto"/>
          </w:divBdr>
        </w:div>
        <w:div w:id="547496190">
          <w:marLeft w:val="0"/>
          <w:marRight w:val="0"/>
          <w:marTop w:val="0"/>
          <w:marBottom w:val="0"/>
          <w:divBdr>
            <w:top w:val="none" w:sz="0" w:space="0" w:color="auto"/>
            <w:left w:val="none" w:sz="0" w:space="0" w:color="auto"/>
            <w:bottom w:val="none" w:sz="0" w:space="0" w:color="auto"/>
            <w:right w:val="none" w:sz="0" w:space="0" w:color="auto"/>
          </w:divBdr>
        </w:div>
        <w:div w:id="1099105313">
          <w:marLeft w:val="0"/>
          <w:marRight w:val="0"/>
          <w:marTop w:val="0"/>
          <w:marBottom w:val="0"/>
          <w:divBdr>
            <w:top w:val="none" w:sz="0" w:space="0" w:color="auto"/>
            <w:left w:val="none" w:sz="0" w:space="0" w:color="auto"/>
            <w:bottom w:val="none" w:sz="0" w:space="0" w:color="auto"/>
            <w:right w:val="none" w:sz="0" w:space="0" w:color="auto"/>
          </w:divBdr>
        </w:div>
        <w:div w:id="1699310336">
          <w:marLeft w:val="0"/>
          <w:marRight w:val="0"/>
          <w:marTop w:val="0"/>
          <w:marBottom w:val="0"/>
          <w:divBdr>
            <w:top w:val="none" w:sz="0" w:space="0" w:color="auto"/>
            <w:left w:val="none" w:sz="0" w:space="0" w:color="auto"/>
            <w:bottom w:val="none" w:sz="0" w:space="0" w:color="auto"/>
            <w:right w:val="none" w:sz="0" w:space="0" w:color="auto"/>
          </w:divBdr>
        </w:div>
      </w:divsChild>
    </w:div>
    <w:div w:id="221061445">
      <w:bodyDiv w:val="1"/>
      <w:marLeft w:val="0"/>
      <w:marRight w:val="0"/>
      <w:marTop w:val="0"/>
      <w:marBottom w:val="0"/>
      <w:divBdr>
        <w:top w:val="none" w:sz="0" w:space="0" w:color="auto"/>
        <w:left w:val="none" w:sz="0" w:space="0" w:color="auto"/>
        <w:bottom w:val="none" w:sz="0" w:space="0" w:color="auto"/>
        <w:right w:val="none" w:sz="0" w:space="0" w:color="auto"/>
      </w:divBdr>
      <w:divsChild>
        <w:div w:id="1076054843">
          <w:marLeft w:val="0"/>
          <w:marRight w:val="0"/>
          <w:marTop w:val="0"/>
          <w:marBottom w:val="0"/>
          <w:divBdr>
            <w:top w:val="none" w:sz="0" w:space="0" w:color="auto"/>
            <w:left w:val="none" w:sz="0" w:space="0" w:color="auto"/>
            <w:bottom w:val="none" w:sz="0" w:space="0" w:color="auto"/>
            <w:right w:val="none" w:sz="0" w:space="0" w:color="auto"/>
          </w:divBdr>
        </w:div>
        <w:div w:id="991521720">
          <w:marLeft w:val="0"/>
          <w:marRight w:val="0"/>
          <w:marTop w:val="0"/>
          <w:marBottom w:val="0"/>
          <w:divBdr>
            <w:top w:val="none" w:sz="0" w:space="0" w:color="auto"/>
            <w:left w:val="none" w:sz="0" w:space="0" w:color="auto"/>
            <w:bottom w:val="none" w:sz="0" w:space="0" w:color="auto"/>
            <w:right w:val="none" w:sz="0" w:space="0" w:color="auto"/>
          </w:divBdr>
        </w:div>
      </w:divsChild>
    </w:div>
    <w:div w:id="331642486">
      <w:bodyDiv w:val="1"/>
      <w:marLeft w:val="0"/>
      <w:marRight w:val="0"/>
      <w:marTop w:val="0"/>
      <w:marBottom w:val="0"/>
      <w:divBdr>
        <w:top w:val="none" w:sz="0" w:space="0" w:color="auto"/>
        <w:left w:val="none" w:sz="0" w:space="0" w:color="auto"/>
        <w:bottom w:val="none" w:sz="0" w:space="0" w:color="auto"/>
        <w:right w:val="none" w:sz="0" w:space="0" w:color="auto"/>
      </w:divBdr>
    </w:div>
    <w:div w:id="466432597">
      <w:bodyDiv w:val="1"/>
      <w:marLeft w:val="0"/>
      <w:marRight w:val="0"/>
      <w:marTop w:val="0"/>
      <w:marBottom w:val="0"/>
      <w:divBdr>
        <w:top w:val="none" w:sz="0" w:space="0" w:color="auto"/>
        <w:left w:val="none" w:sz="0" w:space="0" w:color="auto"/>
        <w:bottom w:val="none" w:sz="0" w:space="0" w:color="auto"/>
        <w:right w:val="none" w:sz="0" w:space="0" w:color="auto"/>
      </w:divBdr>
      <w:divsChild>
        <w:div w:id="1190290296">
          <w:marLeft w:val="0"/>
          <w:marRight w:val="0"/>
          <w:marTop w:val="0"/>
          <w:marBottom w:val="0"/>
          <w:divBdr>
            <w:top w:val="none" w:sz="0" w:space="0" w:color="auto"/>
            <w:left w:val="none" w:sz="0" w:space="0" w:color="auto"/>
            <w:bottom w:val="none" w:sz="0" w:space="0" w:color="auto"/>
            <w:right w:val="none" w:sz="0" w:space="0" w:color="auto"/>
          </w:divBdr>
        </w:div>
        <w:div w:id="245304787">
          <w:marLeft w:val="0"/>
          <w:marRight w:val="0"/>
          <w:marTop w:val="0"/>
          <w:marBottom w:val="0"/>
          <w:divBdr>
            <w:top w:val="none" w:sz="0" w:space="0" w:color="auto"/>
            <w:left w:val="none" w:sz="0" w:space="0" w:color="auto"/>
            <w:bottom w:val="none" w:sz="0" w:space="0" w:color="auto"/>
            <w:right w:val="none" w:sz="0" w:space="0" w:color="auto"/>
          </w:divBdr>
        </w:div>
        <w:div w:id="1897667324">
          <w:marLeft w:val="0"/>
          <w:marRight w:val="0"/>
          <w:marTop w:val="0"/>
          <w:marBottom w:val="0"/>
          <w:divBdr>
            <w:top w:val="none" w:sz="0" w:space="0" w:color="auto"/>
            <w:left w:val="none" w:sz="0" w:space="0" w:color="auto"/>
            <w:bottom w:val="none" w:sz="0" w:space="0" w:color="auto"/>
            <w:right w:val="none" w:sz="0" w:space="0" w:color="auto"/>
          </w:divBdr>
        </w:div>
        <w:div w:id="1291206553">
          <w:marLeft w:val="0"/>
          <w:marRight w:val="0"/>
          <w:marTop w:val="0"/>
          <w:marBottom w:val="0"/>
          <w:divBdr>
            <w:top w:val="none" w:sz="0" w:space="0" w:color="auto"/>
            <w:left w:val="none" w:sz="0" w:space="0" w:color="auto"/>
            <w:bottom w:val="none" w:sz="0" w:space="0" w:color="auto"/>
            <w:right w:val="none" w:sz="0" w:space="0" w:color="auto"/>
          </w:divBdr>
        </w:div>
        <w:div w:id="1851947194">
          <w:marLeft w:val="0"/>
          <w:marRight w:val="0"/>
          <w:marTop w:val="0"/>
          <w:marBottom w:val="0"/>
          <w:divBdr>
            <w:top w:val="none" w:sz="0" w:space="0" w:color="auto"/>
            <w:left w:val="none" w:sz="0" w:space="0" w:color="auto"/>
            <w:bottom w:val="none" w:sz="0" w:space="0" w:color="auto"/>
            <w:right w:val="none" w:sz="0" w:space="0" w:color="auto"/>
          </w:divBdr>
        </w:div>
      </w:divsChild>
    </w:div>
    <w:div w:id="516118807">
      <w:bodyDiv w:val="1"/>
      <w:marLeft w:val="0"/>
      <w:marRight w:val="0"/>
      <w:marTop w:val="0"/>
      <w:marBottom w:val="0"/>
      <w:divBdr>
        <w:top w:val="none" w:sz="0" w:space="0" w:color="auto"/>
        <w:left w:val="none" w:sz="0" w:space="0" w:color="auto"/>
        <w:bottom w:val="none" w:sz="0" w:space="0" w:color="auto"/>
        <w:right w:val="none" w:sz="0" w:space="0" w:color="auto"/>
      </w:divBdr>
    </w:div>
    <w:div w:id="660278956">
      <w:bodyDiv w:val="1"/>
      <w:marLeft w:val="0"/>
      <w:marRight w:val="0"/>
      <w:marTop w:val="0"/>
      <w:marBottom w:val="0"/>
      <w:divBdr>
        <w:top w:val="none" w:sz="0" w:space="0" w:color="auto"/>
        <w:left w:val="none" w:sz="0" w:space="0" w:color="auto"/>
        <w:bottom w:val="none" w:sz="0" w:space="0" w:color="auto"/>
        <w:right w:val="none" w:sz="0" w:space="0" w:color="auto"/>
      </w:divBdr>
    </w:div>
    <w:div w:id="688021050">
      <w:bodyDiv w:val="1"/>
      <w:marLeft w:val="0"/>
      <w:marRight w:val="0"/>
      <w:marTop w:val="0"/>
      <w:marBottom w:val="0"/>
      <w:divBdr>
        <w:top w:val="none" w:sz="0" w:space="0" w:color="auto"/>
        <w:left w:val="none" w:sz="0" w:space="0" w:color="auto"/>
        <w:bottom w:val="none" w:sz="0" w:space="0" w:color="auto"/>
        <w:right w:val="none" w:sz="0" w:space="0" w:color="auto"/>
      </w:divBdr>
      <w:divsChild>
        <w:div w:id="1940598334">
          <w:marLeft w:val="0"/>
          <w:marRight w:val="0"/>
          <w:marTop w:val="0"/>
          <w:marBottom w:val="0"/>
          <w:divBdr>
            <w:top w:val="none" w:sz="0" w:space="0" w:color="auto"/>
            <w:left w:val="none" w:sz="0" w:space="0" w:color="auto"/>
            <w:bottom w:val="none" w:sz="0" w:space="0" w:color="auto"/>
            <w:right w:val="none" w:sz="0" w:space="0" w:color="auto"/>
          </w:divBdr>
          <w:divsChild>
            <w:div w:id="576940583">
              <w:marLeft w:val="0"/>
              <w:marRight w:val="0"/>
              <w:marTop w:val="0"/>
              <w:marBottom w:val="0"/>
              <w:divBdr>
                <w:top w:val="none" w:sz="0" w:space="0" w:color="auto"/>
                <w:left w:val="none" w:sz="0" w:space="0" w:color="auto"/>
                <w:bottom w:val="none" w:sz="0" w:space="0" w:color="auto"/>
                <w:right w:val="none" w:sz="0" w:space="0" w:color="auto"/>
              </w:divBdr>
              <w:divsChild>
                <w:div w:id="18120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2158">
      <w:bodyDiv w:val="1"/>
      <w:marLeft w:val="0"/>
      <w:marRight w:val="0"/>
      <w:marTop w:val="0"/>
      <w:marBottom w:val="0"/>
      <w:divBdr>
        <w:top w:val="none" w:sz="0" w:space="0" w:color="auto"/>
        <w:left w:val="none" w:sz="0" w:space="0" w:color="auto"/>
        <w:bottom w:val="none" w:sz="0" w:space="0" w:color="auto"/>
        <w:right w:val="none" w:sz="0" w:space="0" w:color="auto"/>
      </w:divBdr>
    </w:div>
    <w:div w:id="878782967">
      <w:bodyDiv w:val="1"/>
      <w:marLeft w:val="0"/>
      <w:marRight w:val="0"/>
      <w:marTop w:val="0"/>
      <w:marBottom w:val="0"/>
      <w:divBdr>
        <w:top w:val="none" w:sz="0" w:space="0" w:color="auto"/>
        <w:left w:val="none" w:sz="0" w:space="0" w:color="auto"/>
        <w:bottom w:val="none" w:sz="0" w:space="0" w:color="auto"/>
        <w:right w:val="none" w:sz="0" w:space="0" w:color="auto"/>
      </w:divBdr>
      <w:divsChild>
        <w:div w:id="571886852">
          <w:marLeft w:val="0"/>
          <w:marRight w:val="0"/>
          <w:marTop w:val="0"/>
          <w:marBottom w:val="0"/>
          <w:divBdr>
            <w:top w:val="none" w:sz="0" w:space="0" w:color="auto"/>
            <w:left w:val="none" w:sz="0" w:space="0" w:color="auto"/>
            <w:bottom w:val="none" w:sz="0" w:space="0" w:color="auto"/>
            <w:right w:val="none" w:sz="0" w:space="0" w:color="auto"/>
          </w:divBdr>
        </w:div>
      </w:divsChild>
    </w:div>
    <w:div w:id="889877787">
      <w:bodyDiv w:val="1"/>
      <w:marLeft w:val="0"/>
      <w:marRight w:val="0"/>
      <w:marTop w:val="0"/>
      <w:marBottom w:val="0"/>
      <w:divBdr>
        <w:top w:val="none" w:sz="0" w:space="0" w:color="auto"/>
        <w:left w:val="none" w:sz="0" w:space="0" w:color="auto"/>
        <w:bottom w:val="none" w:sz="0" w:space="0" w:color="auto"/>
        <w:right w:val="none" w:sz="0" w:space="0" w:color="auto"/>
      </w:divBdr>
    </w:div>
    <w:div w:id="1043287902">
      <w:bodyDiv w:val="1"/>
      <w:marLeft w:val="0"/>
      <w:marRight w:val="0"/>
      <w:marTop w:val="0"/>
      <w:marBottom w:val="0"/>
      <w:divBdr>
        <w:top w:val="none" w:sz="0" w:space="0" w:color="auto"/>
        <w:left w:val="none" w:sz="0" w:space="0" w:color="auto"/>
        <w:bottom w:val="none" w:sz="0" w:space="0" w:color="auto"/>
        <w:right w:val="none" w:sz="0" w:space="0" w:color="auto"/>
      </w:divBdr>
    </w:div>
    <w:div w:id="1165632627">
      <w:bodyDiv w:val="1"/>
      <w:marLeft w:val="0"/>
      <w:marRight w:val="0"/>
      <w:marTop w:val="0"/>
      <w:marBottom w:val="0"/>
      <w:divBdr>
        <w:top w:val="none" w:sz="0" w:space="0" w:color="auto"/>
        <w:left w:val="none" w:sz="0" w:space="0" w:color="auto"/>
        <w:bottom w:val="none" w:sz="0" w:space="0" w:color="auto"/>
        <w:right w:val="none" w:sz="0" w:space="0" w:color="auto"/>
      </w:divBdr>
      <w:divsChild>
        <w:div w:id="1226795471">
          <w:marLeft w:val="0"/>
          <w:marRight w:val="0"/>
          <w:marTop w:val="0"/>
          <w:marBottom w:val="0"/>
          <w:divBdr>
            <w:top w:val="none" w:sz="0" w:space="0" w:color="auto"/>
            <w:left w:val="none" w:sz="0" w:space="0" w:color="auto"/>
            <w:bottom w:val="none" w:sz="0" w:space="0" w:color="auto"/>
            <w:right w:val="none" w:sz="0" w:space="0" w:color="auto"/>
          </w:divBdr>
          <w:divsChild>
            <w:div w:id="659580220">
              <w:marLeft w:val="0"/>
              <w:marRight w:val="0"/>
              <w:marTop w:val="0"/>
              <w:marBottom w:val="0"/>
              <w:divBdr>
                <w:top w:val="none" w:sz="0" w:space="0" w:color="auto"/>
                <w:left w:val="none" w:sz="0" w:space="0" w:color="auto"/>
                <w:bottom w:val="none" w:sz="0" w:space="0" w:color="auto"/>
                <w:right w:val="none" w:sz="0" w:space="0" w:color="auto"/>
              </w:divBdr>
              <w:divsChild>
                <w:div w:id="56318690">
                  <w:marLeft w:val="0"/>
                  <w:marRight w:val="0"/>
                  <w:marTop w:val="0"/>
                  <w:marBottom w:val="0"/>
                  <w:divBdr>
                    <w:top w:val="none" w:sz="0" w:space="0" w:color="auto"/>
                    <w:left w:val="none" w:sz="0" w:space="0" w:color="auto"/>
                    <w:bottom w:val="none" w:sz="0" w:space="0" w:color="auto"/>
                    <w:right w:val="none" w:sz="0" w:space="0" w:color="auto"/>
                  </w:divBdr>
                  <w:divsChild>
                    <w:div w:id="1153912674">
                      <w:marLeft w:val="0"/>
                      <w:marRight w:val="0"/>
                      <w:marTop w:val="0"/>
                      <w:marBottom w:val="0"/>
                      <w:divBdr>
                        <w:top w:val="none" w:sz="0" w:space="0" w:color="auto"/>
                        <w:left w:val="none" w:sz="0" w:space="0" w:color="auto"/>
                        <w:bottom w:val="none" w:sz="0" w:space="0" w:color="auto"/>
                        <w:right w:val="none" w:sz="0" w:space="0" w:color="auto"/>
                      </w:divBdr>
                      <w:divsChild>
                        <w:div w:id="131768356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141414759">
                              <w:marLeft w:val="0"/>
                              <w:marRight w:val="0"/>
                              <w:marTop w:val="0"/>
                              <w:marBottom w:val="0"/>
                              <w:divBdr>
                                <w:top w:val="none" w:sz="0" w:space="0" w:color="auto"/>
                                <w:left w:val="none" w:sz="0" w:space="0" w:color="auto"/>
                                <w:bottom w:val="none" w:sz="0" w:space="0" w:color="auto"/>
                                <w:right w:val="none" w:sz="0" w:space="0" w:color="auto"/>
                              </w:divBdr>
                              <w:divsChild>
                                <w:div w:id="1481389677">
                                  <w:marLeft w:val="0"/>
                                  <w:marRight w:val="0"/>
                                  <w:marTop w:val="0"/>
                                  <w:marBottom w:val="0"/>
                                  <w:divBdr>
                                    <w:top w:val="none" w:sz="0" w:space="0" w:color="auto"/>
                                    <w:left w:val="none" w:sz="0" w:space="0" w:color="auto"/>
                                    <w:bottom w:val="none" w:sz="0" w:space="0" w:color="auto"/>
                                    <w:right w:val="none" w:sz="0" w:space="0" w:color="auto"/>
                                  </w:divBdr>
                                  <w:divsChild>
                                    <w:div w:id="128329326">
                                      <w:marLeft w:val="0"/>
                                      <w:marRight w:val="0"/>
                                      <w:marTop w:val="0"/>
                                      <w:marBottom w:val="0"/>
                                      <w:divBdr>
                                        <w:top w:val="none" w:sz="0" w:space="0" w:color="auto"/>
                                        <w:left w:val="none" w:sz="0" w:space="0" w:color="auto"/>
                                        <w:bottom w:val="none" w:sz="0" w:space="0" w:color="auto"/>
                                        <w:right w:val="none" w:sz="0" w:space="0" w:color="auto"/>
                                      </w:divBdr>
                                      <w:divsChild>
                                        <w:div w:id="1934167304">
                                          <w:marLeft w:val="0"/>
                                          <w:marRight w:val="0"/>
                                          <w:marTop w:val="0"/>
                                          <w:marBottom w:val="0"/>
                                          <w:divBdr>
                                            <w:top w:val="none" w:sz="0" w:space="0" w:color="auto"/>
                                            <w:left w:val="none" w:sz="0" w:space="0" w:color="auto"/>
                                            <w:bottom w:val="none" w:sz="0" w:space="0" w:color="auto"/>
                                            <w:right w:val="none" w:sz="0" w:space="0" w:color="auto"/>
                                          </w:divBdr>
                                          <w:divsChild>
                                            <w:div w:id="1245069419">
                                              <w:marLeft w:val="0"/>
                                              <w:marRight w:val="0"/>
                                              <w:marTop w:val="0"/>
                                              <w:marBottom w:val="0"/>
                                              <w:divBdr>
                                                <w:top w:val="none" w:sz="0" w:space="0" w:color="auto"/>
                                                <w:left w:val="none" w:sz="0" w:space="0" w:color="auto"/>
                                                <w:bottom w:val="none" w:sz="0" w:space="0" w:color="auto"/>
                                                <w:right w:val="none" w:sz="0" w:space="0" w:color="auto"/>
                                              </w:divBdr>
                                              <w:divsChild>
                                                <w:div w:id="1689865690">
                                                  <w:marLeft w:val="0"/>
                                                  <w:marRight w:val="0"/>
                                                  <w:marTop w:val="0"/>
                                                  <w:marBottom w:val="0"/>
                                                  <w:divBdr>
                                                    <w:top w:val="none" w:sz="0" w:space="0" w:color="auto"/>
                                                    <w:left w:val="none" w:sz="0" w:space="0" w:color="auto"/>
                                                    <w:bottom w:val="none" w:sz="0" w:space="0" w:color="auto"/>
                                                    <w:right w:val="none" w:sz="0" w:space="0" w:color="auto"/>
                                                  </w:divBdr>
                                                  <w:divsChild>
                                                    <w:div w:id="978804528">
                                                      <w:marLeft w:val="0"/>
                                                      <w:marRight w:val="0"/>
                                                      <w:marTop w:val="0"/>
                                                      <w:marBottom w:val="0"/>
                                                      <w:divBdr>
                                                        <w:top w:val="none" w:sz="0" w:space="0" w:color="auto"/>
                                                        <w:left w:val="none" w:sz="0" w:space="0" w:color="auto"/>
                                                        <w:bottom w:val="none" w:sz="0" w:space="0" w:color="auto"/>
                                                        <w:right w:val="none" w:sz="0" w:space="0" w:color="auto"/>
                                                      </w:divBdr>
                                                      <w:divsChild>
                                                        <w:div w:id="7658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416684">
      <w:bodyDiv w:val="1"/>
      <w:marLeft w:val="0"/>
      <w:marRight w:val="0"/>
      <w:marTop w:val="0"/>
      <w:marBottom w:val="0"/>
      <w:divBdr>
        <w:top w:val="none" w:sz="0" w:space="0" w:color="auto"/>
        <w:left w:val="none" w:sz="0" w:space="0" w:color="auto"/>
        <w:bottom w:val="none" w:sz="0" w:space="0" w:color="auto"/>
        <w:right w:val="none" w:sz="0" w:space="0" w:color="auto"/>
      </w:divBdr>
    </w:div>
    <w:div w:id="1367487223">
      <w:bodyDiv w:val="1"/>
      <w:marLeft w:val="0"/>
      <w:marRight w:val="0"/>
      <w:marTop w:val="0"/>
      <w:marBottom w:val="0"/>
      <w:divBdr>
        <w:top w:val="none" w:sz="0" w:space="0" w:color="auto"/>
        <w:left w:val="none" w:sz="0" w:space="0" w:color="auto"/>
        <w:bottom w:val="none" w:sz="0" w:space="0" w:color="auto"/>
        <w:right w:val="none" w:sz="0" w:space="0" w:color="auto"/>
      </w:divBdr>
      <w:divsChild>
        <w:div w:id="1184630290">
          <w:marLeft w:val="0"/>
          <w:marRight w:val="0"/>
          <w:marTop w:val="0"/>
          <w:marBottom w:val="0"/>
          <w:divBdr>
            <w:top w:val="none" w:sz="0" w:space="0" w:color="auto"/>
            <w:left w:val="none" w:sz="0" w:space="0" w:color="auto"/>
            <w:bottom w:val="none" w:sz="0" w:space="0" w:color="auto"/>
            <w:right w:val="none" w:sz="0" w:space="0" w:color="auto"/>
          </w:divBdr>
        </w:div>
        <w:div w:id="1897818996">
          <w:marLeft w:val="0"/>
          <w:marRight w:val="0"/>
          <w:marTop w:val="0"/>
          <w:marBottom w:val="0"/>
          <w:divBdr>
            <w:top w:val="none" w:sz="0" w:space="0" w:color="auto"/>
            <w:left w:val="none" w:sz="0" w:space="0" w:color="auto"/>
            <w:bottom w:val="none" w:sz="0" w:space="0" w:color="auto"/>
            <w:right w:val="none" w:sz="0" w:space="0" w:color="auto"/>
          </w:divBdr>
        </w:div>
        <w:div w:id="2060976973">
          <w:marLeft w:val="0"/>
          <w:marRight w:val="0"/>
          <w:marTop w:val="0"/>
          <w:marBottom w:val="0"/>
          <w:divBdr>
            <w:top w:val="none" w:sz="0" w:space="0" w:color="auto"/>
            <w:left w:val="none" w:sz="0" w:space="0" w:color="auto"/>
            <w:bottom w:val="none" w:sz="0" w:space="0" w:color="auto"/>
            <w:right w:val="none" w:sz="0" w:space="0" w:color="auto"/>
          </w:divBdr>
        </w:div>
        <w:div w:id="825706503">
          <w:marLeft w:val="0"/>
          <w:marRight w:val="0"/>
          <w:marTop w:val="0"/>
          <w:marBottom w:val="0"/>
          <w:divBdr>
            <w:top w:val="none" w:sz="0" w:space="0" w:color="auto"/>
            <w:left w:val="none" w:sz="0" w:space="0" w:color="auto"/>
            <w:bottom w:val="none" w:sz="0" w:space="0" w:color="auto"/>
            <w:right w:val="none" w:sz="0" w:space="0" w:color="auto"/>
          </w:divBdr>
        </w:div>
        <w:div w:id="1600747538">
          <w:marLeft w:val="0"/>
          <w:marRight w:val="0"/>
          <w:marTop w:val="0"/>
          <w:marBottom w:val="0"/>
          <w:divBdr>
            <w:top w:val="none" w:sz="0" w:space="0" w:color="auto"/>
            <w:left w:val="none" w:sz="0" w:space="0" w:color="auto"/>
            <w:bottom w:val="none" w:sz="0" w:space="0" w:color="auto"/>
            <w:right w:val="none" w:sz="0" w:space="0" w:color="auto"/>
          </w:divBdr>
        </w:div>
        <w:div w:id="2083210783">
          <w:marLeft w:val="0"/>
          <w:marRight w:val="0"/>
          <w:marTop w:val="0"/>
          <w:marBottom w:val="0"/>
          <w:divBdr>
            <w:top w:val="none" w:sz="0" w:space="0" w:color="auto"/>
            <w:left w:val="none" w:sz="0" w:space="0" w:color="auto"/>
            <w:bottom w:val="none" w:sz="0" w:space="0" w:color="auto"/>
            <w:right w:val="none" w:sz="0" w:space="0" w:color="auto"/>
          </w:divBdr>
        </w:div>
        <w:div w:id="738795688">
          <w:marLeft w:val="0"/>
          <w:marRight w:val="0"/>
          <w:marTop w:val="0"/>
          <w:marBottom w:val="0"/>
          <w:divBdr>
            <w:top w:val="none" w:sz="0" w:space="0" w:color="auto"/>
            <w:left w:val="none" w:sz="0" w:space="0" w:color="auto"/>
            <w:bottom w:val="none" w:sz="0" w:space="0" w:color="auto"/>
            <w:right w:val="none" w:sz="0" w:space="0" w:color="auto"/>
          </w:divBdr>
        </w:div>
        <w:div w:id="1548878527">
          <w:marLeft w:val="0"/>
          <w:marRight w:val="0"/>
          <w:marTop w:val="0"/>
          <w:marBottom w:val="0"/>
          <w:divBdr>
            <w:top w:val="none" w:sz="0" w:space="0" w:color="auto"/>
            <w:left w:val="none" w:sz="0" w:space="0" w:color="auto"/>
            <w:bottom w:val="none" w:sz="0" w:space="0" w:color="auto"/>
            <w:right w:val="none" w:sz="0" w:space="0" w:color="auto"/>
          </w:divBdr>
        </w:div>
      </w:divsChild>
    </w:div>
    <w:div w:id="1380595035">
      <w:bodyDiv w:val="1"/>
      <w:marLeft w:val="0"/>
      <w:marRight w:val="0"/>
      <w:marTop w:val="0"/>
      <w:marBottom w:val="0"/>
      <w:divBdr>
        <w:top w:val="none" w:sz="0" w:space="0" w:color="auto"/>
        <w:left w:val="none" w:sz="0" w:space="0" w:color="auto"/>
        <w:bottom w:val="none" w:sz="0" w:space="0" w:color="auto"/>
        <w:right w:val="none" w:sz="0" w:space="0" w:color="auto"/>
      </w:divBdr>
    </w:div>
    <w:div w:id="1401949443">
      <w:bodyDiv w:val="1"/>
      <w:marLeft w:val="0"/>
      <w:marRight w:val="0"/>
      <w:marTop w:val="0"/>
      <w:marBottom w:val="0"/>
      <w:divBdr>
        <w:top w:val="none" w:sz="0" w:space="0" w:color="auto"/>
        <w:left w:val="none" w:sz="0" w:space="0" w:color="auto"/>
        <w:bottom w:val="none" w:sz="0" w:space="0" w:color="auto"/>
        <w:right w:val="none" w:sz="0" w:space="0" w:color="auto"/>
      </w:divBdr>
    </w:div>
    <w:div w:id="1630893816">
      <w:bodyDiv w:val="1"/>
      <w:marLeft w:val="0"/>
      <w:marRight w:val="0"/>
      <w:marTop w:val="0"/>
      <w:marBottom w:val="0"/>
      <w:divBdr>
        <w:top w:val="none" w:sz="0" w:space="0" w:color="auto"/>
        <w:left w:val="none" w:sz="0" w:space="0" w:color="auto"/>
        <w:bottom w:val="none" w:sz="0" w:space="0" w:color="auto"/>
        <w:right w:val="none" w:sz="0" w:space="0" w:color="auto"/>
      </w:divBdr>
      <w:divsChild>
        <w:div w:id="884878322">
          <w:marLeft w:val="0"/>
          <w:marRight w:val="0"/>
          <w:marTop w:val="0"/>
          <w:marBottom w:val="0"/>
          <w:divBdr>
            <w:top w:val="none" w:sz="0" w:space="0" w:color="auto"/>
            <w:left w:val="none" w:sz="0" w:space="0" w:color="auto"/>
            <w:bottom w:val="none" w:sz="0" w:space="0" w:color="auto"/>
            <w:right w:val="none" w:sz="0" w:space="0" w:color="auto"/>
          </w:divBdr>
        </w:div>
        <w:div w:id="1526358419">
          <w:marLeft w:val="0"/>
          <w:marRight w:val="0"/>
          <w:marTop w:val="0"/>
          <w:marBottom w:val="0"/>
          <w:divBdr>
            <w:top w:val="none" w:sz="0" w:space="0" w:color="auto"/>
            <w:left w:val="none" w:sz="0" w:space="0" w:color="auto"/>
            <w:bottom w:val="none" w:sz="0" w:space="0" w:color="auto"/>
            <w:right w:val="none" w:sz="0" w:space="0" w:color="auto"/>
          </w:divBdr>
        </w:div>
        <w:div w:id="1791051503">
          <w:marLeft w:val="0"/>
          <w:marRight w:val="0"/>
          <w:marTop w:val="0"/>
          <w:marBottom w:val="0"/>
          <w:divBdr>
            <w:top w:val="none" w:sz="0" w:space="0" w:color="auto"/>
            <w:left w:val="none" w:sz="0" w:space="0" w:color="auto"/>
            <w:bottom w:val="none" w:sz="0" w:space="0" w:color="auto"/>
            <w:right w:val="none" w:sz="0" w:space="0" w:color="auto"/>
          </w:divBdr>
        </w:div>
      </w:divsChild>
    </w:div>
    <w:div w:id="1731612234">
      <w:bodyDiv w:val="1"/>
      <w:marLeft w:val="0"/>
      <w:marRight w:val="0"/>
      <w:marTop w:val="0"/>
      <w:marBottom w:val="0"/>
      <w:divBdr>
        <w:top w:val="none" w:sz="0" w:space="0" w:color="auto"/>
        <w:left w:val="none" w:sz="0" w:space="0" w:color="auto"/>
        <w:bottom w:val="none" w:sz="0" w:space="0" w:color="auto"/>
        <w:right w:val="none" w:sz="0" w:space="0" w:color="auto"/>
      </w:divBdr>
    </w:div>
    <w:div w:id="1749577855">
      <w:bodyDiv w:val="1"/>
      <w:marLeft w:val="0"/>
      <w:marRight w:val="0"/>
      <w:marTop w:val="0"/>
      <w:marBottom w:val="0"/>
      <w:divBdr>
        <w:top w:val="none" w:sz="0" w:space="0" w:color="auto"/>
        <w:left w:val="none" w:sz="0" w:space="0" w:color="auto"/>
        <w:bottom w:val="none" w:sz="0" w:space="0" w:color="auto"/>
        <w:right w:val="none" w:sz="0" w:space="0" w:color="auto"/>
      </w:divBdr>
      <w:divsChild>
        <w:div w:id="202863182">
          <w:marLeft w:val="0"/>
          <w:marRight w:val="0"/>
          <w:marTop w:val="0"/>
          <w:marBottom w:val="0"/>
          <w:divBdr>
            <w:top w:val="none" w:sz="0" w:space="0" w:color="auto"/>
            <w:left w:val="none" w:sz="0" w:space="0" w:color="auto"/>
            <w:bottom w:val="none" w:sz="0" w:space="0" w:color="auto"/>
            <w:right w:val="none" w:sz="0" w:space="0" w:color="auto"/>
          </w:divBdr>
        </w:div>
        <w:div w:id="1379747698">
          <w:marLeft w:val="0"/>
          <w:marRight w:val="0"/>
          <w:marTop w:val="0"/>
          <w:marBottom w:val="0"/>
          <w:divBdr>
            <w:top w:val="none" w:sz="0" w:space="0" w:color="auto"/>
            <w:left w:val="none" w:sz="0" w:space="0" w:color="auto"/>
            <w:bottom w:val="none" w:sz="0" w:space="0" w:color="auto"/>
            <w:right w:val="none" w:sz="0" w:space="0" w:color="auto"/>
          </w:divBdr>
        </w:div>
        <w:div w:id="1982416383">
          <w:marLeft w:val="0"/>
          <w:marRight w:val="0"/>
          <w:marTop w:val="0"/>
          <w:marBottom w:val="0"/>
          <w:divBdr>
            <w:top w:val="none" w:sz="0" w:space="0" w:color="auto"/>
            <w:left w:val="none" w:sz="0" w:space="0" w:color="auto"/>
            <w:bottom w:val="none" w:sz="0" w:space="0" w:color="auto"/>
            <w:right w:val="none" w:sz="0" w:space="0" w:color="auto"/>
          </w:divBdr>
        </w:div>
        <w:div w:id="1711997478">
          <w:marLeft w:val="0"/>
          <w:marRight w:val="0"/>
          <w:marTop w:val="0"/>
          <w:marBottom w:val="0"/>
          <w:divBdr>
            <w:top w:val="none" w:sz="0" w:space="0" w:color="auto"/>
            <w:left w:val="none" w:sz="0" w:space="0" w:color="auto"/>
            <w:bottom w:val="none" w:sz="0" w:space="0" w:color="auto"/>
            <w:right w:val="none" w:sz="0" w:space="0" w:color="auto"/>
          </w:divBdr>
        </w:div>
        <w:div w:id="2058967199">
          <w:marLeft w:val="0"/>
          <w:marRight w:val="0"/>
          <w:marTop w:val="0"/>
          <w:marBottom w:val="0"/>
          <w:divBdr>
            <w:top w:val="none" w:sz="0" w:space="0" w:color="auto"/>
            <w:left w:val="none" w:sz="0" w:space="0" w:color="auto"/>
            <w:bottom w:val="none" w:sz="0" w:space="0" w:color="auto"/>
            <w:right w:val="none" w:sz="0" w:space="0" w:color="auto"/>
          </w:divBdr>
        </w:div>
      </w:divsChild>
    </w:div>
    <w:div w:id="1959675298">
      <w:bodyDiv w:val="1"/>
      <w:marLeft w:val="0"/>
      <w:marRight w:val="0"/>
      <w:marTop w:val="0"/>
      <w:marBottom w:val="0"/>
      <w:divBdr>
        <w:top w:val="none" w:sz="0" w:space="0" w:color="auto"/>
        <w:left w:val="none" w:sz="0" w:space="0" w:color="auto"/>
        <w:bottom w:val="none" w:sz="0" w:space="0" w:color="auto"/>
        <w:right w:val="none" w:sz="0" w:space="0" w:color="auto"/>
      </w:divBdr>
      <w:divsChild>
        <w:div w:id="1199781484">
          <w:marLeft w:val="0"/>
          <w:marRight w:val="0"/>
          <w:marTop w:val="0"/>
          <w:marBottom w:val="0"/>
          <w:divBdr>
            <w:top w:val="none" w:sz="0" w:space="0" w:color="auto"/>
            <w:left w:val="none" w:sz="0" w:space="0" w:color="auto"/>
            <w:bottom w:val="none" w:sz="0" w:space="0" w:color="auto"/>
            <w:right w:val="none" w:sz="0" w:space="0" w:color="auto"/>
          </w:divBdr>
        </w:div>
        <w:div w:id="1645543661">
          <w:marLeft w:val="0"/>
          <w:marRight w:val="0"/>
          <w:marTop w:val="0"/>
          <w:marBottom w:val="0"/>
          <w:divBdr>
            <w:top w:val="none" w:sz="0" w:space="0" w:color="auto"/>
            <w:left w:val="none" w:sz="0" w:space="0" w:color="auto"/>
            <w:bottom w:val="none" w:sz="0" w:space="0" w:color="auto"/>
            <w:right w:val="none" w:sz="0" w:space="0" w:color="auto"/>
          </w:divBdr>
        </w:div>
        <w:div w:id="215434712">
          <w:marLeft w:val="0"/>
          <w:marRight w:val="0"/>
          <w:marTop w:val="0"/>
          <w:marBottom w:val="0"/>
          <w:divBdr>
            <w:top w:val="none" w:sz="0" w:space="0" w:color="auto"/>
            <w:left w:val="none" w:sz="0" w:space="0" w:color="auto"/>
            <w:bottom w:val="none" w:sz="0" w:space="0" w:color="auto"/>
            <w:right w:val="none" w:sz="0" w:space="0" w:color="auto"/>
          </w:divBdr>
        </w:div>
        <w:div w:id="68503434">
          <w:marLeft w:val="0"/>
          <w:marRight w:val="0"/>
          <w:marTop w:val="0"/>
          <w:marBottom w:val="0"/>
          <w:divBdr>
            <w:top w:val="none" w:sz="0" w:space="0" w:color="auto"/>
            <w:left w:val="none" w:sz="0" w:space="0" w:color="auto"/>
            <w:bottom w:val="none" w:sz="0" w:space="0" w:color="auto"/>
            <w:right w:val="none" w:sz="0" w:space="0" w:color="auto"/>
          </w:divBdr>
        </w:div>
        <w:div w:id="188877037">
          <w:marLeft w:val="0"/>
          <w:marRight w:val="0"/>
          <w:marTop w:val="0"/>
          <w:marBottom w:val="0"/>
          <w:divBdr>
            <w:top w:val="none" w:sz="0" w:space="0" w:color="auto"/>
            <w:left w:val="none" w:sz="0" w:space="0" w:color="auto"/>
            <w:bottom w:val="none" w:sz="0" w:space="0" w:color="auto"/>
            <w:right w:val="none" w:sz="0" w:space="0" w:color="auto"/>
          </w:divBdr>
        </w:div>
      </w:divsChild>
    </w:div>
    <w:div w:id="2035492081">
      <w:bodyDiv w:val="1"/>
      <w:marLeft w:val="0"/>
      <w:marRight w:val="0"/>
      <w:marTop w:val="0"/>
      <w:marBottom w:val="0"/>
      <w:divBdr>
        <w:top w:val="none" w:sz="0" w:space="0" w:color="auto"/>
        <w:left w:val="none" w:sz="0" w:space="0" w:color="auto"/>
        <w:bottom w:val="none" w:sz="0" w:space="0" w:color="auto"/>
        <w:right w:val="none" w:sz="0" w:space="0" w:color="auto"/>
      </w:divBdr>
      <w:divsChild>
        <w:div w:id="846022089">
          <w:marLeft w:val="0"/>
          <w:marRight w:val="0"/>
          <w:marTop w:val="0"/>
          <w:marBottom w:val="0"/>
          <w:divBdr>
            <w:top w:val="none" w:sz="0" w:space="0" w:color="auto"/>
            <w:left w:val="none" w:sz="0" w:space="0" w:color="auto"/>
            <w:bottom w:val="none" w:sz="0" w:space="0" w:color="auto"/>
            <w:right w:val="none" w:sz="0" w:space="0" w:color="auto"/>
          </w:divBdr>
        </w:div>
        <w:div w:id="1163545942">
          <w:marLeft w:val="0"/>
          <w:marRight w:val="0"/>
          <w:marTop w:val="0"/>
          <w:marBottom w:val="0"/>
          <w:divBdr>
            <w:top w:val="none" w:sz="0" w:space="0" w:color="auto"/>
            <w:left w:val="none" w:sz="0" w:space="0" w:color="auto"/>
            <w:bottom w:val="none" w:sz="0" w:space="0" w:color="auto"/>
            <w:right w:val="none" w:sz="0" w:space="0" w:color="auto"/>
          </w:divBdr>
        </w:div>
        <w:div w:id="1807509731">
          <w:marLeft w:val="0"/>
          <w:marRight w:val="0"/>
          <w:marTop w:val="0"/>
          <w:marBottom w:val="0"/>
          <w:divBdr>
            <w:top w:val="none" w:sz="0" w:space="0" w:color="auto"/>
            <w:left w:val="none" w:sz="0" w:space="0" w:color="auto"/>
            <w:bottom w:val="none" w:sz="0" w:space="0" w:color="auto"/>
            <w:right w:val="none" w:sz="0" w:space="0" w:color="auto"/>
          </w:divBdr>
        </w:div>
      </w:divsChild>
    </w:div>
    <w:div w:id="2066560567">
      <w:bodyDiv w:val="1"/>
      <w:marLeft w:val="0"/>
      <w:marRight w:val="0"/>
      <w:marTop w:val="0"/>
      <w:marBottom w:val="0"/>
      <w:divBdr>
        <w:top w:val="none" w:sz="0" w:space="0" w:color="auto"/>
        <w:left w:val="none" w:sz="0" w:space="0" w:color="auto"/>
        <w:bottom w:val="none" w:sz="0" w:space="0" w:color="auto"/>
        <w:right w:val="none" w:sz="0" w:space="0" w:color="auto"/>
      </w:divBdr>
      <w:divsChild>
        <w:div w:id="1585410947">
          <w:marLeft w:val="0"/>
          <w:marRight w:val="0"/>
          <w:marTop w:val="0"/>
          <w:marBottom w:val="0"/>
          <w:divBdr>
            <w:top w:val="none" w:sz="0" w:space="0" w:color="auto"/>
            <w:left w:val="none" w:sz="0" w:space="0" w:color="auto"/>
            <w:bottom w:val="none" w:sz="0" w:space="0" w:color="auto"/>
            <w:right w:val="none" w:sz="0" w:space="0" w:color="auto"/>
          </w:divBdr>
        </w:div>
        <w:div w:id="1931237">
          <w:marLeft w:val="0"/>
          <w:marRight w:val="0"/>
          <w:marTop w:val="0"/>
          <w:marBottom w:val="0"/>
          <w:divBdr>
            <w:top w:val="none" w:sz="0" w:space="0" w:color="auto"/>
            <w:left w:val="none" w:sz="0" w:space="0" w:color="auto"/>
            <w:bottom w:val="none" w:sz="0" w:space="0" w:color="auto"/>
            <w:right w:val="none" w:sz="0" w:space="0" w:color="auto"/>
          </w:divBdr>
        </w:div>
        <w:div w:id="734546713">
          <w:marLeft w:val="0"/>
          <w:marRight w:val="0"/>
          <w:marTop w:val="0"/>
          <w:marBottom w:val="0"/>
          <w:divBdr>
            <w:top w:val="none" w:sz="0" w:space="0" w:color="auto"/>
            <w:left w:val="none" w:sz="0" w:space="0" w:color="auto"/>
            <w:bottom w:val="none" w:sz="0" w:space="0" w:color="auto"/>
            <w:right w:val="none" w:sz="0" w:space="0" w:color="auto"/>
          </w:divBdr>
        </w:div>
        <w:div w:id="157892824">
          <w:marLeft w:val="0"/>
          <w:marRight w:val="0"/>
          <w:marTop w:val="0"/>
          <w:marBottom w:val="0"/>
          <w:divBdr>
            <w:top w:val="none" w:sz="0" w:space="0" w:color="auto"/>
            <w:left w:val="none" w:sz="0" w:space="0" w:color="auto"/>
            <w:bottom w:val="none" w:sz="0" w:space="0" w:color="auto"/>
            <w:right w:val="none" w:sz="0" w:space="0" w:color="auto"/>
          </w:divBdr>
        </w:div>
        <w:div w:id="1267540519">
          <w:marLeft w:val="0"/>
          <w:marRight w:val="0"/>
          <w:marTop w:val="0"/>
          <w:marBottom w:val="0"/>
          <w:divBdr>
            <w:top w:val="none" w:sz="0" w:space="0" w:color="auto"/>
            <w:left w:val="none" w:sz="0" w:space="0" w:color="auto"/>
            <w:bottom w:val="none" w:sz="0" w:space="0" w:color="auto"/>
            <w:right w:val="none" w:sz="0" w:space="0" w:color="auto"/>
          </w:divBdr>
        </w:div>
        <w:div w:id="1163088228">
          <w:marLeft w:val="0"/>
          <w:marRight w:val="0"/>
          <w:marTop w:val="0"/>
          <w:marBottom w:val="0"/>
          <w:divBdr>
            <w:top w:val="none" w:sz="0" w:space="0" w:color="auto"/>
            <w:left w:val="none" w:sz="0" w:space="0" w:color="auto"/>
            <w:bottom w:val="none" w:sz="0" w:space="0" w:color="auto"/>
            <w:right w:val="none" w:sz="0" w:space="0" w:color="auto"/>
          </w:divBdr>
        </w:div>
        <w:div w:id="286743679">
          <w:marLeft w:val="0"/>
          <w:marRight w:val="0"/>
          <w:marTop w:val="0"/>
          <w:marBottom w:val="0"/>
          <w:divBdr>
            <w:top w:val="none" w:sz="0" w:space="0" w:color="auto"/>
            <w:left w:val="none" w:sz="0" w:space="0" w:color="auto"/>
            <w:bottom w:val="none" w:sz="0" w:space="0" w:color="auto"/>
            <w:right w:val="none" w:sz="0" w:space="0" w:color="auto"/>
          </w:divBdr>
        </w:div>
        <w:div w:id="457727174">
          <w:marLeft w:val="0"/>
          <w:marRight w:val="0"/>
          <w:marTop w:val="0"/>
          <w:marBottom w:val="0"/>
          <w:divBdr>
            <w:top w:val="none" w:sz="0" w:space="0" w:color="auto"/>
            <w:left w:val="none" w:sz="0" w:space="0" w:color="auto"/>
            <w:bottom w:val="none" w:sz="0" w:space="0" w:color="auto"/>
            <w:right w:val="none" w:sz="0" w:space="0" w:color="auto"/>
          </w:divBdr>
        </w:div>
        <w:div w:id="1164973116">
          <w:marLeft w:val="0"/>
          <w:marRight w:val="0"/>
          <w:marTop w:val="0"/>
          <w:marBottom w:val="0"/>
          <w:divBdr>
            <w:top w:val="none" w:sz="0" w:space="0" w:color="auto"/>
            <w:left w:val="none" w:sz="0" w:space="0" w:color="auto"/>
            <w:bottom w:val="none" w:sz="0" w:space="0" w:color="auto"/>
            <w:right w:val="none" w:sz="0" w:space="0" w:color="auto"/>
          </w:divBdr>
        </w:div>
        <w:div w:id="1553152901">
          <w:marLeft w:val="0"/>
          <w:marRight w:val="0"/>
          <w:marTop w:val="0"/>
          <w:marBottom w:val="0"/>
          <w:divBdr>
            <w:top w:val="none" w:sz="0" w:space="0" w:color="auto"/>
            <w:left w:val="none" w:sz="0" w:space="0" w:color="auto"/>
            <w:bottom w:val="none" w:sz="0" w:space="0" w:color="auto"/>
            <w:right w:val="none" w:sz="0" w:space="0" w:color="auto"/>
          </w:divBdr>
        </w:div>
        <w:div w:id="52120116">
          <w:marLeft w:val="0"/>
          <w:marRight w:val="0"/>
          <w:marTop w:val="0"/>
          <w:marBottom w:val="0"/>
          <w:divBdr>
            <w:top w:val="none" w:sz="0" w:space="0" w:color="auto"/>
            <w:left w:val="none" w:sz="0" w:space="0" w:color="auto"/>
            <w:bottom w:val="none" w:sz="0" w:space="0" w:color="auto"/>
            <w:right w:val="none" w:sz="0" w:space="0" w:color="auto"/>
          </w:divBdr>
        </w:div>
        <w:div w:id="1156341940">
          <w:marLeft w:val="0"/>
          <w:marRight w:val="0"/>
          <w:marTop w:val="0"/>
          <w:marBottom w:val="0"/>
          <w:divBdr>
            <w:top w:val="none" w:sz="0" w:space="0" w:color="auto"/>
            <w:left w:val="none" w:sz="0" w:space="0" w:color="auto"/>
            <w:bottom w:val="none" w:sz="0" w:space="0" w:color="auto"/>
            <w:right w:val="none" w:sz="0" w:space="0" w:color="auto"/>
          </w:divBdr>
        </w:div>
        <w:div w:id="1912502117">
          <w:marLeft w:val="0"/>
          <w:marRight w:val="0"/>
          <w:marTop w:val="0"/>
          <w:marBottom w:val="0"/>
          <w:divBdr>
            <w:top w:val="none" w:sz="0" w:space="0" w:color="auto"/>
            <w:left w:val="none" w:sz="0" w:space="0" w:color="auto"/>
            <w:bottom w:val="none" w:sz="0" w:space="0" w:color="auto"/>
            <w:right w:val="none" w:sz="0" w:space="0" w:color="auto"/>
          </w:divBdr>
        </w:div>
        <w:div w:id="22631757">
          <w:marLeft w:val="0"/>
          <w:marRight w:val="0"/>
          <w:marTop w:val="0"/>
          <w:marBottom w:val="0"/>
          <w:divBdr>
            <w:top w:val="none" w:sz="0" w:space="0" w:color="auto"/>
            <w:left w:val="none" w:sz="0" w:space="0" w:color="auto"/>
            <w:bottom w:val="none" w:sz="0" w:space="0" w:color="auto"/>
            <w:right w:val="none" w:sz="0" w:space="0" w:color="auto"/>
          </w:divBdr>
        </w:div>
        <w:div w:id="58749772">
          <w:marLeft w:val="0"/>
          <w:marRight w:val="0"/>
          <w:marTop w:val="0"/>
          <w:marBottom w:val="0"/>
          <w:divBdr>
            <w:top w:val="none" w:sz="0" w:space="0" w:color="auto"/>
            <w:left w:val="none" w:sz="0" w:space="0" w:color="auto"/>
            <w:bottom w:val="none" w:sz="0" w:space="0" w:color="auto"/>
            <w:right w:val="none" w:sz="0" w:space="0" w:color="auto"/>
          </w:divBdr>
        </w:div>
        <w:div w:id="1125077073">
          <w:marLeft w:val="0"/>
          <w:marRight w:val="0"/>
          <w:marTop w:val="0"/>
          <w:marBottom w:val="0"/>
          <w:divBdr>
            <w:top w:val="none" w:sz="0" w:space="0" w:color="auto"/>
            <w:left w:val="none" w:sz="0" w:space="0" w:color="auto"/>
            <w:bottom w:val="none" w:sz="0" w:space="0" w:color="auto"/>
            <w:right w:val="none" w:sz="0" w:space="0" w:color="auto"/>
          </w:divBdr>
        </w:div>
        <w:div w:id="1309896822">
          <w:marLeft w:val="0"/>
          <w:marRight w:val="0"/>
          <w:marTop w:val="0"/>
          <w:marBottom w:val="0"/>
          <w:divBdr>
            <w:top w:val="none" w:sz="0" w:space="0" w:color="auto"/>
            <w:left w:val="none" w:sz="0" w:space="0" w:color="auto"/>
            <w:bottom w:val="none" w:sz="0" w:space="0" w:color="auto"/>
            <w:right w:val="none" w:sz="0" w:space="0" w:color="auto"/>
          </w:divBdr>
        </w:div>
      </w:divsChild>
    </w:div>
    <w:div w:id="2070423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ruzroja.org.ec/plantilla_texto.php?id_submenu1=2&amp;id_menu=2" TargetMode="External"/><Relationship Id="rId13" Type="http://schemas.openxmlformats.org/officeDocument/2006/relationships/hyperlink" Target="http://www.cepal.org/oig/doc/EcuArt5511Codigopenal.pdf" TargetMode="External"/><Relationship Id="rId18" Type="http://schemas.openxmlformats.org/officeDocument/2006/relationships/hyperlink" Target="http://data.unaids.org/pub/Report/2006/jc1252-internationalguidelines_es.pdf" TargetMode="External"/><Relationship Id="rId3" Type="http://schemas.openxmlformats.org/officeDocument/2006/relationships/hyperlink" Target="http://www.who.int/topics/hiv_aids/en/" TargetMode="External"/><Relationship Id="rId21" Type="http://schemas.openxmlformats.org/officeDocument/2006/relationships/hyperlink" Target="http://www.aidsalliance.org/assets/000/000/741/GenderAndSexualityReport_original.pdf?1406302925" TargetMode="External"/><Relationship Id="rId7" Type="http://schemas.openxmlformats.org/officeDocument/2006/relationships/hyperlink" Target="http://www.cruzroja.org.ec/plantilla_texto.php?id_submenu1=2&amp;id_menu=2" TargetMode="External"/><Relationship Id="rId12" Type="http://schemas.openxmlformats.org/officeDocument/2006/relationships/hyperlink" Target="https://www.oas.org/juridico/mla/sp/ecu/sp_ecu-int-text-cpp.pdf" TargetMode="External"/><Relationship Id="rId17" Type="http://schemas.openxmlformats.org/officeDocument/2006/relationships/hyperlink" Target="http://jurisprudencia.poderjudicial.go.cr/SCIJ_PJ/busqueda/jurisprudenciajur_Documento.aspx?param1%20=Ficha_Judgment&amp;nValor1=1&amp;nValor2=631082&amp;strTipM=T&amp;strDirSel=directo" TargetMode="External"/><Relationship Id="rId2" Type="http://schemas.openxmlformats.org/officeDocument/2006/relationships/hyperlink" Target="http://www.corteidh.or.cr/docs/asuntos/gonzaleslluy_11_02_15.pdf" TargetMode="External"/><Relationship Id="rId16" Type="http://schemas.openxmlformats.org/officeDocument/2006/relationships/hyperlink" Target="http://www.ohchr.org/%20Documents/Publications/HIVAIDSGuidelinesen.pdf." TargetMode="External"/><Relationship Id="rId20" Type="http://schemas.openxmlformats.org/officeDocument/2006/relationships/hyperlink" Target="http://data.unaids.org/pub/Report/2006/jc1252-internationalguidelines_es.pdf" TargetMode="External"/><Relationship Id="rId1" Type="http://schemas.openxmlformats.org/officeDocument/2006/relationships/hyperlink" Target="http://www.corteidh.or.cr/docs/asuntos/%20gonzaleslluy_12_01_15.pdf" TargetMode="External"/><Relationship Id="rId6" Type="http://schemas.openxmlformats.org/officeDocument/2006/relationships/hyperlink" Target="http://www.cruzroja.org.ec/index.php/quienes-somos/resena-historica" TargetMode="External"/><Relationship Id="rId11" Type="http://schemas.openxmlformats.org/officeDocument/2006/relationships/hyperlink" Target="http://www.cenetec.salud.gob.mx/descargas/gpc/CatalogoMaestro/%20143_GPC_PURPURA_TROMBOCITOP/Imss_ER.pdf" TargetMode="External"/><Relationship Id="rId5" Type="http://schemas.openxmlformats.org/officeDocument/2006/relationships/hyperlink" Target="http://daccess-dds-ny.un.org/doc/UNDOC/GEN/N10/529/16/PDF/N1052916.pdf?OpenElement" TargetMode="External"/><Relationship Id="rId15" Type="http://schemas.openxmlformats.org/officeDocument/2006/relationships/hyperlink" Target="http://www.ohchr.org/Documents/Publications/HIVAIDS%20Guidelinesen.pdf" TargetMode="External"/><Relationship Id="rId23" Type="http://schemas.openxmlformats.org/officeDocument/2006/relationships/hyperlink" Target="https://treaties.un.org/Pages/Overview.aspx?path=overview/definition/page1_en.xml&amp;clang=_en" TargetMode="External"/><Relationship Id="rId10" Type="http://schemas.openxmlformats.org/officeDocument/2006/relationships/hyperlink" Target="http://www.cruzrojazuay.org/" TargetMode="External"/><Relationship Id="rId19" Type="http://schemas.openxmlformats.org/officeDocument/2006/relationships/hyperlink" Target="http://www.unicef.org/venezuela/spanish/Comunicar_sobre_VIH_%20Sida.pdf" TargetMode="External"/><Relationship Id="rId4" Type="http://schemas.openxmlformats.org/officeDocument/2006/relationships/hyperlink" Target="http://data.unaids.org/pub/FactSheet/2008/20080519_%20fastfacts_hiv_en.pdf" TargetMode="External"/><Relationship Id="rId9" Type="http://schemas.openxmlformats.org/officeDocument/2006/relationships/hyperlink" Target="http://www.gazzettaamministrativa.it/opencms/export/sites/default/_gazzetta_amministrativa/amministrazione_%20trasparente/_agenzie_enti_stato/_croce_rossa_iTal&#237;ana/090_prov/010_pro_org_ind_pol/2013/Documenti_1383666871662/1383666873832_accordo_con_croce_rossa_ecuador.pdf" TargetMode="External"/><Relationship Id="rId14" Type="http://schemas.openxmlformats.org/officeDocument/2006/relationships/hyperlink" Target="http://www.ohchr.org/Documents/Publications/HIVAIDS%20Guidelinesen.pdf" TargetMode="External"/><Relationship Id="rId22" Type="http://schemas.openxmlformats.org/officeDocument/2006/relationships/hyperlink" Target="http://www.oas.org/juridico/spanish/firmas/a-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A57C-D742-4FE2-BC85-ED84F605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65038</Words>
  <Characters>370718</Characters>
  <Application>Microsoft Office Word</Application>
  <DocSecurity>4</DocSecurity>
  <Lines>3089</Lines>
  <Paragraphs>869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434887</CharactersWithSpaces>
  <SharedDoc>false</SharedDoc>
  <HLinks>
    <vt:vector size="582" baseType="variant">
      <vt:variant>
        <vt:i4>1703991</vt:i4>
      </vt:variant>
      <vt:variant>
        <vt:i4>404</vt:i4>
      </vt:variant>
      <vt:variant>
        <vt:i4>0</vt:i4>
      </vt:variant>
      <vt:variant>
        <vt:i4>5</vt:i4>
      </vt:variant>
      <vt:variant>
        <vt:lpwstr/>
      </vt:variant>
      <vt:variant>
        <vt:lpwstr>_Toc430339044</vt:lpwstr>
      </vt:variant>
      <vt:variant>
        <vt:i4>1703991</vt:i4>
      </vt:variant>
      <vt:variant>
        <vt:i4>398</vt:i4>
      </vt:variant>
      <vt:variant>
        <vt:i4>0</vt:i4>
      </vt:variant>
      <vt:variant>
        <vt:i4>5</vt:i4>
      </vt:variant>
      <vt:variant>
        <vt:lpwstr/>
      </vt:variant>
      <vt:variant>
        <vt:lpwstr>_Toc430339043</vt:lpwstr>
      </vt:variant>
      <vt:variant>
        <vt:i4>1703991</vt:i4>
      </vt:variant>
      <vt:variant>
        <vt:i4>392</vt:i4>
      </vt:variant>
      <vt:variant>
        <vt:i4>0</vt:i4>
      </vt:variant>
      <vt:variant>
        <vt:i4>5</vt:i4>
      </vt:variant>
      <vt:variant>
        <vt:lpwstr/>
      </vt:variant>
      <vt:variant>
        <vt:lpwstr>_Toc430339042</vt:lpwstr>
      </vt:variant>
      <vt:variant>
        <vt:i4>1703991</vt:i4>
      </vt:variant>
      <vt:variant>
        <vt:i4>386</vt:i4>
      </vt:variant>
      <vt:variant>
        <vt:i4>0</vt:i4>
      </vt:variant>
      <vt:variant>
        <vt:i4>5</vt:i4>
      </vt:variant>
      <vt:variant>
        <vt:lpwstr/>
      </vt:variant>
      <vt:variant>
        <vt:lpwstr>_Toc430339041</vt:lpwstr>
      </vt:variant>
      <vt:variant>
        <vt:i4>1703991</vt:i4>
      </vt:variant>
      <vt:variant>
        <vt:i4>380</vt:i4>
      </vt:variant>
      <vt:variant>
        <vt:i4>0</vt:i4>
      </vt:variant>
      <vt:variant>
        <vt:i4>5</vt:i4>
      </vt:variant>
      <vt:variant>
        <vt:lpwstr/>
      </vt:variant>
      <vt:variant>
        <vt:lpwstr>_Toc430339040</vt:lpwstr>
      </vt:variant>
      <vt:variant>
        <vt:i4>1900599</vt:i4>
      </vt:variant>
      <vt:variant>
        <vt:i4>374</vt:i4>
      </vt:variant>
      <vt:variant>
        <vt:i4>0</vt:i4>
      </vt:variant>
      <vt:variant>
        <vt:i4>5</vt:i4>
      </vt:variant>
      <vt:variant>
        <vt:lpwstr/>
      </vt:variant>
      <vt:variant>
        <vt:lpwstr>_Toc430339039</vt:lpwstr>
      </vt:variant>
      <vt:variant>
        <vt:i4>1900599</vt:i4>
      </vt:variant>
      <vt:variant>
        <vt:i4>368</vt:i4>
      </vt:variant>
      <vt:variant>
        <vt:i4>0</vt:i4>
      </vt:variant>
      <vt:variant>
        <vt:i4>5</vt:i4>
      </vt:variant>
      <vt:variant>
        <vt:lpwstr/>
      </vt:variant>
      <vt:variant>
        <vt:lpwstr>_Toc430339038</vt:lpwstr>
      </vt:variant>
      <vt:variant>
        <vt:i4>1900599</vt:i4>
      </vt:variant>
      <vt:variant>
        <vt:i4>362</vt:i4>
      </vt:variant>
      <vt:variant>
        <vt:i4>0</vt:i4>
      </vt:variant>
      <vt:variant>
        <vt:i4>5</vt:i4>
      </vt:variant>
      <vt:variant>
        <vt:lpwstr/>
      </vt:variant>
      <vt:variant>
        <vt:lpwstr>_Toc430339037</vt:lpwstr>
      </vt:variant>
      <vt:variant>
        <vt:i4>1900599</vt:i4>
      </vt:variant>
      <vt:variant>
        <vt:i4>356</vt:i4>
      </vt:variant>
      <vt:variant>
        <vt:i4>0</vt:i4>
      </vt:variant>
      <vt:variant>
        <vt:i4>5</vt:i4>
      </vt:variant>
      <vt:variant>
        <vt:lpwstr/>
      </vt:variant>
      <vt:variant>
        <vt:lpwstr>_Toc430339036</vt:lpwstr>
      </vt:variant>
      <vt:variant>
        <vt:i4>1900599</vt:i4>
      </vt:variant>
      <vt:variant>
        <vt:i4>350</vt:i4>
      </vt:variant>
      <vt:variant>
        <vt:i4>0</vt:i4>
      </vt:variant>
      <vt:variant>
        <vt:i4>5</vt:i4>
      </vt:variant>
      <vt:variant>
        <vt:lpwstr/>
      </vt:variant>
      <vt:variant>
        <vt:lpwstr>_Toc430339035</vt:lpwstr>
      </vt:variant>
      <vt:variant>
        <vt:i4>1900599</vt:i4>
      </vt:variant>
      <vt:variant>
        <vt:i4>344</vt:i4>
      </vt:variant>
      <vt:variant>
        <vt:i4>0</vt:i4>
      </vt:variant>
      <vt:variant>
        <vt:i4>5</vt:i4>
      </vt:variant>
      <vt:variant>
        <vt:lpwstr/>
      </vt:variant>
      <vt:variant>
        <vt:lpwstr>_Toc430339034</vt:lpwstr>
      </vt:variant>
      <vt:variant>
        <vt:i4>1900599</vt:i4>
      </vt:variant>
      <vt:variant>
        <vt:i4>338</vt:i4>
      </vt:variant>
      <vt:variant>
        <vt:i4>0</vt:i4>
      </vt:variant>
      <vt:variant>
        <vt:i4>5</vt:i4>
      </vt:variant>
      <vt:variant>
        <vt:lpwstr/>
      </vt:variant>
      <vt:variant>
        <vt:lpwstr>_Toc430339033</vt:lpwstr>
      </vt:variant>
      <vt:variant>
        <vt:i4>1900599</vt:i4>
      </vt:variant>
      <vt:variant>
        <vt:i4>332</vt:i4>
      </vt:variant>
      <vt:variant>
        <vt:i4>0</vt:i4>
      </vt:variant>
      <vt:variant>
        <vt:i4>5</vt:i4>
      </vt:variant>
      <vt:variant>
        <vt:lpwstr/>
      </vt:variant>
      <vt:variant>
        <vt:lpwstr>_Toc430339032</vt:lpwstr>
      </vt:variant>
      <vt:variant>
        <vt:i4>1900599</vt:i4>
      </vt:variant>
      <vt:variant>
        <vt:i4>326</vt:i4>
      </vt:variant>
      <vt:variant>
        <vt:i4>0</vt:i4>
      </vt:variant>
      <vt:variant>
        <vt:i4>5</vt:i4>
      </vt:variant>
      <vt:variant>
        <vt:lpwstr/>
      </vt:variant>
      <vt:variant>
        <vt:lpwstr>_Toc430339031</vt:lpwstr>
      </vt:variant>
      <vt:variant>
        <vt:i4>1900599</vt:i4>
      </vt:variant>
      <vt:variant>
        <vt:i4>320</vt:i4>
      </vt:variant>
      <vt:variant>
        <vt:i4>0</vt:i4>
      </vt:variant>
      <vt:variant>
        <vt:i4>5</vt:i4>
      </vt:variant>
      <vt:variant>
        <vt:lpwstr/>
      </vt:variant>
      <vt:variant>
        <vt:lpwstr>_Toc430339030</vt:lpwstr>
      </vt:variant>
      <vt:variant>
        <vt:i4>1835063</vt:i4>
      </vt:variant>
      <vt:variant>
        <vt:i4>314</vt:i4>
      </vt:variant>
      <vt:variant>
        <vt:i4>0</vt:i4>
      </vt:variant>
      <vt:variant>
        <vt:i4>5</vt:i4>
      </vt:variant>
      <vt:variant>
        <vt:lpwstr/>
      </vt:variant>
      <vt:variant>
        <vt:lpwstr>_Toc430339029</vt:lpwstr>
      </vt:variant>
      <vt:variant>
        <vt:i4>1835063</vt:i4>
      </vt:variant>
      <vt:variant>
        <vt:i4>308</vt:i4>
      </vt:variant>
      <vt:variant>
        <vt:i4>0</vt:i4>
      </vt:variant>
      <vt:variant>
        <vt:i4>5</vt:i4>
      </vt:variant>
      <vt:variant>
        <vt:lpwstr/>
      </vt:variant>
      <vt:variant>
        <vt:lpwstr>_Toc430339028</vt:lpwstr>
      </vt:variant>
      <vt:variant>
        <vt:i4>1835063</vt:i4>
      </vt:variant>
      <vt:variant>
        <vt:i4>302</vt:i4>
      </vt:variant>
      <vt:variant>
        <vt:i4>0</vt:i4>
      </vt:variant>
      <vt:variant>
        <vt:i4>5</vt:i4>
      </vt:variant>
      <vt:variant>
        <vt:lpwstr/>
      </vt:variant>
      <vt:variant>
        <vt:lpwstr>_Toc430339027</vt:lpwstr>
      </vt:variant>
      <vt:variant>
        <vt:i4>1835063</vt:i4>
      </vt:variant>
      <vt:variant>
        <vt:i4>296</vt:i4>
      </vt:variant>
      <vt:variant>
        <vt:i4>0</vt:i4>
      </vt:variant>
      <vt:variant>
        <vt:i4>5</vt:i4>
      </vt:variant>
      <vt:variant>
        <vt:lpwstr/>
      </vt:variant>
      <vt:variant>
        <vt:lpwstr>_Toc430339026</vt:lpwstr>
      </vt:variant>
      <vt:variant>
        <vt:i4>1835063</vt:i4>
      </vt:variant>
      <vt:variant>
        <vt:i4>290</vt:i4>
      </vt:variant>
      <vt:variant>
        <vt:i4>0</vt:i4>
      </vt:variant>
      <vt:variant>
        <vt:i4>5</vt:i4>
      </vt:variant>
      <vt:variant>
        <vt:lpwstr/>
      </vt:variant>
      <vt:variant>
        <vt:lpwstr>_Toc430339025</vt:lpwstr>
      </vt:variant>
      <vt:variant>
        <vt:i4>1835063</vt:i4>
      </vt:variant>
      <vt:variant>
        <vt:i4>284</vt:i4>
      </vt:variant>
      <vt:variant>
        <vt:i4>0</vt:i4>
      </vt:variant>
      <vt:variant>
        <vt:i4>5</vt:i4>
      </vt:variant>
      <vt:variant>
        <vt:lpwstr/>
      </vt:variant>
      <vt:variant>
        <vt:lpwstr>_Toc430339024</vt:lpwstr>
      </vt:variant>
      <vt:variant>
        <vt:i4>1835063</vt:i4>
      </vt:variant>
      <vt:variant>
        <vt:i4>278</vt:i4>
      </vt:variant>
      <vt:variant>
        <vt:i4>0</vt:i4>
      </vt:variant>
      <vt:variant>
        <vt:i4>5</vt:i4>
      </vt:variant>
      <vt:variant>
        <vt:lpwstr/>
      </vt:variant>
      <vt:variant>
        <vt:lpwstr>_Toc430339023</vt:lpwstr>
      </vt:variant>
      <vt:variant>
        <vt:i4>1835063</vt:i4>
      </vt:variant>
      <vt:variant>
        <vt:i4>272</vt:i4>
      </vt:variant>
      <vt:variant>
        <vt:i4>0</vt:i4>
      </vt:variant>
      <vt:variant>
        <vt:i4>5</vt:i4>
      </vt:variant>
      <vt:variant>
        <vt:lpwstr/>
      </vt:variant>
      <vt:variant>
        <vt:lpwstr>_Toc430339022</vt:lpwstr>
      </vt:variant>
      <vt:variant>
        <vt:i4>1835063</vt:i4>
      </vt:variant>
      <vt:variant>
        <vt:i4>266</vt:i4>
      </vt:variant>
      <vt:variant>
        <vt:i4>0</vt:i4>
      </vt:variant>
      <vt:variant>
        <vt:i4>5</vt:i4>
      </vt:variant>
      <vt:variant>
        <vt:lpwstr/>
      </vt:variant>
      <vt:variant>
        <vt:lpwstr>_Toc430339021</vt:lpwstr>
      </vt:variant>
      <vt:variant>
        <vt:i4>1835063</vt:i4>
      </vt:variant>
      <vt:variant>
        <vt:i4>260</vt:i4>
      </vt:variant>
      <vt:variant>
        <vt:i4>0</vt:i4>
      </vt:variant>
      <vt:variant>
        <vt:i4>5</vt:i4>
      </vt:variant>
      <vt:variant>
        <vt:lpwstr/>
      </vt:variant>
      <vt:variant>
        <vt:lpwstr>_Toc430339020</vt:lpwstr>
      </vt:variant>
      <vt:variant>
        <vt:i4>2031671</vt:i4>
      </vt:variant>
      <vt:variant>
        <vt:i4>254</vt:i4>
      </vt:variant>
      <vt:variant>
        <vt:i4>0</vt:i4>
      </vt:variant>
      <vt:variant>
        <vt:i4>5</vt:i4>
      </vt:variant>
      <vt:variant>
        <vt:lpwstr/>
      </vt:variant>
      <vt:variant>
        <vt:lpwstr>_Toc430339019</vt:lpwstr>
      </vt:variant>
      <vt:variant>
        <vt:i4>2031671</vt:i4>
      </vt:variant>
      <vt:variant>
        <vt:i4>248</vt:i4>
      </vt:variant>
      <vt:variant>
        <vt:i4>0</vt:i4>
      </vt:variant>
      <vt:variant>
        <vt:i4>5</vt:i4>
      </vt:variant>
      <vt:variant>
        <vt:lpwstr/>
      </vt:variant>
      <vt:variant>
        <vt:lpwstr>_Toc430339018</vt:lpwstr>
      </vt:variant>
      <vt:variant>
        <vt:i4>2031671</vt:i4>
      </vt:variant>
      <vt:variant>
        <vt:i4>242</vt:i4>
      </vt:variant>
      <vt:variant>
        <vt:i4>0</vt:i4>
      </vt:variant>
      <vt:variant>
        <vt:i4>5</vt:i4>
      </vt:variant>
      <vt:variant>
        <vt:lpwstr/>
      </vt:variant>
      <vt:variant>
        <vt:lpwstr>_Toc430339017</vt:lpwstr>
      </vt:variant>
      <vt:variant>
        <vt:i4>2031671</vt:i4>
      </vt:variant>
      <vt:variant>
        <vt:i4>236</vt:i4>
      </vt:variant>
      <vt:variant>
        <vt:i4>0</vt:i4>
      </vt:variant>
      <vt:variant>
        <vt:i4>5</vt:i4>
      </vt:variant>
      <vt:variant>
        <vt:lpwstr/>
      </vt:variant>
      <vt:variant>
        <vt:lpwstr>_Toc430339016</vt:lpwstr>
      </vt:variant>
      <vt:variant>
        <vt:i4>2031671</vt:i4>
      </vt:variant>
      <vt:variant>
        <vt:i4>230</vt:i4>
      </vt:variant>
      <vt:variant>
        <vt:i4>0</vt:i4>
      </vt:variant>
      <vt:variant>
        <vt:i4>5</vt:i4>
      </vt:variant>
      <vt:variant>
        <vt:lpwstr/>
      </vt:variant>
      <vt:variant>
        <vt:lpwstr>_Toc430339015</vt:lpwstr>
      </vt:variant>
      <vt:variant>
        <vt:i4>2031671</vt:i4>
      </vt:variant>
      <vt:variant>
        <vt:i4>224</vt:i4>
      </vt:variant>
      <vt:variant>
        <vt:i4>0</vt:i4>
      </vt:variant>
      <vt:variant>
        <vt:i4>5</vt:i4>
      </vt:variant>
      <vt:variant>
        <vt:lpwstr/>
      </vt:variant>
      <vt:variant>
        <vt:lpwstr>_Toc430339014</vt:lpwstr>
      </vt:variant>
      <vt:variant>
        <vt:i4>2031671</vt:i4>
      </vt:variant>
      <vt:variant>
        <vt:i4>218</vt:i4>
      </vt:variant>
      <vt:variant>
        <vt:i4>0</vt:i4>
      </vt:variant>
      <vt:variant>
        <vt:i4>5</vt:i4>
      </vt:variant>
      <vt:variant>
        <vt:lpwstr/>
      </vt:variant>
      <vt:variant>
        <vt:lpwstr>_Toc430339013</vt:lpwstr>
      </vt:variant>
      <vt:variant>
        <vt:i4>2031671</vt:i4>
      </vt:variant>
      <vt:variant>
        <vt:i4>212</vt:i4>
      </vt:variant>
      <vt:variant>
        <vt:i4>0</vt:i4>
      </vt:variant>
      <vt:variant>
        <vt:i4>5</vt:i4>
      </vt:variant>
      <vt:variant>
        <vt:lpwstr/>
      </vt:variant>
      <vt:variant>
        <vt:lpwstr>_Toc430339012</vt:lpwstr>
      </vt:variant>
      <vt:variant>
        <vt:i4>2031671</vt:i4>
      </vt:variant>
      <vt:variant>
        <vt:i4>206</vt:i4>
      </vt:variant>
      <vt:variant>
        <vt:i4>0</vt:i4>
      </vt:variant>
      <vt:variant>
        <vt:i4>5</vt:i4>
      </vt:variant>
      <vt:variant>
        <vt:lpwstr/>
      </vt:variant>
      <vt:variant>
        <vt:lpwstr>_Toc430339011</vt:lpwstr>
      </vt:variant>
      <vt:variant>
        <vt:i4>2031671</vt:i4>
      </vt:variant>
      <vt:variant>
        <vt:i4>200</vt:i4>
      </vt:variant>
      <vt:variant>
        <vt:i4>0</vt:i4>
      </vt:variant>
      <vt:variant>
        <vt:i4>5</vt:i4>
      </vt:variant>
      <vt:variant>
        <vt:lpwstr/>
      </vt:variant>
      <vt:variant>
        <vt:lpwstr>_Toc430339010</vt:lpwstr>
      </vt:variant>
      <vt:variant>
        <vt:i4>1966135</vt:i4>
      </vt:variant>
      <vt:variant>
        <vt:i4>194</vt:i4>
      </vt:variant>
      <vt:variant>
        <vt:i4>0</vt:i4>
      </vt:variant>
      <vt:variant>
        <vt:i4>5</vt:i4>
      </vt:variant>
      <vt:variant>
        <vt:lpwstr/>
      </vt:variant>
      <vt:variant>
        <vt:lpwstr>_Toc430339009</vt:lpwstr>
      </vt:variant>
      <vt:variant>
        <vt:i4>1966135</vt:i4>
      </vt:variant>
      <vt:variant>
        <vt:i4>188</vt:i4>
      </vt:variant>
      <vt:variant>
        <vt:i4>0</vt:i4>
      </vt:variant>
      <vt:variant>
        <vt:i4>5</vt:i4>
      </vt:variant>
      <vt:variant>
        <vt:lpwstr/>
      </vt:variant>
      <vt:variant>
        <vt:lpwstr>_Toc430339008</vt:lpwstr>
      </vt:variant>
      <vt:variant>
        <vt:i4>1966135</vt:i4>
      </vt:variant>
      <vt:variant>
        <vt:i4>182</vt:i4>
      </vt:variant>
      <vt:variant>
        <vt:i4>0</vt:i4>
      </vt:variant>
      <vt:variant>
        <vt:i4>5</vt:i4>
      </vt:variant>
      <vt:variant>
        <vt:lpwstr/>
      </vt:variant>
      <vt:variant>
        <vt:lpwstr>_Toc430339007</vt:lpwstr>
      </vt:variant>
      <vt:variant>
        <vt:i4>1966135</vt:i4>
      </vt:variant>
      <vt:variant>
        <vt:i4>176</vt:i4>
      </vt:variant>
      <vt:variant>
        <vt:i4>0</vt:i4>
      </vt:variant>
      <vt:variant>
        <vt:i4>5</vt:i4>
      </vt:variant>
      <vt:variant>
        <vt:lpwstr/>
      </vt:variant>
      <vt:variant>
        <vt:lpwstr>_Toc430339006</vt:lpwstr>
      </vt:variant>
      <vt:variant>
        <vt:i4>1966135</vt:i4>
      </vt:variant>
      <vt:variant>
        <vt:i4>170</vt:i4>
      </vt:variant>
      <vt:variant>
        <vt:i4>0</vt:i4>
      </vt:variant>
      <vt:variant>
        <vt:i4>5</vt:i4>
      </vt:variant>
      <vt:variant>
        <vt:lpwstr/>
      </vt:variant>
      <vt:variant>
        <vt:lpwstr>_Toc430339005</vt:lpwstr>
      </vt:variant>
      <vt:variant>
        <vt:i4>1966135</vt:i4>
      </vt:variant>
      <vt:variant>
        <vt:i4>164</vt:i4>
      </vt:variant>
      <vt:variant>
        <vt:i4>0</vt:i4>
      </vt:variant>
      <vt:variant>
        <vt:i4>5</vt:i4>
      </vt:variant>
      <vt:variant>
        <vt:lpwstr/>
      </vt:variant>
      <vt:variant>
        <vt:lpwstr>_Toc430339004</vt:lpwstr>
      </vt:variant>
      <vt:variant>
        <vt:i4>1966135</vt:i4>
      </vt:variant>
      <vt:variant>
        <vt:i4>158</vt:i4>
      </vt:variant>
      <vt:variant>
        <vt:i4>0</vt:i4>
      </vt:variant>
      <vt:variant>
        <vt:i4>5</vt:i4>
      </vt:variant>
      <vt:variant>
        <vt:lpwstr/>
      </vt:variant>
      <vt:variant>
        <vt:lpwstr>_Toc430339003</vt:lpwstr>
      </vt:variant>
      <vt:variant>
        <vt:i4>1966135</vt:i4>
      </vt:variant>
      <vt:variant>
        <vt:i4>152</vt:i4>
      </vt:variant>
      <vt:variant>
        <vt:i4>0</vt:i4>
      </vt:variant>
      <vt:variant>
        <vt:i4>5</vt:i4>
      </vt:variant>
      <vt:variant>
        <vt:lpwstr/>
      </vt:variant>
      <vt:variant>
        <vt:lpwstr>_Toc430339002</vt:lpwstr>
      </vt:variant>
      <vt:variant>
        <vt:i4>1966135</vt:i4>
      </vt:variant>
      <vt:variant>
        <vt:i4>146</vt:i4>
      </vt:variant>
      <vt:variant>
        <vt:i4>0</vt:i4>
      </vt:variant>
      <vt:variant>
        <vt:i4>5</vt:i4>
      </vt:variant>
      <vt:variant>
        <vt:lpwstr/>
      </vt:variant>
      <vt:variant>
        <vt:lpwstr>_Toc430339001</vt:lpwstr>
      </vt:variant>
      <vt:variant>
        <vt:i4>1966135</vt:i4>
      </vt:variant>
      <vt:variant>
        <vt:i4>140</vt:i4>
      </vt:variant>
      <vt:variant>
        <vt:i4>0</vt:i4>
      </vt:variant>
      <vt:variant>
        <vt:i4>5</vt:i4>
      </vt:variant>
      <vt:variant>
        <vt:lpwstr/>
      </vt:variant>
      <vt:variant>
        <vt:lpwstr>_Toc430339000</vt:lpwstr>
      </vt:variant>
      <vt:variant>
        <vt:i4>1441854</vt:i4>
      </vt:variant>
      <vt:variant>
        <vt:i4>134</vt:i4>
      </vt:variant>
      <vt:variant>
        <vt:i4>0</vt:i4>
      </vt:variant>
      <vt:variant>
        <vt:i4>5</vt:i4>
      </vt:variant>
      <vt:variant>
        <vt:lpwstr/>
      </vt:variant>
      <vt:variant>
        <vt:lpwstr>_Toc430338999</vt:lpwstr>
      </vt:variant>
      <vt:variant>
        <vt:i4>1441854</vt:i4>
      </vt:variant>
      <vt:variant>
        <vt:i4>128</vt:i4>
      </vt:variant>
      <vt:variant>
        <vt:i4>0</vt:i4>
      </vt:variant>
      <vt:variant>
        <vt:i4>5</vt:i4>
      </vt:variant>
      <vt:variant>
        <vt:lpwstr/>
      </vt:variant>
      <vt:variant>
        <vt:lpwstr>_Toc430338998</vt:lpwstr>
      </vt:variant>
      <vt:variant>
        <vt:i4>1441854</vt:i4>
      </vt:variant>
      <vt:variant>
        <vt:i4>122</vt:i4>
      </vt:variant>
      <vt:variant>
        <vt:i4>0</vt:i4>
      </vt:variant>
      <vt:variant>
        <vt:i4>5</vt:i4>
      </vt:variant>
      <vt:variant>
        <vt:lpwstr/>
      </vt:variant>
      <vt:variant>
        <vt:lpwstr>_Toc430338997</vt:lpwstr>
      </vt:variant>
      <vt:variant>
        <vt:i4>1441854</vt:i4>
      </vt:variant>
      <vt:variant>
        <vt:i4>116</vt:i4>
      </vt:variant>
      <vt:variant>
        <vt:i4>0</vt:i4>
      </vt:variant>
      <vt:variant>
        <vt:i4>5</vt:i4>
      </vt:variant>
      <vt:variant>
        <vt:lpwstr/>
      </vt:variant>
      <vt:variant>
        <vt:lpwstr>_Toc430338996</vt:lpwstr>
      </vt:variant>
      <vt:variant>
        <vt:i4>1441854</vt:i4>
      </vt:variant>
      <vt:variant>
        <vt:i4>110</vt:i4>
      </vt:variant>
      <vt:variant>
        <vt:i4>0</vt:i4>
      </vt:variant>
      <vt:variant>
        <vt:i4>5</vt:i4>
      </vt:variant>
      <vt:variant>
        <vt:lpwstr/>
      </vt:variant>
      <vt:variant>
        <vt:lpwstr>_Toc430338995</vt:lpwstr>
      </vt:variant>
      <vt:variant>
        <vt:i4>1441854</vt:i4>
      </vt:variant>
      <vt:variant>
        <vt:i4>104</vt:i4>
      </vt:variant>
      <vt:variant>
        <vt:i4>0</vt:i4>
      </vt:variant>
      <vt:variant>
        <vt:i4>5</vt:i4>
      </vt:variant>
      <vt:variant>
        <vt:lpwstr/>
      </vt:variant>
      <vt:variant>
        <vt:lpwstr>_Toc430338994</vt:lpwstr>
      </vt:variant>
      <vt:variant>
        <vt:i4>1441854</vt:i4>
      </vt:variant>
      <vt:variant>
        <vt:i4>98</vt:i4>
      </vt:variant>
      <vt:variant>
        <vt:i4>0</vt:i4>
      </vt:variant>
      <vt:variant>
        <vt:i4>5</vt:i4>
      </vt:variant>
      <vt:variant>
        <vt:lpwstr/>
      </vt:variant>
      <vt:variant>
        <vt:lpwstr>_Toc430338993</vt:lpwstr>
      </vt:variant>
      <vt:variant>
        <vt:i4>1441854</vt:i4>
      </vt:variant>
      <vt:variant>
        <vt:i4>92</vt:i4>
      </vt:variant>
      <vt:variant>
        <vt:i4>0</vt:i4>
      </vt:variant>
      <vt:variant>
        <vt:i4>5</vt:i4>
      </vt:variant>
      <vt:variant>
        <vt:lpwstr/>
      </vt:variant>
      <vt:variant>
        <vt:lpwstr>_Toc430338992</vt:lpwstr>
      </vt:variant>
      <vt:variant>
        <vt:i4>1441854</vt:i4>
      </vt:variant>
      <vt:variant>
        <vt:i4>86</vt:i4>
      </vt:variant>
      <vt:variant>
        <vt:i4>0</vt:i4>
      </vt:variant>
      <vt:variant>
        <vt:i4>5</vt:i4>
      </vt:variant>
      <vt:variant>
        <vt:lpwstr/>
      </vt:variant>
      <vt:variant>
        <vt:lpwstr>_Toc430338991</vt:lpwstr>
      </vt:variant>
      <vt:variant>
        <vt:i4>1441854</vt:i4>
      </vt:variant>
      <vt:variant>
        <vt:i4>80</vt:i4>
      </vt:variant>
      <vt:variant>
        <vt:i4>0</vt:i4>
      </vt:variant>
      <vt:variant>
        <vt:i4>5</vt:i4>
      </vt:variant>
      <vt:variant>
        <vt:lpwstr/>
      </vt:variant>
      <vt:variant>
        <vt:lpwstr>_Toc430338990</vt:lpwstr>
      </vt:variant>
      <vt:variant>
        <vt:i4>1507390</vt:i4>
      </vt:variant>
      <vt:variant>
        <vt:i4>74</vt:i4>
      </vt:variant>
      <vt:variant>
        <vt:i4>0</vt:i4>
      </vt:variant>
      <vt:variant>
        <vt:i4>5</vt:i4>
      </vt:variant>
      <vt:variant>
        <vt:lpwstr/>
      </vt:variant>
      <vt:variant>
        <vt:lpwstr>_Toc430338989</vt:lpwstr>
      </vt:variant>
      <vt:variant>
        <vt:i4>1507390</vt:i4>
      </vt:variant>
      <vt:variant>
        <vt:i4>68</vt:i4>
      </vt:variant>
      <vt:variant>
        <vt:i4>0</vt:i4>
      </vt:variant>
      <vt:variant>
        <vt:i4>5</vt:i4>
      </vt:variant>
      <vt:variant>
        <vt:lpwstr/>
      </vt:variant>
      <vt:variant>
        <vt:lpwstr>_Toc430338988</vt:lpwstr>
      </vt:variant>
      <vt:variant>
        <vt:i4>1507390</vt:i4>
      </vt:variant>
      <vt:variant>
        <vt:i4>62</vt:i4>
      </vt:variant>
      <vt:variant>
        <vt:i4>0</vt:i4>
      </vt:variant>
      <vt:variant>
        <vt:i4>5</vt:i4>
      </vt:variant>
      <vt:variant>
        <vt:lpwstr/>
      </vt:variant>
      <vt:variant>
        <vt:lpwstr>_Toc430338987</vt:lpwstr>
      </vt:variant>
      <vt:variant>
        <vt:i4>1507390</vt:i4>
      </vt:variant>
      <vt:variant>
        <vt:i4>56</vt:i4>
      </vt:variant>
      <vt:variant>
        <vt:i4>0</vt:i4>
      </vt:variant>
      <vt:variant>
        <vt:i4>5</vt:i4>
      </vt:variant>
      <vt:variant>
        <vt:lpwstr/>
      </vt:variant>
      <vt:variant>
        <vt:lpwstr>_Toc430338986</vt:lpwstr>
      </vt:variant>
      <vt:variant>
        <vt:i4>1507390</vt:i4>
      </vt:variant>
      <vt:variant>
        <vt:i4>50</vt:i4>
      </vt:variant>
      <vt:variant>
        <vt:i4>0</vt:i4>
      </vt:variant>
      <vt:variant>
        <vt:i4>5</vt:i4>
      </vt:variant>
      <vt:variant>
        <vt:lpwstr/>
      </vt:variant>
      <vt:variant>
        <vt:lpwstr>_Toc430338985</vt:lpwstr>
      </vt:variant>
      <vt:variant>
        <vt:i4>1507390</vt:i4>
      </vt:variant>
      <vt:variant>
        <vt:i4>44</vt:i4>
      </vt:variant>
      <vt:variant>
        <vt:i4>0</vt:i4>
      </vt:variant>
      <vt:variant>
        <vt:i4>5</vt:i4>
      </vt:variant>
      <vt:variant>
        <vt:lpwstr/>
      </vt:variant>
      <vt:variant>
        <vt:lpwstr>_Toc430338984</vt:lpwstr>
      </vt:variant>
      <vt:variant>
        <vt:i4>1507390</vt:i4>
      </vt:variant>
      <vt:variant>
        <vt:i4>38</vt:i4>
      </vt:variant>
      <vt:variant>
        <vt:i4>0</vt:i4>
      </vt:variant>
      <vt:variant>
        <vt:i4>5</vt:i4>
      </vt:variant>
      <vt:variant>
        <vt:lpwstr/>
      </vt:variant>
      <vt:variant>
        <vt:lpwstr>_Toc430338983</vt:lpwstr>
      </vt:variant>
      <vt:variant>
        <vt:i4>1507390</vt:i4>
      </vt:variant>
      <vt:variant>
        <vt:i4>32</vt:i4>
      </vt:variant>
      <vt:variant>
        <vt:i4>0</vt:i4>
      </vt:variant>
      <vt:variant>
        <vt:i4>5</vt:i4>
      </vt:variant>
      <vt:variant>
        <vt:lpwstr/>
      </vt:variant>
      <vt:variant>
        <vt:lpwstr>_Toc430338982</vt:lpwstr>
      </vt:variant>
      <vt:variant>
        <vt:i4>1507390</vt:i4>
      </vt:variant>
      <vt:variant>
        <vt:i4>26</vt:i4>
      </vt:variant>
      <vt:variant>
        <vt:i4>0</vt:i4>
      </vt:variant>
      <vt:variant>
        <vt:i4>5</vt:i4>
      </vt:variant>
      <vt:variant>
        <vt:lpwstr/>
      </vt:variant>
      <vt:variant>
        <vt:lpwstr>_Toc430338981</vt:lpwstr>
      </vt:variant>
      <vt:variant>
        <vt:i4>1507390</vt:i4>
      </vt:variant>
      <vt:variant>
        <vt:i4>20</vt:i4>
      </vt:variant>
      <vt:variant>
        <vt:i4>0</vt:i4>
      </vt:variant>
      <vt:variant>
        <vt:i4>5</vt:i4>
      </vt:variant>
      <vt:variant>
        <vt:lpwstr/>
      </vt:variant>
      <vt:variant>
        <vt:lpwstr>_Toc430338980</vt:lpwstr>
      </vt:variant>
      <vt:variant>
        <vt:i4>1572926</vt:i4>
      </vt:variant>
      <vt:variant>
        <vt:i4>14</vt:i4>
      </vt:variant>
      <vt:variant>
        <vt:i4>0</vt:i4>
      </vt:variant>
      <vt:variant>
        <vt:i4>5</vt:i4>
      </vt:variant>
      <vt:variant>
        <vt:lpwstr/>
      </vt:variant>
      <vt:variant>
        <vt:lpwstr>_Toc430338979</vt:lpwstr>
      </vt:variant>
      <vt:variant>
        <vt:i4>1572926</vt:i4>
      </vt:variant>
      <vt:variant>
        <vt:i4>8</vt:i4>
      </vt:variant>
      <vt:variant>
        <vt:i4>0</vt:i4>
      </vt:variant>
      <vt:variant>
        <vt:i4>5</vt:i4>
      </vt:variant>
      <vt:variant>
        <vt:lpwstr/>
      </vt:variant>
      <vt:variant>
        <vt:lpwstr>_Toc430338978</vt:lpwstr>
      </vt:variant>
      <vt:variant>
        <vt:i4>1572926</vt:i4>
      </vt:variant>
      <vt:variant>
        <vt:i4>2</vt:i4>
      </vt:variant>
      <vt:variant>
        <vt:i4>0</vt:i4>
      </vt:variant>
      <vt:variant>
        <vt:i4>5</vt:i4>
      </vt:variant>
      <vt:variant>
        <vt:lpwstr/>
      </vt:variant>
      <vt:variant>
        <vt:lpwstr>_Toc430338977</vt:lpwstr>
      </vt:variant>
      <vt:variant>
        <vt:i4>6160387</vt:i4>
      </vt:variant>
      <vt:variant>
        <vt:i4>84</vt:i4>
      </vt:variant>
      <vt:variant>
        <vt:i4>0</vt:i4>
      </vt:variant>
      <vt:variant>
        <vt:i4>5</vt:i4>
      </vt:variant>
      <vt:variant>
        <vt:lpwstr>https://www.youtube.com/watch?v=7cAls8PSzmo&amp;feature=youtu.be</vt:lpwstr>
      </vt:variant>
      <vt:variant>
        <vt:lpwstr/>
      </vt:variant>
      <vt:variant>
        <vt:i4>8060963</vt:i4>
      </vt:variant>
      <vt:variant>
        <vt:i4>81</vt:i4>
      </vt:variant>
      <vt:variant>
        <vt:i4>0</vt:i4>
      </vt:variant>
      <vt:variant>
        <vt:i4>5</vt:i4>
      </vt:variant>
      <vt:variant>
        <vt:lpwstr>http://www.un.org/es/treaty/untc.shtml</vt:lpwstr>
      </vt:variant>
      <vt:variant>
        <vt:lpwstr>protocols</vt:lpwstr>
      </vt:variant>
      <vt:variant>
        <vt:i4>5767179</vt:i4>
      </vt:variant>
      <vt:variant>
        <vt:i4>78</vt:i4>
      </vt:variant>
      <vt:variant>
        <vt:i4>0</vt:i4>
      </vt:variant>
      <vt:variant>
        <vt:i4>5</vt:i4>
      </vt:variant>
      <vt:variant>
        <vt:lpwstr>http://www.oas.org/juridico/spanish/firmas/a-52.html</vt:lpwstr>
      </vt:variant>
      <vt:variant>
        <vt:lpwstr/>
      </vt:variant>
      <vt:variant>
        <vt:i4>4128880</vt:i4>
      </vt:variant>
      <vt:variant>
        <vt:i4>75</vt:i4>
      </vt:variant>
      <vt:variant>
        <vt:i4>0</vt:i4>
      </vt:variant>
      <vt:variant>
        <vt:i4>5</vt:i4>
      </vt:variant>
      <vt:variant>
        <vt:lpwstr>http://www.unaids.org/es/regionscountries/countries/ecuador</vt:lpwstr>
      </vt:variant>
      <vt:variant>
        <vt:lpwstr/>
      </vt:variant>
      <vt:variant>
        <vt:i4>5373968</vt:i4>
      </vt:variant>
      <vt:variant>
        <vt:i4>72</vt:i4>
      </vt:variant>
      <vt:variant>
        <vt:i4>0</vt:i4>
      </vt:variant>
      <vt:variant>
        <vt:i4>5</vt:i4>
      </vt:variant>
      <vt:variant>
        <vt:lpwstr>http://www.asambleanacional.gov.ec/documentos/constitucion_de_bolsillo.pdf</vt:lpwstr>
      </vt:variant>
      <vt:variant>
        <vt:lpwstr/>
      </vt:variant>
      <vt:variant>
        <vt:i4>1507434</vt:i4>
      </vt:variant>
      <vt:variant>
        <vt:i4>69</vt:i4>
      </vt:variant>
      <vt:variant>
        <vt:i4>0</vt:i4>
      </vt:variant>
      <vt:variant>
        <vt:i4>5</vt:i4>
      </vt:variant>
      <vt:variant>
        <vt:lpwstr>http://www.aidsalliance.org/assets/000/000/897/90576-Enfoques-de-genero-y-sexualidad_original.pdf?1407754252</vt:lpwstr>
      </vt:variant>
      <vt:variant>
        <vt:lpwstr/>
      </vt:variant>
      <vt:variant>
        <vt:i4>2293834</vt:i4>
      </vt:variant>
      <vt:variant>
        <vt:i4>66</vt:i4>
      </vt:variant>
      <vt:variant>
        <vt:i4>0</vt:i4>
      </vt:variant>
      <vt:variant>
        <vt:i4>5</vt:i4>
      </vt:variant>
      <vt:variant>
        <vt:lpwstr>http://data.unaids.org/pub/Report/2006/jc1252-internationalguidelines_es.pdf</vt:lpwstr>
      </vt:variant>
      <vt:variant>
        <vt:lpwstr/>
      </vt:variant>
      <vt:variant>
        <vt:i4>7471104</vt:i4>
      </vt:variant>
      <vt:variant>
        <vt:i4>63</vt:i4>
      </vt:variant>
      <vt:variant>
        <vt:i4>0</vt:i4>
      </vt:variant>
      <vt:variant>
        <vt:i4>5</vt:i4>
      </vt:variant>
      <vt:variant>
        <vt:lpwstr>http://www.unicef.org/venezuela/spanish/Comunicar_sobre_VIH_Sida.pdf</vt:lpwstr>
      </vt:variant>
      <vt:variant>
        <vt:lpwstr/>
      </vt:variant>
      <vt:variant>
        <vt:i4>2293834</vt:i4>
      </vt:variant>
      <vt:variant>
        <vt:i4>60</vt:i4>
      </vt:variant>
      <vt:variant>
        <vt:i4>0</vt:i4>
      </vt:variant>
      <vt:variant>
        <vt:i4>5</vt:i4>
      </vt:variant>
      <vt:variant>
        <vt:lpwstr>http://data.unaids.org/pub/Report/2006/jc1252-internationalguidelines_es.pdf</vt:lpwstr>
      </vt:variant>
      <vt:variant>
        <vt:lpwstr/>
      </vt:variant>
      <vt:variant>
        <vt:i4>7602255</vt:i4>
      </vt:variant>
      <vt:variant>
        <vt:i4>57</vt:i4>
      </vt:variant>
      <vt:variant>
        <vt:i4>0</vt:i4>
      </vt:variant>
      <vt:variant>
        <vt:i4>5</vt:i4>
      </vt:variant>
      <vt:variant>
        <vt:lpwstr>http://jurisprudencia.poder-judicial.go.cr/SCIJ_PJ/busqueda/jurisprudencia/jur_Documento.aspx?param1=Ficha_Sentencia&amp;nValor1=1&amp;nValor2=631082&amp;strTipM=T&amp;strDirSel=directo</vt:lpwstr>
      </vt:variant>
      <vt:variant>
        <vt:lpwstr/>
      </vt:variant>
      <vt:variant>
        <vt:i4>1245219</vt:i4>
      </vt:variant>
      <vt:variant>
        <vt:i4>54</vt:i4>
      </vt:variant>
      <vt:variant>
        <vt:i4>0</vt:i4>
      </vt:variant>
      <vt:variant>
        <vt:i4>5</vt:i4>
      </vt:variant>
      <vt:variant>
        <vt:lpwstr>https://www.google.com/url?sa=t&amp;rct=j&amp;q=&amp;esrc=s&amp;source=web&amp;cd=1&amp;cad=rja&amp;uact=8&amp;sqi=2&amp;ved=0CB0QFjAAahUKEwiJ-LGjof7GAhVH2D4KHaO2Bws&amp;url=http%3A%2F%2Fwww.tcpbolivia.bo%2Ftcp&amp;ei=rq-3VYnpDsew-wGj7Z5Y&amp;usg=AFQjCNEJ7vDyLj52FPalZ3_fczEKNtdsug&amp;bvm=bv.98717601,d.cWw</vt:lpwstr>
      </vt:variant>
      <vt:variant>
        <vt:lpwstr/>
      </vt:variant>
      <vt:variant>
        <vt:i4>2293834</vt:i4>
      </vt:variant>
      <vt:variant>
        <vt:i4>51</vt:i4>
      </vt:variant>
      <vt:variant>
        <vt:i4>0</vt:i4>
      </vt:variant>
      <vt:variant>
        <vt:i4>5</vt:i4>
      </vt:variant>
      <vt:variant>
        <vt:lpwstr>http://data.unaids.org/pub/Report/2006/jc1252-internationalguidelines_es.pdf</vt:lpwstr>
      </vt:variant>
      <vt:variant>
        <vt:lpwstr/>
      </vt:variant>
      <vt:variant>
        <vt:i4>2293834</vt:i4>
      </vt:variant>
      <vt:variant>
        <vt:i4>48</vt:i4>
      </vt:variant>
      <vt:variant>
        <vt:i4>0</vt:i4>
      </vt:variant>
      <vt:variant>
        <vt:i4>5</vt:i4>
      </vt:variant>
      <vt:variant>
        <vt:lpwstr>http://data.unaids.org/pub/Report/2006/jc1252-internationalguidelines_es.pdf</vt:lpwstr>
      </vt:variant>
      <vt:variant>
        <vt:lpwstr/>
      </vt:variant>
      <vt:variant>
        <vt:i4>2293834</vt:i4>
      </vt:variant>
      <vt:variant>
        <vt:i4>45</vt:i4>
      </vt:variant>
      <vt:variant>
        <vt:i4>0</vt:i4>
      </vt:variant>
      <vt:variant>
        <vt:i4>5</vt:i4>
      </vt:variant>
      <vt:variant>
        <vt:lpwstr>http://data.unaids.org/pub/Report/2006/jc1252-internationalguidelines_es.pdf</vt:lpwstr>
      </vt:variant>
      <vt:variant>
        <vt:lpwstr/>
      </vt:variant>
      <vt:variant>
        <vt:i4>3866660</vt:i4>
      </vt:variant>
      <vt:variant>
        <vt:i4>42</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3866660</vt:i4>
      </vt:variant>
      <vt:variant>
        <vt:i4>39</vt:i4>
      </vt:variant>
      <vt:variant>
        <vt:i4>0</vt:i4>
      </vt:variant>
      <vt:variant>
        <vt:i4>5</vt:i4>
      </vt:variant>
      <vt:variant>
        <vt:lpwstr>http://joomla.corteidh.or.cr:8080/joomla/es/jurisprudencia-oc-avanzado/38-jurisprudencia/2049-corte-idh-caso-suarez-peralta-vs-ecuador-excepciones-preliminares-fondo-reparaciones-y-costas-sentencia-de-21-de-mayo-de-2013-serie-c-no-261</vt:lpwstr>
      </vt:variant>
      <vt:variant>
        <vt:lpwstr/>
      </vt:variant>
      <vt:variant>
        <vt:i4>3211380</vt:i4>
      </vt:variant>
      <vt:variant>
        <vt:i4>36</vt:i4>
      </vt:variant>
      <vt:variant>
        <vt:i4>0</vt:i4>
      </vt:variant>
      <vt:variant>
        <vt:i4>5</vt:i4>
      </vt:variant>
      <vt:variant>
        <vt:lpwstr>http://www.cepal.org/oig/doc/EcuArt5511Codigopenal.pdf</vt:lpwstr>
      </vt:variant>
      <vt:variant>
        <vt:lpwstr/>
      </vt:variant>
      <vt:variant>
        <vt:i4>3801108</vt:i4>
      </vt:variant>
      <vt:variant>
        <vt:i4>33</vt:i4>
      </vt:variant>
      <vt:variant>
        <vt:i4>0</vt:i4>
      </vt:variant>
      <vt:variant>
        <vt:i4>5</vt:i4>
      </vt:variant>
      <vt:variant>
        <vt:lpwstr>https://www.oas.org/juridico/mla/sp/ecu/sp_ecu-int-text-cpp.pdf</vt:lpwstr>
      </vt:variant>
      <vt:variant>
        <vt:lpwstr/>
      </vt:variant>
      <vt:variant>
        <vt:i4>2293816</vt:i4>
      </vt:variant>
      <vt:variant>
        <vt:i4>30</vt:i4>
      </vt:variant>
      <vt:variant>
        <vt:i4>0</vt:i4>
      </vt:variant>
      <vt:variant>
        <vt:i4>5</vt:i4>
      </vt:variant>
      <vt:variant>
        <vt:lpwstr>http://www.cenetec.salud.gob.mx/descargas/gpc/CatalogoMaestro/143_GPC_PURPURA_TROMBOCITOP/Imss_ER.pdf</vt:lpwstr>
      </vt:variant>
      <vt:variant>
        <vt:lpwstr/>
      </vt:variant>
      <vt:variant>
        <vt:i4>851968</vt:i4>
      </vt:variant>
      <vt:variant>
        <vt:i4>27</vt:i4>
      </vt:variant>
      <vt:variant>
        <vt:i4>0</vt:i4>
      </vt:variant>
      <vt:variant>
        <vt:i4>5</vt:i4>
      </vt:variant>
      <vt:variant>
        <vt:lpwstr>http://www.cruzrojazuay.org/</vt:lpwstr>
      </vt:variant>
      <vt:variant>
        <vt:lpwstr>!banco-de-sangre/cyjt</vt:lpwstr>
      </vt:variant>
      <vt:variant>
        <vt:i4>6488159</vt:i4>
      </vt:variant>
      <vt:variant>
        <vt:i4>24</vt:i4>
      </vt:variant>
      <vt:variant>
        <vt:i4>0</vt:i4>
      </vt:variant>
      <vt:variant>
        <vt:i4>5</vt:i4>
      </vt:variant>
      <vt:variant>
        <vt:lpwstr>http://www.gazzettaamministrativa.it/opencms/export/sites/default/_gazzetta_amministrativa/amministrazione_trasparente/_agenzie_enti_stato/_croce_rossa_italiana/090_prov/010_pro_org_ind_pol/2013/Documenti_1383666871662/1383666873832_accordo_con_croce_rossa_ecuador.pdf</vt:lpwstr>
      </vt:variant>
      <vt:variant>
        <vt:lpwstr/>
      </vt:variant>
      <vt:variant>
        <vt:i4>6815744</vt:i4>
      </vt:variant>
      <vt:variant>
        <vt:i4>21</vt:i4>
      </vt:variant>
      <vt:variant>
        <vt:i4>0</vt:i4>
      </vt:variant>
      <vt:variant>
        <vt:i4>5</vt:i4>
      </vt:variant>
      <vt:variant>
        <vt:lpwstr>http://www.cruzroja.org.ec/plantilla_texto.php?id_submenu1=2&amp;id_menu=2</vt:lpwstr>
      </vt:variant>
      <vt:variant>
        <vt:lpwstr/>
      </vt:variant>
      <vt:variant>
        <vt:i4>6815744</vt:i4>
      </vt:variant>
      <vt:variant>
        <vt:i4>18</vt:i4>
      </vt:variant>
      <vt:variant>
        <vt:i4>0</vt:i4>
      </vt:variant>
      <vt:variant>
        <vt:i4>5</vt:i4>
      </vt:variant>
      <vt:variant>
        <vt:lpwstr>http://www.cruzroja.org.ec/plantilla_texto.php?id_submenu1=2&amp;id_menu=2</vt:lpwstr>
      </vt:variant>
      <vt:variant>
        <vt:lpwstr/>
      </vt:variant>
      <vt:variant>
        <vt:i4>6750333</vt:i4>
      </vt:variant>
      <vt:variant>
        <vt:i4>15</vt:i4>
      </vt:variant>
      <vt:variant>
        <vt:i4>0</vt:i4>
      </vt:variant>
      <vt:variant>
        <vt:i4>5</vt:i4>
      </vt:variant>
      <vt:variant>
        <vt:lpwstr>http://www.cruzroja.org.ec/index.php/quienes-somos/resena-historica</vt:lpwstr>
      </vt:variant>
      <vt:variant>
        <vt:lpwstr/>
      </vt:variant>
      <vt:variant>
        <vt:i4>3997789</vt:i4>
      </vt:variant>
      <vt:variant>
        <vt:i4>12</vt:i4>
      </vt:variant>
      <vt:variant>
        <vt:i4>0</vt:i4>
      </vt:variant>
      <vt:variant>
        <vt:i4>5</vt:i4>
      </vt:variant>
      <vt:variant>
        <vt:lpwstr>http://www.unaids.org/en/media/unaids/contentassets/documents/document/2011/06/20110610_UN_A-RES-65-277_es.pdf</vt:lpwstr>
      </vt:variant>
      <vt:variant>
        <vt:lpwstr/>
      </vt:variant>
      <vt:variant>
        <vt:i4>6750297</vt:i4>
      </vt:variant>
      <vt:variant>
        <vt:i4>9</vt:i4>
      </vt:variant>
      <vt:variant>
        <vt:i4>0</vt:i4>
      </vt:variant>
      <vt:variant>
        <vt:i4>5</vt:i4>
      </vt:variant>
      <vt:variant>
        <vt:lpwstr>http://data.unaids.org/pub/factsheet/2008/20080519_fastfacts_hiv_es.pdf</vt:lpwstr>
      </vt:variant>
      <vt:variant>
        <vt:lpwstr/>
      </vt:variant>
      <vt:variant>
        <vt:i4>101</vt:i4>
      </vt:variant>
      <vt:variant>
        <vt:i4>6</vt:i4>
      </vt:variant>
      <vt:variant>
        <vt:i4>0</vt:i4>
      </vt:variant>
      <vt:variant>
        <vt:i4>5</vt:i4>
      </vt:variant>
      <vt:variant>
        <vt:lpwstr>http://www.who.int/topics/hiv_aids/es/</vt:lpwstr>
      </vt:variant>
      <vt:variant>
        <vt:lpwstr/>
      </vt:variant>
      <vt:variant>
        <vt:i4>1179700</vt:i4>
      </vt:variant>
      <vt:variant>
        <vt:i4>3</vt:i4>
      </vt:variant>
      <vt:variant>
        <vt:i4>0</vt:i4>
      </vt:variant>
      <vt:variant>
        <vt:i4>5</vt:i4>
      </vt:variant>
      <vt:variant>
        <vt:lpwstr>http://www.corteidh.or.cr/docs/asuntos/gonzaleslluy_11_02_15.pdf</vt:lpwstr>
      </vt:variant>
      <vt:variant>
        <vt:lpwstr/>
      </vt:variant>
      <vt:variant>
        <vt:i4>1114167</vt:i4>
      </vt:variant>
      <vt:variant>
        <vt:i4>0</vt:i4>
      </vt:variant>
      <vt:variant>
        <vt:i4>0</vt:i4>
      </vt:variant>
      <vt:variant>
        <vt:i4>5</vt:i4>
      </vt:variant>
      <vt:variant>
        <vt:lpwstr>http://www.corteidh.or.cr/docs/asuntos/gonzaleslluy_12_01_15.pdf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2015-09-01T22:33:00Z</cp:lastPrinted>
  <dcterms:created xsi:type="dcterms:W3CDTF">2016-03-14T17:11:00Z</dcterms:created>
  <dcterms:modified xsi:type="dcterms:W3CDTF">2016-03-14T17:11:00Z</dcterms:modified>
</cp:coreProperties>
</file>